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E4D" w:rsidRPr="00615A13" w:rsidRDefault="00BB6E4D" w:rsidP="006F688C">
      <w:pPr>
        <w:framePr w:w="3030" w:h="3151" w:hSpace="142" w:wrap="around" w:vAnchor="page" w:hAnchor="page" w:x="8139" w:y="2856" w:anchorLock="1"/>
        <w:pBdr>
          <w:top w:val="single" w:sz="6" w:space="7" w:color="FFFFFF"/>
          <w:left w:val="single" w:sz="6" w:space="7" w:color="FFFFFF"/>
          <w:bottom w:val="single" w:sz="6" w:space="7" w:color="FFFFFF"/>
          <w:right w:val="single" w:sz="6" w:space="7" w:color="FFFFFF"/>
        </w:pBdr>
        <w:rPr>
          <w:rFonts w:cs="Arial"/>
          <w:b/>
          <w:bCs/>
          <w:color w:val="0070C0"/>
          <w:sz w:val="16"/>
          <w:szCs w:val="16"/>
          <w:lang w:val="en-GB"/>
        </w:rPr>
      </w:pPr>
    </w:p>
    <w:p w:rsidR="00FD544B" w:rsidRDefault="00FD544B" w:rsidP="00205F75">
      <w:pPr>
        <w:ind w:left="2124" w:firstLine="708"/>
        <w:jc w:val="center"/>
        <w:rPr>
          <w:b/>
          <w:lang w:val="en-GB"/>
        </w:rPr>
      </w:pPr>
      <w:r>
        <w:rPr>
          <w:b/>
          <w:lang w:val="en-GB"/>
        </w:rPr>
        <w:t>EAP</w:t>
      </w:r>
      <w:r w:rsidR="00205F75">
        <w:rPr>
          <w:b/>
          <w:lang w:val="en-GB"/>
        </w:rPr>
        <w:t>N DRAFT POSITION PAPER</w:t>
      </w:r>
    </w:p>
    <w:p w:rsidR="00FD544B" w:rsidRDefault="00FD544B" w:rsidP="00FD544B">
      <w:pPr>
        <w:ind w:left="2832"/>
        <w:jc w:val="center"/>
        <w:rPr>
          <w:b/>
          <w:lang w:val="en-GB"/>
        </w:rPr>
      </w:pPr>
      <w:r>
        <w:rPr>
          <w:b/>
          <w:lang w:val="en-GB"/>
        </w:rPr>
        <w:t>TRANSATLANTIC TRADE AND INVESTMENT PARTNERSHIP</w:t>
      </w:r>
    </w:p>
    <w:p w:rsidR="00FD544B" w:rsidRDefault="00FD544B" w:rsidP="00FD544B">
      <w:pPr>
        <w:jc w:val="both"/>
        <w:rPr>
          <w:b/>
          <w:lang w:val="en-GB"/>
        </w:rPr>
      </w:pPr>
    </w:p>
    <w:p w:rsidR="006F688C" w:rsidRPr="00615A13" w:rsidRDefault="006F688C" w:rsidP="00FD544B">
      <w:pPr>
        <w:jc w:val="both"/>
        <w:rPr>
          <w:lang w:val="en-GB"/>
        </w:rPr>
      </w:pPr>
    </w:p>
    <w:p w:rsidR="00156F83" w:rsidRPr="00615A13" w:rsidRDefault="002A3359" w:rsidP="00FD544B">
      <w:pPr>
        <w:pStyle w:val="ListParagraph"/>
        <w:numPr>
          <w:ilvl w:val="0"/>
          <w:numId w:val="1"/>
        </w:numPr>
        <w:jc w:val="both"/>
        <w:rPr>
          <w:rFonts w:cs="Arial"/>
          <w:b/>
          <w:sz w:val="24"/>
          <w:szCs w:val="24"/>
          <w:lang w:val="en-GB"/>
        </w:rPr>
      </w:pPr>
      <w:r w:rsidRPr="00615A13">
        <w:rPr>
          <w:rFonts w:cs="Arial"/>
          <w:b/>
          <w:sz w:val="24"/>
          <w:szCs w:val="24"/>
          <w:lang w:val="en-GB"/>
        </w:rPr>
        <w:t>Introduction</w:t>
      </w:r>
    </w:p>
    <w:p w:rsidR="006F688C" w:rsidRPr="00615A13" w:rsidRDefault="006F688C" w:rsidP="00FD544B">
      <w:pPr>
        <w:jc w:val="both"/>
        <w:rPr>
          <w:rFonts w:cs="Arial"/>
          <w:b/>
          <w:sz w:val="24"/>
          <w:szCs w:val="24"/>
          <w:lang w:val="en-GB"/>
        </w:rPr>
      </w:pPr>
    </w:p>
    <w:p w:rsidR="00ED5553" w:rsidRDefault="00ED5553" w:rsidP="00FD544B">
      <w:pPr>
        <w:jc w:val="both"/>
        <w:rPr>
          <w:rFonts w:cs="Arial"/>
          <w:sz w:val="24"/>
          <w:szCs w:val="24"/>
          <w:lang w:val="en-GB"/>
        </w:rPr>
      </w:pPr>
      <w:r>
        <w:rPr>
          <w:rFonts w:cs="Arial"/>
          <w:sz w:val="24"/>
          <w:szCs w:val="24"/>
          <w:lang w:val="en-GB"/>
        </w:rPr>
        <w:t>This paper outlines, in brief, the position of the Eur</w:t>
      </w:r>
      <w:r w:rsidR="00B45F4A">
        <w:rPr>
          <w:rFonts w:cs="Arial"/>
          <w:sz w:val="24"/>
          <w:szCs w:val="24"/>
          <w:lang w:val="en-GB"/>
        </w:rPr>
        <w:t>opean Anti-</w:t>
      </w:r>
      <w:r>
        <w:rPr>
          <w:rFonts w:cs="Arial"/>
          <w:sz w:val="24"/>
          <w:szCs w:val="24"/>
          <w:lang w:val="en-GB"/>
        </w:rPr>
        <w:t>Poverty Network regarding international trade agreements currently being negotiated by the European Commission, on behalf of Member States, to promote free trade. It will look specifically at negotiations on agreements such as CETA, TTIP, TiSA</w:t>
      </w:r>
      <w:r>
        <w:rPr>
          <w:rStyle w:val="FootnoteReference"/>
          <w:rFonts w:cs="Arial"/>
          <w:sz w:val="24"/>
          <w:szCs w:val="24"/>
          <w:lang w:val="en-GB"/>
        </w:rPr>
        <w:footnoteReference w:id="1"/>
      </w:r>
      <w:r>
        <w:rPr>
          <w:rFonts w:cs="Arial"/>
          <w:sz w:val="24"/>
          <w:szCs w:val="24"/>
          <w:lang w:val="en-GB"/>
        </w:rPr>
        <w:t xml:space="preserve">, and will try to point out the potential consequences of these agreements, in their current form, on poverty and social exclusion in European countries. </w:t>
      </w:r>
    </w:p>
    <w:p w:rsidR="00ED5553" w:rsidRDefault="00ED5553" w:rsidP="00FD544B">
      <w:pPr>
        <w:jc w:val="both"/>
        <w:rPr>
          <w:rFonts w:cs="Arial"/>
          <w:sz w:val="24"/>
          <w:szCs w:val="24"/>
          <w:lang w:val="en-GB"/>
        </w:rPr>
      </w:pPr>
    </w:p>
    <w:p w:rsidR="003F7F87" w:rsidRDefault="003F7F87" w:rsidP="00FD544B">
      <w:pPr>
        <w:jc w:val="both"/>
        <w:rPr>
          <w:rFonts w:cs="Arial"/>
          <w:sz w:val="24"/>
          <w:szCs w:val="24"/>
          <w:lang w:val="en-GB"/>
        </w:rPr>
      </w:pPr>
    </w:p>
    <w:p w:rsidR="002A3359" w:rsidRPr="00615A13" w:rsidRDefault="002A3359" w:rsidP="00FD544B">
      <w:pPr>
        <w:jc w:val="both"/>
        <w:rPr>
          <w:rFonts w:cs="Arial"/>
          <w:sz w:val="24"/>
          <w:szCs w:val="24"/>
          <w:lang w:val="en-GB"/>
        </w:rPr>
      </w:pPr>
      <w:r w:rsidRPr="00615A13">
        <w:rPr>
          <w:rFonts w:cs="Arial"/>
          <w:sz w:val="24"/>
          <w:szCs w:val="24"/>
          <w:lang w:val="en-GB"/>
        </w:rPr>
        <w:t>The basis for this is the belief that international trade should promote sustainable social equality, justice and development in a globalised world and should not be left unregulated and controlled by the market.</w:t>
      </w:r>
      <w:r w:rsidR="00F84FED">
        <w:rPr>
          <w:rFonts w:cs="Arial"/>
          <w:sz w:val="24"/>
          <w:szCs w:val="24"/>
          <w:lang w:val="en-GB"/>
        </w:rPr>
        <w:t xml:space="preserve"> </w:t>
      </w:r>
      <w:r w:rsidR="002B2FC0" w:rsidRPr="00615A13">
        <w:rPr>
          <w:rFonts w:cs="Arial"/>
          <w:sz w:val="24"/>
          <w:szCs w:val="24"/>
          <w:lang w:val="en-GB"/>
        </w:rPr>
        <w:t xml:space="preserve">International trade should primarily serve the people and bring added value to the economy. The aim of free trade agreements is to create growth and jobs through the elimination of barriers to trade. However, this must not mean that social and environmental standards are allowed to sink or that jobs are relocated and democratic </w:t>
      </w:r>
      <w:r w:rsidR="00615A13" w:rsidRPr="00615A13">
        <w:rPr>
          <w:rFonts w:cs="Arial"/>
          <w:sz w:val="24"/>
          <w:szCs w:val="24"/>
          <w:lang w:val="en-GB"/>
        </w:rPr>
        <w:t>principles</w:t>
      </w:r>
      <w:r w:rsidR="002B2FC0" w:rsidRPr="00615A13">
        <w:rPr>
          <w:rFonts w:cs="Arial"/>
          <w:sz w:val="24"/>
          <w:szCs w:val="24"/>
          <w:lang w:val="en-GB"/>
        </w:rPr>
        <w:t xml:space="preserve"> are undermined. Free trade agreements must not mean that the values of free trade are placed above the principles of an </w:t>
      </w:r>
      <w:r w:rsidR="00615A13" w:rsidRPr="00615A13">
        <w:rPr>
          <w:rFonts w:cs="Arial"/>
          <w:sz w:val="24"/>
          <w:szCs w:val="24"/>
          <w:lang w:val="en-GB"/>
        </w:rPr>
        <w:t>ecologically sustainable</w:t>
      </w:r>
      <w:r w:rsidR="002B2FC0" w:rsidRPr="00615A13">
        <w:rPr>
          <w:rFonts w:cs="Arial"/>
          <w:sz w:val="24"/>
          <w:szCs w:val="24"/>
          <w:lang w:val="en-GB"/>
        </w:rPr>
        <w:t xml:space="preserve"> social market economy. The EU is not purely an economic community, but sees itself as a community of values, in which the citizens are at the </w:t>
      </w:r>
      <w:r w:rsidR="00A03BAE" w:rsidRPr="00615A13">
        <w:rPr>
          <w:rFonts w:cs="Arial"/>
          <w:sz w:val="24"/>
          <w:szCs w:val="24"/>
          <w:lang w:val="en-GB"/>
        </w:rPr>
        <w:t>centre</w:t>
      </w:r>
      <w:r w:rsidR="002B2FC0" w:rsidRPr="00615A13">
        <w:rPr>
          <w:rFonts w:cs="Arial"/>
          <w:sz w:val="24"/>
          <w:szCs w:val="24"/>
          <w:lang w:val="en-GB"/>
        </w:rPr>
        <w:t>.</w:t>
      </w:r>
      <w:r w:rsidR="0078467A">
        <w:rPr>
          <w:rStyle w:val="FootnoteReference"/>
          <w:rFonts w:cs="Arial"/>
          <w:sz w:val="24"/>
          <w:szCs w:val="24"/>
          <w:lang w:val="en-GB"/>
        </w:rPr>
        <w:footnoteReference w:id="2"/>
      </w:r>
      <w:r w:rsidR="00A03BAE" w:rsidRPr="00615A13">
        <w:rPr>
          <w:rFonts w:cs="Arial"/>
          <w:sz w:val="24"/>
          <w:szCs w:val="24"/>
          <w:lang w:val="en-GB"/>
        </w:rPr>
        <w:t xml:space="preserve"> </w:t>
      </w:r>
      <w:r w:rsidR="00953A05">
        <w:rPr>
          <w:rFonts w:cs="Arial"/>
          <w:sz w:val="24"/>
          <w:szCs w:val="24"/>
          <w:lang w:val="en-GB"/>
        </w:rPr>
        <w:t>EAPN</w:t>
      </w:r>
      <w:r w:rsidR="00A03BAE" w:rsidRPr="00615A13">
        <w:rPr>
          <w:rFonts w:cs="Arial"/>
          <w:sz w:val="24"/>
          <w:szCs w:val="24"/>
          <w:lang w:val="en-GB"/>
        </w:rPr>
        <w:t xml:space="preserve"> is particularly concerned about the impact of enhanced free trade on socially disadvantaged people, such as those </w:t>
      </w:r>
      <w:r w:rsidR="00615A13">
        <w:rPr>
          <w:rFonts w:cs="Arial"/>
          <w:sz w:val="24"/>
          <w:szCs w:val="24"/>
          <w:lang w:val="en-GB"/>
        </w:rPr>
        <w:t>w</w:t>
      </w:r>
      <w:r w:rsidR="00615A13" w:rsidRPr="00615A13">
        <w:rPr>
          <w:rFonts w:cs="Arial"/>
          <w:sz w:val="24"/>
          <w:szCs w:val="24"/>
          <w:lang w:val="en-GB"/>
        </w:rPr>
        <w:t>ho</w:t>
      </w:r>
      <w:r w:rsidR="00A03BAE" w:rsidRPr="00615A13">
        <w:rPr>
          <w:rFonts w:cs="Arial"/>
          <w:sz w:val="24"/>
          <w:szCs w:val="24"/>
          <w:lang w:val="en-GB"/>
        </w:rPr>
        <w:t xml:space="preserve"> work in low-wage sectors</w:t>
      </w:r>
      <w:r w:rsidR="00AF4542">
        <w:rPr>
          <w:rFonts w:cs="Arial"/>
          <w:sz w:val="24"/>
          <w:szCs w:val="24"/>
          <w:lang w:val="en-GB"/>
        </w:rPr>
        <w:t>,</w:t>
      </w:r>
      <w:r w:rsidR="00FD544B">
        <w:rPr>
          <w:rFonts w:cs="Arial"/>
          <w:sz w:val="24"/>
          <w:szCs w:val="24"/>
          <w:lang w:val="en-GB"/>
        </w:rPr>
        <w:t xml:space="preserve"> benefit from s</w:t>
      </w:r>
      <w:r w:rsidR="00A03BAE" w:rsidRPr="00615A13">
        <w:rPr>
          <w:rFonts w:cs="Arial"/>
          <w:sz w:val="24"/>
          <w:szCs w:val="24"/>
          <w:lang w:val="en-GB"/>
        </w:rPr>
        <w:t>ocial services or receive state benefits.</w:t>
      </w:r>
      <w:r w:rsidR="00953A05">
        <w:rPr>
          <w:rFonts w:cs="Arial"/>
          <w:sz w:val="24"/>
          <w:szCs w:val="24"/>
          <w:lang w:val="en-GB"/>
        </w:rPr>
        <w:t xml:space="preserve"> </w:t>
      </w:r>
      <w:r w:rsidR="00953A05" w:rsidRPr="00205F75">
        <w:rPr>
          <w:rFonts w:cs="Arial"/>
          <w:b/>
          <w:sz w:val="24"/>
          <w:szCs w:val="24"/>
          <w:lang w:val="en-GB"/>
        </w:rPr>
        <w:t xml:space="preserve">Moreover, the entry into force of such free trade agreements </w:t>
      </w:r>
      <w:r w:rsidR="00C81F2A" w:rsidRPr="00205F75">
        <w:rPr>
          <w:rFonts w:cs="Arial"/>
          <w:b/>
          <w:sz w:val="24"/>
          <w:szCs w:val="24"/>
          <w:lang w:val="en-GB"/>
        </w:rPr>
        <w:t>i</w:t>
      </w:r>
      <w:r w:rsidR="00953A05" w:rsidRPr="00205F75">
        <w:rPr>
          <w:rFonts w:cs="Arial"/>
          <w:b/>
          <w:sz w:val="24"/>
          <w:szCs w:val="24"/>
          <w:lang w:val="en-GB"/>
        </w:rPr>
        <w:t>s likely to further increase poverty and exclusion, through an abrupt erosion of social, employment, and environmental rights and standards, as further explored in the sessions below.</w:t>
      </w:r>
    </w:p>
    <w:p w:rsidR="00156F83" w:rsidRPr="00615A13" w:rsidRDefault="00156F83" w:rsidP="00FD544B">
      <w:pPr>
        <w:jc w:val="both"/>
        <w:rPr>
          <w:rFonts w:cs="Arial"/>
          <w:sz w:val="24"/>
          <w:szCs w:val="24"/>
          <w:lang w:val="en-GB"/>
        </w:rPr>
      </w:pPr>
    </w:p>
    <w:p w:rsidR="006F688C" w:rsidRDefault="006F688C" w:rsidP="00FD544B">
      <w:pPr>
        <w:jc w:val="both"/>
        <w:rPr>
          <w:rFonts w:cs="Arial"/>
          <w:sz w:val="24"/>
          <w:szCs w:val="24"/>
          <w:lang w:val="en-GB"/>
        </w:rPr>
      </w:pPr>
    </w:p>
    <w:p w:rsidR="00B45F4A" w:rsidRDefault="00B45F4A" w:rsidP="00FD544B">
      <w:pPr>
        <w:jc w:val="both"/>
        <w:rPr>
          <w:rFonts w:cs="Arial"/>
          <w:sz w:val="24"/>
          <w:szCs w:val="24"/>
          <w:lang w:val="en-GB"/>
        </w:rPr>
      </w:pPr>
    </w:p>
    <w:p w:rsidR="00B45F4A" w:rsidRDefault="00B45F4A" w:rsidP="00FD544B">
      <w:pPr>
        <w:jc w:val="both"/>
        <w:rPr>
          <w:rFonts w:cs="Arial"/>
          <w:sz w:val="24"/>
          <w:szCs w:val="24"/>
          <w:lang w:val="en-GB"/>
        </w:rPr>
      </w:pPr>
    </w:p>
    <w:p w:rsidR="00B45F4A" w:rsidRPr="00615A13" w:rsidRDefault="00B45F4A" w:rsidP="00FD544B">
      <w:pPr>
        <w:jc w:val="both"/>
        <w:rPr>
          <w:rFonts w:cs="Arial"/>
          <w:sz w:val="24"/>
          <w:szCs w:val="24"/>
          <w:lang w:val="en-GB"/>
        </w:rPr>
      </w:pPr>
    </w:p>
    <w:p w:rsidR="006C688D" w:rsidRPr="00615A13" w:rsidRDefault="006C688D" w:rsidP="00FD544B">
      <w:pPr>
        <w:jc w:val="both"/>
        <w:rPr>
          <w:rFonts w:cs="Arial"/>
          <w:sz w:val="24"/>
          <w:szCs w:val="24"/>
          <w:lang w:val="en-GB"/>
        </w:rPr>
      </w:pPr>
    </w:p>
    <w:p w:rsidR="00156F83" w:rsidRPr="00615A13" w:rsidRDefault="00A03BAE" w:rsidP="00FD544B">
      <w:pPr>
        <w:pStyle w:val="ListParagraph"/>
        <w:numPr>
          <w:ilvl w:val="0"/>
          <w:numId w:val="1"/>
        </w:numPr>
        <w:jc w:val="both"/>
        <w:rPr>
          <w:rFonts w:cs="Arial"/>
          <w:b/>
          <w:sz w:val="24"/>
          <w:szCs w:val="24"/>
          <w:lang w:val="en-GB"/>
        </w:rPr>
      </w:pPr>
      <w:r w:rsidRPr="00615A13">
        <w:rPr>
          <w:rFonts w:cs="Arial"/>
          <w:b/>
          <w:sz w:val="24"/>
          <w:szCs w:val="24"/>
          <w:lang w:val="en-GB"/>
        </w:rPr>
        <w:t xml:space="preserve">Effects on </w:t>
      </w:r>
      <w:r w:rsidR="00483603">
        <w:rPr>
          <w:rFonts w:cs="Arial"/>
          <w:b/>
          <w:sz w:val="24"/>
          <w:szCs w:val="24"/>
          <w:lang w:val="en-GB"/>
        </w:rPr>
        <w:t>E</w:t>
      </w:r>
      <w:r w:rsidRPr="00615A13">
        <w:rPr>
          <w:rFonts w:cs="Arial"/>
          <w:b/>
          <w:sz w:val="24"/>
          <w:szCs w:val="24"/>
          <w:lang w:val="en-GB"/>
        </w:rPr>
        <w:t xml:space="preserve">conomy and </w:t>
      </w:r>
      <w:r w:rsidR="00483603">
        <w:rPr>
          <w:rFonts w:cs="Arial"/>
          <w:b/>
          <w:sz w:val="24"/>
          <w:szCs w:val="24"/>
          <w:lang w:val="en-GB"/>
        </w:rPr>
        <w:t>E</w:t>
      </w:r>
      <w:r w:rsidRPr="00615A13">
        <w:rPr>
          <w:rFonts w:cs="Arial"/>
          <w:b/>
          <w:sz w:val="24"/>
          <w:szCs w:val="24"/>
          <w:lang w:val="en-GB"/>
        </w:rPr>
        <w:t>mployment</w:t>
      </w:r>
    </w:p>
    <w:p w:rsidR="006F688C" w:rsidRPr="00615A13" w:rsidRDefault="006F688C" w:rsidP="00FD544B">
      <w:pPr>
        <w:jc w:val="both"/>
        <w:rPr>
          <w:rFonts w:cs="Arial"/>
          <w:b/>
          <w:sz w:val="24"/>
          <w:szCs w:val="24"/>
          <w:lang w:val="en-GB"/>
        </w:rPr>
      </w:pPr>
    </w:p>
    <w:p w:rsidR="00AF4542" w:rsidRDefault="00A03BAE" w:rsidP="00FD544B">
      <w:pPr>
        <w:jc w:val="both"/>
        <w:rPr>
          <w:rFonts w:cs="Arial"/>
          <w:sz w:val="24"/>
          <w:szCs w:val="24"/>
          <w:lang w:val="en-GB"/>
        </w:rPr>
      </w:pPr>
      <w:r w:rsidRPr="00615A13">
        <w:rPr>
          <w:rFonts w:cs="Arial"/>
          <w:sz w:val="24"/>
          <w:szCs w:val="24"/>
          <w:lang w:val="en-GB"/>
        </w:rPr>
        <w:t>The optimistic forecasts of the European Commission that the European economy could grow by an annual rate of EUR 120 billion due to TTIP</w:t>
      </w:r>
      <w:r w:rsidR="0078467A">
        <w:rPr>
          <w:rStyle w:val="FootnoteReference"/>
          <w:rFonts w:cs="Arial"/>
          <w:sz w:val="24"/>
          <w:szCs w:val="24"/>
          <w:lang w:val="en-GB"/>
        </w:rPr>
        <w:footnoteReference w:id="3"/>
      </w:r>
      <w:r w:rsidRPr="00615A13">
        <w:rPr>
          <w:rFonts w:cs="Arial"/>
          <w:sz w:val="24"/>
          <w:szCs w:val="24"/>
          <w:lang w:val="en-GB"/>
        </w:rPr>
        <w:t>, are contrary to studies</w:t>
      </w:r>
      <w:r w:rsidR="00736C4B">
        <w:rPr>
          <w:rStyle w:val="FootnoteReference"/>
          <w:rFonts w:cs="Arial"/>
          <w:sz w:val="24"/>
          <w:szCs w:val="24"/>
          <w:lang w:val="en-GB"/>
        </w:rPr>
        <w:footnoteReference w:id="4"/>
      </w:r>
      <w:r w:rsidRPr="00615A13">
        <w:rPr>
          <w:rFonts w:cs="Arial"/>
          <w:sz w:val="24"/>
          <w:szCs w:val="24"/>
          <w:lang w:val="en-GB"/>
        </w:rPr>
        <w:t xml:space="preserve"> that predict only minimal employment and growth effects</w:t>
      </w:r>
      <w:r w:rsidR="002847A9" w:rsidRPr="00615A13">
        <w:rPr>
          <w:rFonts w:cs="Arial"/>
          <w:sz w:val="24"/>
          <w:szCs w:val="24"/>
          <w:lang w:val="en-GB"/>
        </w:rPr>
        <w:t xml:space="preserve">. Reservations about these predictions are likely to be proved right if the effects of previous free trade agreements are taken into consideration. For example, the economic benefits of the North American Free Trade Agreement </w:t>
      </w:r>
      <w:r w:rsidR="00F168C9" w:rsidRPr="00615A13">
        <w:rPr>
          <w:rFonts w:cs="Arial"/>
          <w:sz w:val="24"/>
          <w:szCs w:val="24"/>
          <w:lang w:val="en-GB"/>
        </w:rPr>
        <w:t>(</w:t>
      </w:r>
      <w:r w:rsidR="002847A9" w:rsidRPr="00615A13">
        <w:rPr>
          <w:rFonts w:cs="Arial"/>
          <w:sz w:val="24"/>
          <w:szCs w:val="24"/>
          <w:lang w:val="en-GB"/>
        </w:rPr>
        <w:t>NAFTA</w:t>
      </w:r>
      <w:r w:rsidR="00F168C9" w:rsidRPr="00615A13">
        <w:rPr>
          <w:rFonts w:cs="Arial"/>
          <w:sz w:val="24"/>
          <w:szCs w:val="24"/>
          <w:lang w:val="en-GB"/>
        </w:rPr>
        <w:t>)</w:t>
      </w:r>
      <w:r w:rsidR="002847A9" w:rsidRPr="00615A13">
        <w:rPr>
          <w:rFonts w:cs="Arial"/>
          <w:sz w:val="24"/>
          <w:szCs w:val="24"/>
          <w:lang w:val="en-GB"/>
        </w:rPr>
        <w:t xml:space="preserve"> between the US, Canada and Mexico are controversial. However it is undeniable that the predicted employment growth has not occurred.</w:t>
      </w:r>
      <w:r w:rsidR="009E1E31">
        <w:rPr>
          <w:rStyle w:val="FootnoteReference"/>
          <w:rFonts w:cs="Arial"/>
          <w:sz w:val="24"/>
          <w:szCs w:val="24"/>
          <w:lang w:val="en-GB"/>
        </w:rPr>
        <w:footnoteReference w:id="5"/>
      </w:r>
      <w:r w:rsidR="002847A9" w:rsidRPr="00615A13">
        <w:rPr>
          <w:rFonts w:cs="Arial"/>
          <w:sz w:val="24"/>
          <w:szCs w:val="24"/>
          <w:lang w:val="en-GB"/>
        </w:rPr>
        <w:t xml:space="preserve"> It is therefore doubtful whether the annual gain of more than EUR 500 for a family of four forecas</w:t>
      </w:r>
      <w:r w:rsidR="00C52983" w:rsidRPr="00615A13">
        <w:rPr>
          <w:rFonts w:cs="Arial"/>
          <w:sz w:val="24"/>
          <w:szCs w:val="24"/>
          <w:lang w:val="en-GB"/>
        </w:rPr>
        <w:t>t</w:t>
      </w:r>
      <w:r w:rsidR="002847A9" w:rsidRPr="00615A13">
        <w:rPr>
          <w:rFonts w:cs="Arial"/>
          <w:sz w:val="24"/>
          <w:szCs w:val="24"/>
          <w:lang w:val="en-GB"/>
        </w:rPr>
        <w:t>ed for the EU will occur. This is especially true for the growing population at risk of poverty and social exclusion, which has risen to over 120 million people within the EU (24.5% of the population).</w:t>
      </w:r>
    </w:p>
    <w:p w:rsidR="00F84FED" w:rsidRDefault="00F84FED" w:rsidP="00FD544B">
      <w:pPr>
        <w:jc w:val="both"/>
        <w:rPr>
          <w:rFonts w:cs="Arial"/>
          <w:sz w:val="24"/>
          <w:szCs w:val="24"/>
          <w:lang w:val="en-GB"/>
        </w:rPr>
      </w:pPr>
    </w:p>
    <w:p w:rsidR="00F84FED" w:rsidRDefault="00F84FED" w:rsidP="00FD544B">
      <w:pPr>
        <w:jc w:val="both"/>
        <w:rPr>
          <w:rFonts w:cs="Arial"/>
          <w:sz w:val="24"/>
          <w:szCs w:val="24"/>
          <w:lang w:val="en-GB"/>
        </w:rPr>
      </w:pPr>
    </w:p>
    <w:p w:rsidR="00337205" w:rsidRPr="00205F75" w:rsidRDefault="006214B1" w:rsidP="00FD544B">
      <w:pPr>
        <w:jc w:val="both"/>
        <w:rPr>
          <w:rFonts w:cs="Arial"/>
          <w:b/>
          <w:sz w:val="24"/>
          <w:szCs w:val="24"/>
          <w:lang w:val="en-GB"/>
        </w:rPr>
      </w:pPr>
      <w:r w:rsidRPr="00615A13">
        <w:rPr>
          <w:rFonts w:cs="Arial"/>
          <w:sz w:val="24"/>
          <w:szCs w:val="24"/>
          <w:lang w:val="en-GB"/>
        </w:rPr>
        <w:t>There are also concerns that TTIP could lead to a reduction of workers' rights in the EU, which are high in comparison to those in the USA, if these are classified as barriers to trade. Unlike the EU, the U</w:t>
      </w:r>
      <w:r w:rsidR="00615A13" w:rsidRPr="00615A13">
        <w:rPr>
          <w:rFonts w:cs="Arial"/>
          <w:sz w:val="24"/>
          <w:szCs w:val="24"/>
          <w:lang w:val="en-GB"/>
        </w:rPr>
        <w:t>nited States ha</w:t>
      </w:r>
      <w:r w:rsidR="00AF4542">
        <w:rPr>
          <w:rFonts w:cs="Arial"/>
          <w:sz w:val="24"/>
          <w:szCs w:val="24"/>
          <w:lang w:val="en-GB"/>
        </w:rPr>
        <w:t>ve</w:t>
      </w:r>
      <w:r w:rsidR="00615A13" w:rsidRPr="00615A13">
        <w:rPr>
          <w:rFonts w:cs="Arial"/>
          <w:sz w:val="24"/>
          <w:szCs w:val="24"/>
          <w:lang w:val="en-GB"/>
        </w:rPr>
        <w:t xml:space="preserve"> so far recognis</w:t>
      </w:r>
      <w:r w:rsidRPr="00615A13">
        <w:rPr>
          <w:rFonts w:cs="Arial"/>
          <w:sz w:val="24"/>
          <w:szCs w:val="24"/>
          <w:lang w:val="en-GB"/>
        </w:rPr>
        <w:t>ed only two of the eight core labour standards of the International Labour Organisation (ILO)</w:t>
      </w:r>
      <w:r w:rsidR="009E1E31">
        <w:rPr>
          <w:rStyle w:val="FootnoteReference"/>
          <w:rFonts w:cs="Arial"/>
          <w:sz w:val="24"/>
          <w:szCs w:val="24"/>
          <w:lang w:val="en-GB"/>
        </w:rPr>
        <w:footnoteReference w:id="6"/>
      </w:r>
      <w:r w:rsidRPr="00615A13">
        <w:rPr>
          <w:rFonts w:cs="Arial"/>
          <w:sz w:val="24"/>
          <w:szCs w:val="24"/>
          <w:lang w:val="en-GB"/>
        </w:rPr>
        <w:t>. This could lead to a further increase in competitive pressure and could cause production and employment to be relocated to where workers' rights and wages are lowest.</w:t>
      </w:r>
      <w:r w:rsidR="006E38DE" w:rsidRPr="00615A13">
        <w:rPr>
          <w:rFonts w:cs="Arial"/>
          <w:sz w:val="24"/>
          <w:szCs w:val="24"/>
          <w:lang w:val="en-GB"/>
        </w:rPr>
        <w:t xml:space="preserve"> This could result in poorer and cheaper standards supplanting better and more expensive standards within the market. Therefore the low-wage sector could be affected by a further increase in in-work poverty if wages stagnate or drop. Thus, the growing income divide could continue to increase in </w:t>
      </w:r>
      <w:r w:rsidR="00356848">
        <w:rPr>
          <w:rFonts w:cs="Arial"/>
          <w:sz w:val="24"/>
          <w:szCs w:val="24"/>
          <w:lang w:val="en-GB"/>
        </w:rPr>
        <w:t>Europe</w:t>
      </w:r>
      <w:r w:rsidR="006E38DE" w:rsidRPr="00615A13">
        <w:rPr>
          <w:rFonts w:cs="Arial"/>
          <w:sz w:val="24"/>
          <w:szCs w:val="24"/>
          <w:lang w:val="en-GB"/>
        </w:rPr>
        <w:t>. To prevent this, it must be ensured that trade agreements are linked to the strengthening of workers' rights</w:t>
      </w:r>
      <w:r w:rsidR="00C81F2A">
        <w:rPr>
          <w:rFonts w:cs="Arial"/>
          <w:sz w:val="24"/>
          <w:szCs w:val="24"/>
          <w:lang w:val="en-GB"/>
        </w:rPr>
        <w:t>,</w:t>
      </w:r>
      <w:r w:rsidR="00356848">
        <w:rPr>
          <w:rFonts w:cs="Arial"/>
          <w:sz w:val="24"/>
          <w:szCs w:val="24"/>
          <w:lang w:val="en-GB"/>
        </w:rPr>
        <w:t xml:space="preserve"> </w:t>
      </w:r>
      <w:r w:rsidR="00356848" w:rsidRPr="00205F75">
        <w:rPr>
          <w:rFonts w:cs="Arial"/>
          <w:b/>
          <w:sz w:val="24"/>
          <w:szCs w:val="24"/>
          <w:lang w:val="en-GB"/>
        </w:rPr>
        <w:t>to the preservation of employment standards</w:t>
      </w:r>
      <w:r w:rsidR="00C81F2A" w:rsidRPr="00205F75">
        <w:rPr>
          <w:rFonts w:cs="Arial"/>
          <w:b/>
          <w:sz w:val="24"/>
          <w:szCs w:val="24"/>
          <w:lang w:val="en-GB"/>
        </w:rPr>
        <w:t>,</w:t>
      </w:r>
      <w:r w:rsidR="00356848" w:rsidRPr="00205F75">
        <w:rPr>
          <w:rFonts w:cs="Arial"/>
          <w:b/>
          <w:sz w:val="24"/>
          <w:szCs w:val="24"/>
          <w:lang w:val="en-GB"/>
        </w:rPr>
        <w:t xml:space="preserve"> linked to decent pay and working conditions (including sustainability of contracts, social protection contributions etc), as well as strong trade union representation and reinforced collective bargaining mechanisms. </w:t>
      </w:r>
    </w:p>
    <w:p w:rsidR="003F7F87" w:rsidRPr="00FD544B" w:rsidRDefault="003F7F87" w:rsidP="00FD544B">
      <w:pPr>
        <w:jc w:val="both"/>
        <w:rPr>
          <w:rFonts w:cs="Arial"/>
          <w:i/>
          <w:sz w:val="24"/>
          <w:szCs w:val="24"/>
          <w:lang w:val="en-GB"/>
        </w:rPr>
      </w:pPr>
      <w:r w:rsidRPr="00FD544B">
        <w:rPr>
          <w:rFonts w:cs="Arial"/>
          <w:i/>
          <w:sz w:val="24"/>
          <w:szCs w:val="24"/>
          <w:lang w:val="en-GB"/>
        </w:rPr>
        <w:t xml:space="preserve"> </w:t>
      </w:r>
    </w:p>
    <w:p w:rsidR="003F7F87" w:rsidRPr="00615A13" w:rsidRDefault="003F7F87" w:rsidP="00FD544B">
      <w:pPr>
        <w:jc w:val="both"/>
        <w:rPr>
          <w:rFonts w:cs="Arial"/>
          <w:sz w:val="24"/>
          <w:szCs w:val="24"/>
          <w:lang w:val="en-GB"/>
        </w:rPr>
      </w:pPr>
    </w:p>
    <w:p w:rsidR="006F688C" w:rsidRDefault="006F688C" w:rsidP="00FD544B">
      <w:pPr>
        <w:jc w:val="both"/>
        <w:rPr>
          <w:rFonts w:cs="Arial"/>
          <w:sz w:val="24"/>
          <w:szCs w:val="24"/>
          <w:lang w:val="en-GB"/>
        </w:rPr>
      </w:pPr>
    </w:p>
    <w:p w:rsidR="00B45F4A" w:rsidRDefault="00B45F4A" w:rsidP="00FD544B">
      <w:pPr>
        <w:jc w:val="both"/>
        <w:rPr>
          <w:rFonts w:cs="Arial"/>
          <w:sz w:val="24"/>
          <w:szCs w:val="24"/>
          <w:lang w:val="en-GB"/>
        </w:rPr>
      </w:pPr>
    </w:p>
    <w:p w:rsidR="00B45F4A" w:rsidRDefault="00B45F4A" w:rsidP="00FD544B">
      <w:pPr>
        <w:jc w:val="both"/>
        <w:rPr>
          <w:rFonts w:cs="Arial"/>
          <w:sz w:val="24"/>
          <w:szCs w:val="24"/>
          <w:lang w:val="en-GB"/>
        </w:rPr>
      </w:pPr>
    </w:p>
    <w:p w:rsidR="00B45F4A" w:rsidRDefault="00B45F4A" w:rsidP="00FD544B">
      <w:pPr>
        <w:jc w:val="both"/>
        <w:rPr>
          <w:rFonts w:cs="Arial"/>
          <w:sz w:val="24"/>
          <w:szCs w:val="24"/>
          <w:lang w:val="en-GB"/>
        </w:rPr>
      </w:pPr>
    </w:p>
    <w:p w:rsidR="00156F83" w:rsidRPr="00615A13" w:rsidRDefault="006E38DE" w:rsidP="00FD544B">
      <w:pPr>
        <w:pStyle w:val="ListParagraph"/>
        <w:numPr>
          <w:ilvl w:val="0"/>
          <w:numId w:val="1"/>
        </w:numPr>
        <w:jc w:val="both"/>
        <w:rPr>
          <w:rFonts w:cs="Arial"/>
          <w:b/>
          <w:sz w:val="24"/>
          <w:szCs w:val="24"/>
          <w:lang w:val="en-GB"/>
        </w:rPr>
      </w:pPr>
      <w:r w:rsidRPr="00615A13">
        <w:rPr>
          <w:rFonts w:cs="Arial"/>
          <w:b/>
          <w:sz w:val="24"/>
          <w:szCs w:val="24"/>
          <w:lang w:val="en-GB"/>
        </w:rPr>
        <w:t xml:space="preserve">Criticisms of </w:t>
      </w:r>
      <w:r w:rsidR="00483603">
        <w:rPr>
          <w:rFonts w:cs="Arial"/>
          <w:b/>
          <w:sz w:val="24"/>
          <w:szCs w:val="24"/>
          <w:lang w:val="en-GB"/>
        </w:rPr>
        <w:t>T</w:t>
      </w:r>
      <w:r w:rsidRPr="00615A13">
        <w:rPr>
          <w:rFonts w:cs="Arial"/>
          <w:b/>
          <w:sz w:val="24"/>
          <w:szCs w:val="24"/>
          <w:lang w:val="en-GB"/>
        </w:rPr>
        <w:t xml:space="preserve">ransparency and </w:t>
      </w:r>
      <w:r w:rsidR="00483603">
        <w:rPr>
          <w:rFonts w:cs="Arial"/>
          <w:b/>
          <w:sz w:val="24"/>
          <w:szCs w:val="24"/>
          <w:lang w:val="en-GB"/>
        </w:rPr>
        <w:t>D</w:t>
      </w:r>
      <w:r w:rsidRPr="00615A13">
        <w:rPr>
          <w:rFonts w:cs="Arial"/>
          <w:b/>
          <w:sz w:val="24"/>
          <w:szCs w:val="24"/>
          <w:lang w:val="en-GB"/>
        </w:rPr>
        <w:t xml:space="preserve">emocratic </w:t>
      </w:r>
      <w:r w:rsidR="00483603">
        <w:rPr>
          <w:rFonts w:cs="Arial"/>
          <w:b/>
          <w:sz w:val="24"/>
          <w:szCs w:val="24"/>
          <w:lang w:val="en-GB"/>
        </w:rPr>
        <w:t>D</w:t>
      </w:r>
      <w:r w:rsidRPr="00615A13">
        <w:rPr>
          <w:rFonts w:cs="Arial"/>
          <w:b/>
          <w:sz w:val="24"/>
          <w:szCs w:val="24"/>
          <w:lang w:val="en-GB"/>
        </w:rPr>
        <w:t>eficit</w:t>
      </w:r>
    </w:p>
    <w:p w:rsidR="006F688C" w:rsidRPr="00615A13" w:rsidRDefault="006F688C" w:rsidP="00FD544B">
      <w:pPr>
        <w:jc w:val="both"/>
        <w:rPr>
          <w:rFonts w:cs="Arial"/>
          <w:b/>
          <w:sz w:val="24"/>
          <w:szCs w:val="24"/>
          <w:lang w:val="en-GB"/>
        </w:rPr>
      </w:pPr>
    </w:p>
    <w:p w:rsidR="00945428" w:rsidRDefault="002941E4" w:rsidP="00FD544B">
      <w:pPr>
        <w:jc w:val="both"/>
        <w:rPr>
          <w:rFonts w:cs="Arial"/>
          <w:sz w:val="24"/>
          <w:szCs w:val="24"/>
          <w:lang w:val="en-GB"/>
        </w:rPr>
      </w:pPr>
      <w:r w:rsidRPr="00615A13">
        <w:rPr>
          <w:rFonts w:cs="Arial"/>
          <w:sz w:val="24"/>
          <w:szCs w:val="24"/>
          <w:lang w:val="en-GB"/>
        </w:rPr>
        <w:t>After ratification by the respective contractual parties, international agreements such as TTIP, CETA and TiSA are international treaties which have priority over nation-state law.</w:t>
      </w:r>
      <w:r w:rsidR="004F1A03">
        <w:rPr>
          <w:rStyle w:val="FootnoteReference"/>
          <w:rFonts w:cs="Arial"/>
          <w:sz w:val="24"/>
          <w:szCs w:val="24"/>
          <w:lang w:val="en-GB"/>
        </w:rPr>
        <w:footnoteReference w:id="7"/>
      </w:r>
      <w:r w:rsidRPr="00615A13">
        <w:rPr>
          <w:rFonts w:cs="Arial"/>
          <w:sz w:val="24"/>
          <w:szCs w:val="24"/>
          <w:lang w:val="en-GB"/>
        </w:rPr>
        <w:t xml:space="preserve"> Once the treaty has entered into force, the agreement of all contractual parties is required for any alteration. Unless clauses for the termination or end of the TTIP contract are provided, the agreement is of indefinite duration.</w:t>
      </w:r>
    </w:p>
    <w:p w:rsidR="003F7F87" w:rsidRDefault="002941E4" w:rsidP="00FD544B">
      <w:pPr>
        <w:jc w:val="both"/>
        <w:rPr>
          <w:rFonts w:cs="Arial"/>
          <w:sz w:val="24"/>
          <w:szCs w:val="24"/>
          <w:lang w:val="en-GB"/>
        </w:rPr>
      </w:pPr>
      <w:r w:rsidRPr="00615A13">
        <w:rPr>
          <w:rFonts w:cs="Arial"/>
          <w:sz w:val="24"/>
          <w:szCs w:val="24"/>
          <w:lang w:val="en-GB"/>
        </w:rPr>
        <w:t xml:space="preserve"> </w:t>
      </w:r>
    </w:p>
    <w:p w:rsidR="00AF4542" w:rsidRDefault="002941E4" w:rsidP="00FD544B">
      <w:pPr>
        <w:jc w:val="both"/>
        <w:rPr>
          <w:rFonts w:cs="Arial"/>
          <w:sz w:val="24"/>
          <w:szCs w:val="24"/>
          <w:lang w:val="en-GB"/>
        </w:rPr>
      </w:pPr>
      <w:r w:rsidRPr="00615A13">
        <w:rPr>
          <w:rFonts w:cs="Arial"/>
          <w:sz w:val="24"/>
          <w:szCs w:val="24"/>
          <w:lang w:val="en-GB"/>
        </w:rPr>
        <w:t>To date, it is planned to publish the contractual texts after conclusion of the negotiations.</w:t>
      </w:r>
      <w:r w:rsidR="003F7F87">
        <w:rPr>
          <w:rFonts w:cs="Arial"/>
          <w:sz w:val="24"/>
          <w:szCs w:val="24"/>
          <w:lang w:val="en-GB"/>
        </w:rPr>
        <w:t xml:space="preserve"> </w:t>
      </w:r>
      <w:r w:rsidRPr="00615A13">
        <w:rPr>
          <w:rFonts w:cs="Arial"/>
          <w:sz w:val="24"/>
          <w:szCs w:val="24"/>
          <w:lang w:val="en-GB"/>
        </w:rPr>
        <w:t>Due to the widespread impact of the free trade agreement</w:t>
      </w:r>
      <w:r w:rsidR="00AF4542">
        <w:rPr>
          <w:rFonts w:cs="Arial"/>
          <w:sz w:val="24"/>
          <w:szCs w:val="24"/>
          <w:lang w:val="en-GB"/>
        </w:rPr>
        <w:t>s</w:t>
      </w:r>
      <w:r w:rsidRPr="00615A13">
        <w:rPr>
          <w:rFonts w:cs="Arial"/>
          <w:sz w:val="24"/>
          <w:szCs w:val="24"/>
          <w:lang w:val="en-GB"/>
        </w:rPr>
        <w:t xml:space="preserve">, the broad participation of civil society and the general public is essential. The </w:t>
      </w:r>
      <w:r w:rsidR="00945428">
        <w:rPr>
          <w:rFonts w:cs="Arial"/>
          <w:sz w:val="24"/>
          <w:szCs w:val="24"/>
          <w:lang w:val="en-GB"/>
        </w:rPr>
        <w:t>continuous</w:t>
      </w:r>
      <w:r w:rsidR="00945428" w:rsidRPr="00615A13">
        <w:rPr>
          <w:rFonts w:cs="Arial"/>
          <w:sz w:val="24"/>
          <w:szCs w:val="24"/>
          <w:lang w:val="en-GB"/>
        </w:rPr>
        <w:t xml:space="preserve"> </w:t>
      </w:r>
      <w:r w:rsidRPr="00615A13">
        <w:rPr>
          <w:rFonts w:cs="Arial"/>
          <w:sz w:val="24"/>
          <w:szCs w:val="24"/>
          <w:lang w:val="en-GB"/>
        </w:rPr>
        <w:t>lack of transparency of the negotiations by the European Commission has led to a loss of legitimacy and widespread rejection by the public.</w:t>
      </w:r>
      <w:r w:rsidR="004F1A03">
        <w:rPr>
          <w:rStyle w:val="FootnoteReference"/>
          <w:rFonts w:cs="Arial"/>
          <w:sz w:val="24"/>
          <w:szCs w:val="24"/>
          <w:lang w:val="en-GB"/>
        </w:rPr>
        <w:footnoteReference w:id="8"/>
      </w:r>
      <w:r w:rsidRPr="00615A13">
        <w:rPr>
          <w:rFonts w:cs="Arial"/>
          <w:sz w:val="24"/>
          <w:szCs w:val="24"/>
          <w:lang w:val="en-GB"/>
        </w:rPr>
        <w:t xml:space="preserve"> Only a consistent disclosure of all negotiation texts </w:t>
      </w:r>
      <w:r w:rsidR="006C6EED" w:rsidRPr="00615A13">
        <w:rPr>
          <w:rFonts w:cs="Arial"/>
          <w:sz w:val="24"/>
          <w:szCs w:val="24"/>
          <w:lang w:val="en-GB"/>
        </w:rPr>
        <w:t xml:space="preserve">would make evident whether </w:t>
      </w:r>
      <w:r w:rsidRPr="00615A13">
        <w:rPr>
          <w:rFonts w:cs="Arial"/>
          <w:sz w:val="24"/>
          <w:szCs w:val="24"/>
          <w:lang w:val="en-GB"/>
        </w:rPr>
        <w:t xml:space="preserve">standards </w:t>
      </w:r>
      <w:r w:rsidR="006C6EED" w:rsidRPr="00615A13">
        <w:rPr>
          <w:rFonts w:cs="Arial"/>
          <w:sz w:val="24"/>
          <w:szCs w:val="24"/>
          <w:lang w:val="en-GB"/>
        </w:rPr>
        <w:t xml:space="preserve">and safety regulations </w:t>
      </w:r>
      <w:r w:rsidRPr="00615A13">
        <w:rPr>
          <w:rFonts w:cs="Arial"/>
          <w:sz w:val="24"/>
          <w:szCs w:val="24"/>
          <w:lang w:val="en-GB"/>
        </w:rPr>
        <w:t>in the EU</w:t>
      </w:r>
      <w:r w:rsidR="006C6EED" w:rsidRPr="00615A13">
        <w:rPr>
          <w:rFonts w:cs="Arial"/>
          <w:sz w:val="24"/>
          <w:szCs w:val="24"/>
          <w:lang w:val="en-GB"/>
        </w:rPr>
        <w:t xml:space="preserve"> may be reduced</w:t>
      </w:r>
      <w:r w:rsidRPr="00615A13">
        <w:rPr>
          <w:rFonts w:cs="Arial"/>
          <w:sz w:val="24"/>
          <w:szCs w:val="24"/>
          <w:lang w:val="en-GB"/>
        </w:rPr>
        <w:t>.</w:t>
      </w:r>
      <w:r w:rsidR="006C6EED" w:rsidRPr="00615A13">
        <w:rPr>
          <w:rFonts w:cs="Arial"/>
          <w:sz w:val="24"/>
          <w:szCs w:val="24"/>
          <w:lang w:val="en-GB"/>
        </w:rPr>
        <w:t xml:space="preserve"> This can</w:t>
      </w:r>
      <w:r w:rsidRPr="00615A13">
        <w:rPr>
          <w:rFonts w:cs="Arial"/>
          <w:sz w:val="24"/>
          <w:szCs w:val="24"/>
          <w:lang w:val="en-GB"/>
        </w:rPr>
        <w:t xml:space="preserve">not </w:t>
      </w:r>
      <w:r w:rsidR="006C6EED" w:rsidRPr="00615A13">
        <w:rPr>
          <w:rFonts w:cs="Arial"/>
          <w:sz w:val="24"/>
          <w:szCs w:val="24"/>
          <w:lang w:val="en-GB"/>
        </w:rPr>
        <w:t xml:space="preserve">only </w:t>
      </w:r>
      <w:r w:rsidRPr="00615A13">
        <w:rPr>
          <w:rFonts w:cs="Arial"/>
          <w:sz w:val="24"/>
          <w:szCs w:val="24"/>
          <w:lang w:val="en-GB"/>
        </w:rPr>
        <w:t xml:space="preserve">be done at the end of the negotiations, but must </w:t>
      </w:r>
      <w:r w:rsidR="006C6EED" w:rsidRPr="00615A13">
        <w:rPr>
          <w:rFonts w:cs="Arial"/>
          <w:sz w:val="24"/>
          <w:szCs w:val="24"/>
          <w:lang w:val="en-GB"/>
        </w:rPr>
        <w:t xml:space="preserve">be carried out </w:t>
      </w:r>
      <w:r w:rsidRPr="00615A13">
        <w:rPr>
          <w:rFonts w:cs="Arial"/>
          <w:sz w:val="24"/>
          <w:szCs w:val="24"/>
          <w:lang w:val="en-GB"/>
        </w:rPr>
        <w:t>continuously and comprehensively.</w:t>
      </w:r>
    </w:p>
    <w:p w:rsidR="00945428" w:rsidRDefault="00945428" w:rsidP="00FD544B">
      <w:pPr>
        <w:jc w:val="both"/>
        <w:rPr>
          <w:rFonts w:cs="Arial"/>
          <w:sz w:val="24"/>
          <w:szCs w:val="24"/>
          <w:lang w:val="en-GB"/>
        </w:rPr>
      </w:pPr>
    </w:p>
    <w:p w:rsidR="00970AFC" w:rsidRPr="00615A13" w:rsidRDefault="00970AFC" w:rsidP="00FD544B">
      <w:pPr>
        <w:jc w:val="both"/>
        <w:rPr>
          <w:rFonts w:cs="Arial"/>
          <w:sz w:val="24"/>
          <w:szCs w:val="24"/>
          <w:lang w:val="en-GB"/>
        </w:rPr>
      </w:pPr>
      <w:r w:rsidRPr="00615A13">
        <w:rPr>
          <w:rFonts w:cs="Arial"/>
          <w:sz w:val="24"/>
          <w:szCs w:val="24"/>
          <w:lang w:val="en-GB"/>
        </w:rPr>
        <w:t>A political dispute over an agreement for which the negotiations have been concluded is either not possible or very difficult, as the political costs of undoing the agreement are very high. The approval of the E</w:t>
      </w:r>
      <w:r w:rsidR="00945428">
        <w:rPr>
          <w:rFonts w:cs="Arial"/>
          <w:sz w:val="24"/>
          <w:szCs w:val="24"/>
          <w:lang w:val="en-GB"/>
        </w:rPr>
        <w:t>uropean</w:t>
      </w:r>
      <w:r w:rsidRPr="00615A13">
        <w:rPr>
          <w:rFonts w:cs="Arial"/>
          <w:sz w:val="24"/>
          <w:szCs w:val="24"/>
          <w:lang w:val="en-GB"/>
        </w:rPr>
        <w:t xml:space="preserve"> Commission, the European Parliament and the</w:t>
      </w:r>
      <w:r w:rsidR="00945428">
        <w:rPr>
          <w:rFonts w:cs="Arial"/>
          <w:sz w:val="24"/>
          <w:szCs w:val="24"/>
          <w:lang w:val="en-GB"/>
        </w:rPr>
        <w:t xml:space="preserve"> </w:t>
      </w:r>
      <w:r w:rsidRPr="00615A13">
        <w:rPr>
          <w:rFonts w:cs="Arial"/>
          <w:sz w:val="24"/>
          <w:szCs w:val="24"/>
          <w:lang w:val="en-GB"/>
        </w:rPr>
        <w:t xml:space="preserve">Council </w:t>
      </w:r>
      <w:r w:rsidR="00945428">
        <w:rPr>
          <w:rFonts w:cs="Arial"/>
          <w:sz w:val="24"/>
          <w:szCs w:val="24"/>
          <w:lang w:val="en-GB"/>
        </w:rPr>
        <w:t xml:space="preserve">of the European Union </w:t>
      </w:r>
      <w:r w:rsidRPr="00615A13">
        <w:rPr>
          <w:rFonts w:cs="Arial"/>
          <w:sz w:val="24"/>
          <w:szCs w:val="24"/>
          <w:lang w:val="en-GB"/>
        </w:rPr>
        <w:t xml:space="preserve">is not sufficient to legitimise the agreement, even if the trade policy is </w:t>
      </w:r>
      <w:r w:rsidR="00945428">
        <w:rPr>
          <w:rFonts w:cs="Arial"/>
          <w:sz w:val="24"/>
          <w:szCs w:val="24"/>
          <w:lang w:val="en-GB"/>
        </w:rPr>
        <w:t>an</w:t>
      </w:r>
      <w:r w:rsidRPr="00615A13">
        <w:rPr>
          <w:rFonts w:cs="Arial"/>
          <w:sz w:val="24"/>
          <w:szCs w:val="24"/>
          <w:lang w:val="en-GB"/>
        </w:rPr>
        <w:t xml:space="preserve"> exclusive competence of the EU. It is essential that all </w:t>
      </w:r>
      <w:r w:rsidR="00615A13">
        <w:rPr>
          <w:rFonts w:cs="Arial"/>
          <w:sz w:val="24"/>
          <w:szCs w:val="24"/>
          <w:lang w:val="en-GB"/>
        </w:rPr>
        <w:t xml:space="preserve">national parliaments of EU </w:t>
      </w:r>
      <w:r w:rsidR="00945428">
        <w:rPr>
          <w:rFonts w:cs="Arial"/>
          <w:sz w:val="24"/>
          <w:szCs w:val="24"/>
          <w:lang w:val="en-GB"/>
        </w:rPr>
        <w:t>M</w:t>
      </w:r>
      <w:r w:rsidR="00615A13">
        <w:rPr>
          <w:rFonts w:cs="Arial"/>
          <w:sz w:val="24"/>
          <w:szCs w:val="24"/>
          <w:lang w:val="en-GB"/>
        </w:rPr>
        <w:t xml:space="preserve">ember </w:t>
      </w:r>
      <w:r w:rsidR="00945428">
        <w:rPr>
          <w:rFonts w:cs="Arial"/>
          <w:sz w:val="24"/>
          <w:szCs w:val="24"/>
          <w:lang w:val="en-GB"/>
        </w:rPr>
        <w:t>S</w:t>
      </w:r>
      <w:r w:rsidRPr="00615A13">
        <w:rPr>
          <w:rFonts w:cs="Arial"/>
          <w:sz w:val="24"/>
          <w:szCs w:val="24"/>
          <w:lang w:val="en-GB"/>
        </w:rPr>
        <w:t>tates are involved in the ratification process of the free trade agreement</w:t>
      </w:r>
      <w:r w:rsidR="00D36DF2">
        <w:rPr>
          <w:rFonts w:cs="Arial"/>
          <w:sz w:val="24"/>
          <w:szCs w:val="24"/>
          <w:lang w:val="en-GB"/>
        </w:rPr>
        <w:t>s</w:t>
      </w:r>
      <w:r w:rsidRPr="00615A13">
        <w:rPr>
          <w:rFonts w:cs="Arial"/>
          <w:sz w:val="24"/>
          <w:szCs w:val="24"/>
          <w:lang w:val="en-GB"/>
        </w:rPr>
        <w:t>.</w:t>
      </w:r>
    </w:p>
    <w:p w:rsidR="006C688D" w:rsidRDefault="006C688D" w:rsidP="00FD544B">
      <w:pPr>
        <w:jc w:val="both"/>
        <w:rPr>
          <w:rFonts w:cs="Arial"/>
          <w:sz w:val="24"/>
          <w:szCs w:val="24"/>
          <w:lang w:val="en-GB"/>
        </w:rPr>
      </w:pPr>
    </w:p>
    <w:p w:rsidR="00945428" w:rsidRPr="00205F75" w:rsidRDefault="00945428" w:rsidP="00FD544B">
      <w:pPr>
        <w:jc w:val="both"/>
        <w:rPr>
          <w:rFonts w:cs="Arial"/>
          <w:b/>
          <w:sz w:val="24"/>
          <w:szCs w:val="24"/>
          <w:lang w:val="en-GB"/>
        </w:rPr>
      </w:pPr>
      <w:r w:rsidRPr="00205F75">
        <w:rPr>
          <w:rFonts w:cs="Arial"/>
          <w:b/>
          <w:sz w:val="24"/>
          <w:szCs w:val="24"/>
          <w:lang w:val="en-GB"/>
        </w:rPr>
        <w:t xml:space="preserve">It is equally important to foster open debates and encourage citizens and civil society to express critical views and to give their input on the proposed changes, as they would have a considerable impact on the population of the European Union. Decision-makers, at national </w:t>
      </w:r>
      <w:r w:rsidR="00B67619" w:rsidRPr="00205F75">
        <w:rPr>
          <w:rFonts w:cs="Arial"/>
          <w:b/>
          <w:sz w:val="24"/>
          <w:szCs w:val="24"/>
          <w:lang w:val="en-GB"/>
        </w:rPr>
        <w:t xml:space="preserve">and EU level, need to open up communication channels and provide information related to negotiations in full transparency, so as to allow the people of Europe to have their say on important changes that will affect them. </w:t>
      </w:r>
    </w:p>
    <w:p w:rsidR="00945428" w:rsidRDefault="00945428" w:rsidP="00FD544B">
      <w:pPr>
        <w:jc w:val="both"/>
        <w:rPr>
          <w:rFonts w:cs="Arial"/>
          <w:sz w:val="24"/>
          <w:szCs w:val="24"/>
          <w:lang w:val="en-GB"/>
        </w:rPr>
      </w:pPr>
    </w:p>
    <w:p w:rsidR="00156F83" w:rsidRPr="00615A13" w:rsidRDefault="00156F83" w:rsidP="00FD544B">
      <w:pPr>
        <w:jc w:val="both"/>
        <w:rPr>
          <w:rFonts w:cs="Arial"/>
          <w:sz w:val="24"/>
          <w:szCs w:val="24"/>
          <w:lang w:val="en-GB"/>
        </w:rPr>
      </w:pPr>
    </w:p>
    <w:p w:rsidR="00156F83" w:rsidRPr="00615A13" w:rsidRDefault="00970AFC" w:rsidP="00FD544B">
      <w:pPr>
        <w:pStyle w:val="ListParagraph"/>
        <w:numPr>
          <w:ilvl w:val="0"/>
          <w:numId w:val="1"/>
        </w:numPr>
        <w:jc w:val="both"/>
        <w:rPr>
          <w:rFonts w:cs="Arial"/>
          <w:b/>
          <w:sz w:val="24"/>
          <w:szCs w:val="24"/>
          <w:lang w:val="en-GB"/>
        </w:rPr>
      </w:pPr>
      <w:r w:rsidRPr="00615A13">
        <w:rPr>
          <w:rFonts w:cs="Arial"/>
          <w:b/>
          <w:sz w:val="24"/>
          <w:szCs w:val="24"/>
          <w:lang w:val="en-GB"/>
        </w:rPr>
        <w:t xml:space="preserve">Investment </w:t>
      </w:r>
      <w:r w:rsidR="00483603">
        <w:rPr>
          <w:rFonts w:cs="Arial"/>
          <w:b/>
          <w:sz w:val="24"/>
          <w:szCs w:val="24"/>
          <w:lang w:val="en-GB"/>
        </w:rPr>
        <w:t>P</w:t>
      </w:r>
      <w:r w:rsidR="00483603" w:rsidRPr="00615A13">
        <w:rPr>
          <w:rFonts w:cs="Arial"/>
          <w:b/>
          <w:sz w:val="24"/>
          <w:szCs w:val="24"/>
          <w:lang w:val="en-GB"/>
        </w:rPr>
        <w:t>rotection</w:t>
      </w:r>
    </w:p>
    <w:p w:rsidR="00970AFC" w:rsidRPr="00615A13" w:rsidRDefault="00970AFC" w:rsidP="00FD544B">
      <w:pPr>
        <w:jc w:val="both"/>
        <w:rPr>
          <w:rFonts w:cs="Arial"/>
          <w:sz w:val="24"/>
          <w:szCs w:val="24"/>
          <w:lang w:val="en-GB"/>
        </w:rPr>
      </w:pPr>
    </w:p>
    <w:p w:rsidR="003F7F87" w:rsidRDefault="00970AFC" w:rsidP="00FD544B">
      <w:pPr>
        <w:jc w:val="both"/>
        <w:rPr>
          <w:rFonts w:cs="Arial"/>
          <w:sz w:val="24"/>
          <w:szCs w:val="24"/>
          <w:lang w:val="en-GB"/>
        </w:rPr>
      </w:pPr>
      <w:r w:rsidRPr="00615A13">
        <w:rPr>
          <w:rFonts w:cs="Arial"/>
          <w:sz w:val="24"/>
          <w:szCs w:val="24"/>
          <w:lang w:val="en-GB"/>
        </w:rPr>
        <w:t xml:space="preserve">CETA - as other free trade agreements – includes clauses on investment protection, which are also provided for TTIP. The </w:t>
      </w:r>
      <w:r w:rsidR="007653F4">
        <w:rPr>
          <w:rFonts w:cs="Arial"/>
          <w:sz w:val="24"/>
          <w:szCs w:val="24"/>
          <w:lang w:val="en-GB"/>
        </w:rPr>
        <w:t>I</w:t>
      </w:r>
      <w:r w:rsidRPr="00615A13">
        <w:rPr>
          <w:rFonts w:cs="Arial"/>
          <w:sz w:val="24"/>
          <w:szCs w:val="24"/>
          <w:lang w:val="en-GB"/>
        </w:rPr>
        <w:t>nvestor-</w:t>
      </w:r>
      <w:r w:rsidR="007653F4">
        <w:rPr>
          <w:rFonts w:cs="Arial"/>
          <w:sz w:val="24"/>
          <w:szCs w:val="24"/>
          <w:lang w:val="en-GB"/>
        </w:rPr>
        <w:t>S</w:t>
      </w:r>
      <w:r w:rsidRPr="00615A13">
        <w:rPr>
          <w:rFonts w:cs="Arial"/>
          <w:sz w:val="24"/>
          <w:szCs w:val="24"/>
          <w:lang w:val="en-GB"/>
        </w:rPr>
        <w:t xml:space="preserve">tate </w:t>
      </w:r>
      <w:r w:rsidR="007653F4">
        <w:rPr>
          <w:rFonts w:cs="Arial"/>
          <w:sz w:val="24"/>
          <w:szCs w:val="24"/>
          <w:lang w:val="en-GB"/>
        </w:rPr>
        <w:t>D</w:t>
      </w:r>
      <w:r w:rsidRPr="00615A13">
        <w:rPr>
          <w:rFonts w:cs="Arial"/>
          <w:sz w:val="24"/>
          <w:szCs w:val="24"/>
          <w:lang w:val="en-GB"/>
        </w:rPr>
        <w:t xml:space="preserve">ispute </w:t>
      </w:r>
      <w:r w:rsidR="007653F4">
        <w:rPr>
          <w:rFonts w:cs="Arial"/>
          <w:sz w:val="24"/>
          <w:szCs w:val="24"/>
          <w:lang w:val="en-GB"/>
        </w:rPr>
        <w:t xml:space="preserve">Settlement </w:t>
      </w:r>
      <w:r w:rsidRPr="00615A13">
        <w:rPr>
          <w:rFonts w:cs="Arial"/>
          <w:sz w:val="24"/>
          <w:szCs w:val="24"/>
          <w:lang w:val="en-GB"/>
        </w:rPr>
        <w:t>process</w:t>
      </w:r>
      <w:r w:rsidR="007653F4">
        <w:rPr>
          <w:rFonts w:cs="Arial"/>
          <w:sz w:val="24"/>
          <w:szCs w:val="24"/>
          <w:lang w:val="en-GB"/>
        </w:rPr>
        <w:t xml:space="preserve"> (known as ISDS)</w:t>
      </w:r>
      <w:r w:rsidRPr="00615A13">
        <w:rPr>
          <w:rFonts w:cs="Arial"/>
          <w:sz w:val="24"/>
          <w:szCs w:val="24"/>
          <w:lang w:val="en-GB"/>
        </w:rPr>
        <w:t>, whic</w:t>
      </w:r>
      <w:r w:rsidR="00BC0915" w:rsidRPr="00615A13">
        <w:rPr>
          <w:rFonts w:cs="Arial"/>
          <w:sz w:val="24"/>
          <w:szCs w:val="24"/>
          <w:lang w:val="en-GB"/>
        </w:rPr>
        <w:t>h plans for the jurisdiction of</w:t>
      </w:r>
      <w:r w:rsidRPr="00615A13">
        <w:rPr>
          <w:rFonts w:cs="Arial"/>
          <w:sz w:val="24"/>
          <w:szCs w:val="24"/>
          <w:lang w:val="en-GB"/>
        </w:rPr>
        <w:t xml:space="preserve"> private international arbitration</w:t>
      </w:r>
      <w:r w:rsidR="00BC0915" w:rsidRPr="00615A13">
        <w:rPr>
          <w:rFonts w:cs="Arial"/>
          <w:sz w:val="24"/>
          <w:szCs w:val="24"/>
          <w:lang w:val="en-GB"/>
        </w:rPr>
        <w:t>, is particularly controversial</w:t>
      </w:r>
      <w:r w:rsidRPr="00615A13">
        <w:rPr>
          <w:rFonts w:cs="Arial"/>
          <w:sz w:val="24"/>
          <w:szCs w:val="24"/>
          <w:lang w:val="en-GB"/>
        </w:rPr>
        <w:t xml:space="preserve">. </w:t>
      </w:r>
    </w:p>
    <w:p w:rsidR="00970AFC" w:rsidRPr="00615A13" w:rsidRDefault="00970AFC" w:rsidP="00FD544B">
      <w:pPr>
        <w:jc w:val="both"/>
        <w:rPr>
          <w:rFonts w:cs="Arial"/>
          <w:sz w:val="24"/>
          <w:szCs w:val="24"/>
          <w:lang w:val="en-GB"/>
        </w:rPr>
      </w:pPr>
      <w:r w:rsidRPr="00615A13">
        <w:rPr>
          <w:rFonts w:cs="Arial"/>
          <w:sz w:val="24"/>
          <w:szCs w:val="24"/>
          <w:lang w:val="en-GB"/>
        </w:rPr>
        <w:t xml:space="preserve">These tribunals should be able to decide on claims for damages by companies against the </w:t>
      </w:r>
      <w:r w:rsidR="00BC0915" w:rsidRPr="00615A13">
        <w:rPr>
          <w:rFonts w:cs="Arial"/>
          <w:sz w:val="24"/>
          <w:szCs w:val="24"/>
          <w:lang w:val="en-GB"/>
        </w:rPr>
        <w:t xml:space="preserve">future contractual states </w:t>
      </w:r>
      <w:r w:rsidRPr="00615A13">
        <w:rPr>
          <w:rFonts w:cs="Arial"/>
          <w:sz w:val="24"/>
          <w:szCs w:val="24"/>
          <w:lang w:val="en-GB"/>
        </w:rPr>
        <w:t>- without the possibility of an independent judicial revi</w:t>
      </w:r>
      <w:r w:rsidR="00BC0915" w:rsidRPr="00615A13">
        <w:rPr>
          <w:rFonts w:cs="Arial"/>
          <w:sz w:val="24"/>
          <w:szCs w:val="24"/>
          <w:lang w:val="en-GB"/>
        </w:rPr>
        <w:t xml:space="preserve">ew. In recent years, claims by </w:t>
      </w:r>
      <w:r w:rsidRPr="00615A13">
        <w:rPr>
          <w:rFonts w:cs="Arial"/>
          <w:sz w:val="24"/>
          <w:szCs w:val="24"/>
          <w:lang w:val="en-GB"/>
        </w:rPr>
        <w:t>investors against states for their regulatory dec</w:t>
      </w:r>
      <w:r w:rsidR="00BC0915" w:rsidRPr="00615A13">
        <w:rPr>
          <w:rFonts w:cs="Arial"/>
          <w:sz w:val="24"/>
          <w:szCs w:val="24"/>
          <w:lang w:val="en-GB"/>
        </w:rPr>
        <w:t>isions (laws, regulations etc.) have increased on the basis of investment protection agreements.</w:t>
      </w:r>
    </w:p>
    <w:p w:rsidR="00970AFC" w:rsidRPr="00615A13" w:rsidRDefault="00970AFC" w:rsidP="00FD544B">
      <w:pPr>
        <w:jc w:val="both"/>
        <w:rPr>
          <w:rFonts w:cs="Arial"/>
          <w:sz w:val="24"/>
          <w:szCs w:val="24"/>
          <w:lang w:val="en-GB"/>
        </w:rPr>
      </w:pPr>
    </w:p>
    <w:p w:rsidR="007653F4" w:rsidRDefault="008E122E" w:rsidP="00FD544B">
      <w:pPr>
        <w:jc w:val="both"/>
        <w:rPr>
          <w:rFonts w:cs="Arial"/>
          <w:sz w:val="24"/>
          <w:szCs w:val="24"/>
          <w:lang w:val="en-GB"/>
        </w:rPr>
      </w:pPr>
      <w:r w:rsidRPr="00615A13">
        <w:rPr>
          <w:rFonts w:cs="Arial"/>
          <w:sz w:val="24"/>
          <w:szCs w:val="24"/>
          <w:lang w:val="en-GB"/>
        </w:rPr>
        <w:t xml:space="preserve">The door is left open for such </w:t>
      </w:r>
      <w:r w:rsidR="006C688D" w:rsidRPr="00615A13">
        <w:rPr>
          <w:rFonts w:cs="Arial"/>
          <w:sz w:val="24"/>
          <w:szCs w:val="24"/>
          <w:lang w:val="en-GB"/>
        </w:rPr>
        <w:t>claims</w:t>
      </w:r>
      <w:r w:rsidRPr="00615A13">
        <w:rPr>
          <w:rFonts w:cs="Arial"/>
          <w:sz w:val="24"/>
          <w:szCs w:val="24"/>
          <w:lang w:val="en-GB"/>
        </w:rPr>
        <w:t xml:space="preserve"> by the extensive use of openly formulated terms, such as "fair and reasonable treatment", "non-discrimination" and "investment". This gives an investor the option to sue a government for damages if an expected investment environment changes due to government regulations. So</w:t>
      </w:r>
      <w:r w:rsidR="006C688D" w:rsidRPr="00615A13">
        <w:rPr>
          <w:rFonts w:cs="Arial"/>
          <w:sz w:val="24"/>
          <w:szCs w:val="24"/>
          <w:lang w:val="en-GB"/>
        </w:rPr>
        <w:t>,</w:t>
      </w:r>
      <w:r w:rsidRPr="00615A13">
        <w:rPr>
          <w:rFonts w:cs="Arial"/>
          <w:sz w:val="24"/>
          <w:szCs w:val="24"/>
          <w:lang w:val="en-GB"/>
        </w:rPr>
        <w:t xml:space="preserve"> under certain circumstances, regulatory changes </w:t>
      </w:r>
      <w:r w:rsidR="006C688D" w:rsidRPr="00615A13">
        <w:rPr>
          <w:rFonts w:cs="Arial"/>
          <w:sz w:val="24"/>
          <w:szCs w:val="24"/>
          <w:lang w:val="en-GB"/>
        </w:rPr>
        <w:t>relating to</w:t>
      </w:r>
      <w:r w:rsidRPr="00615A13">
        <w:rPr>
          <w:rFonts w:cs="Arial"/>
          <w:sz w:val="24"/>
          <w:szCs w:val="24"/>
          <w:lang w:val="en-GB"/>
        </w:rPr>
        <w:t xml:space="preserve"> environmental and consumer protection, health, labo</w:t>
      </w:r>
      <w:r w:rsidR="006C688D" w:rsidRPr="00615A13">
        <w:rPr>
          <w:rFonts w:cs="Arial"/>
          <w:sz w:val="24"/>
          <w:szCs w:val="24"/>
          <w:lang w:val="en-GB"/>
        </w:rPr>
        <w:t>u</w:t>
      </w:r>
      <w:r w:rsidRPr="00615A13">
        <w:rPr>
          <w:rFonts w:cs="Arial"/>
          <w:sz w:val="24"/>
          <w:szCs w:val="24"/>
          <w:lang w:val="en-GB"/>
        </w:rPr>
        <w:t xml:space="preserve">r and social affairs could become the </w:t>
      </w:r>
      <w:r w:rsidR="006C688D" w:rsidRPr="00615A13">
        <w:rPr>
          <w:rFonts w:cs="Arial"/>
          <w:sz w:val="24"/>
          <w:szCs w:val="24"/>
          <w:lang w:val="en-GB"/>
        </w:rPr>
        <w:t>subject</w:t>
      </w:r>
      <w:r w:rsidRPr="00615A13">
        <w:rPr>
          <w:rFonts w:cs="Arial"/>
          <w:sz w:val="24"/>
          <w:szCs w:val="24"/>
          <w:lang w:val="en-GB"/>
        </w:rPr>
        <w:t xml:space="preserve"> of investment protection </w:t>
      </w:r>
      <w:r w:rsidR="006C688D" w:rsidRPr="00615A13">
        <w:rPr>
          <w:rFonts w:cs="Arial"/>
          <w:sz w:val="24"/>
          <w:szCs w:val="24"/>
          <w:lang w:val="en-GB"/>
        </w:rPr>
        <w:t>claims</w:t>
      </w:r>
      <w:r w:rsidRPr="00615A13">
        <w:rPr>
          <w:rFonts w:cs="Arial"/>
          <w:sz w:val="24"/>
          <w:szCs w:val="24"/>
          <w:lang w:val="en-GB"/>
        </w:rPr>
        <w:t>.</w:t>
      </w:r>
      <w:r w:rsidR="000F0AB7" w:rsidRPr="00615A13">
        <w:rPr>
          <w:rFonts w:cs="Arial"/>
          <w:sz w:val="24"/>
          <w:szCs w:val="24"/>
          <w:lang w:val="en-GB"/>
        </w:rPr>
        <w:t xml:space="preserve"> </w:t>
      </w:r>
    </w:p>
    <w:p w:rsidR="007653F4" w:rsidRDefault="007653F4" w:rsidP="00FD544B">
      <w:pPr>
        <w:jc w:val="both"/>
        <w:rPr>
          <w:rFonts w:cs="Arial"/>
          <w:sz w:val="24"/>
          <w:szCs w:val="24"/>
          <w:lang w:val="en-GB"/>
        </w:rPr>
      </w:pPr>
    </w:p>
    <w:p w:rsidR="00D36DF2" w:rsidRDefault="000F0AB7" w:rsidP="00FD544B">
      <w:pPr>
        <w:jc w:val="both"/>
        <w:rPr>
          <w:rFonts w:cs="Arial"/>
          <w:sz w:val="24"/>
          <w:szCs w:val="24"/>
          <w:lang w:val="en-GB"/>
        </w:rPr>
      </w:pPr>
      <w:r w:rsidRPr="00615A13">
        <w:rPr>
          <w:rFonts w:cs="Arial"/>
          <w:sz w:val="24"/>
          <w:szCs w:val="24"/>
          <w:lang w:val="en-GB"/>
        </w:rPr>
        <w:t xml:space="preserve">In addition, the </w:t>
      </w:r>
      <w:r w:rsidR="0029173D">
        <w:rPr>
          <w:rFonts w:cs="Arial"/>
          <w:sz w:val="24"/>
          <w:szCs w:val="24"/>
          <w:lang w:val="en-GB"/>
        </w:rPr>
        <w:t>involvement</w:t>
      </w:r>
      <w:r w:rsidRPr="00615A13">
        <w:rPr>
          <w:rFonts w:cs="Arial"/>
          <w:sz w:val="24"/>
          <w:szCs w:val="24"/>
          <w:lang w:val="en-GB"/>
        </w:rPr>
        <w:t xml:space="preserve"> of private arbitration tribunals is controversial because the professional arbitrators gain economic benefits from the trials. Due to possible conflicts of interest, lack of transparency of procedures, lack of involvement of third parties, etc., this cannot be assumed to be a fair trial. </w:t>
      </w:r>
    </w:p>
    <w:p w:rsidR="007653F4" w:rsidRDefault="007653F4" w:rsidP="00FD544B">
      <w:pPr>
        <w:jc w:val="both"/>
        <w:rPr>
          <w:rFonts w:cs="Arial"/>
          <w:sz w:val="24"/>
          <w:szCs w:val="24"/>
          <w:lang w:val="en-GB"/>
        </w:rPr>
      </w:pPr>
    </w:p>
    <w:p w:rsidR="005B5148" w:rsidRDefault="000F0AB7" w:rsidP="00FD544B">
      <w:pPr>
        <w:jc w:val="both"/>
        <w:rPr>
          <w:rFonts w:cs="Arial"/>
          <w:sz w:val="24"/>
          <w:szCs w:val="24"/>
          <w:lang w:val="en-GB"/>
        </w:rPr>
      </w:pPr>
      <w:r w:rsidRPr="00615A13">
        <w:rPr>
          <w:rFonts w:cs="Arial"/>
          <w:sz w:val="24"/>
          <w:szCs w:val="24"/>
          <w:lang w:val="en-GB"/>
        </w:rPr>
        <w:t xml:space="preserve">The inclusion of an investor-state dispute </w:t>
      </w:r>
      <w:r w:rsidR="007653F4">
        <w:rPr>
          <w:rFonts w:cs="Arial"/>
          <w:sz w:val="24"/>
          <w:szCs w:val="24"/>
          <w:lang w:val="en-GB"/>
        </w:rPr>
        <w:t xml:space="preserve">settlement </w:t>
      </w:r>
      <w:r w:rsidRPr="00615A13">
        <w:rPr>
          <w:rFonts w:cs="Arial"/>
          <w:sz w:val="24"/>
          <w:szCs w:val="24"/>
          <w:lang w:val="en-GB"/>
        </w:rPr>
        <w:t>process in CETA and TTIP should be rejected, because the introduction of independent arbitration is not required, due to the developed and functioning legal systems of the member states.</w:t>
      </w:r>
      <w:r w:rsidR="004F1A03">
        <w:rPr>
          <w:rStyle w:val="FootnoteReference"/>
          <w:rFonts w:cs="Arial"/>
          <w:sz w:val="24"/>
          <w:szCs w:val="24"/>
          <w:lang w:val="en-GB"/>
        </w:rPr>
        <w:footnoteReference w:id="9"/>
      </w:r>
      <w:r w:rsidRPr="00615A13">
        <w:rPr>
          <w:rFonts w:cs="Arial"/>
          <w:sz w:val="24"/>
          <w:szCs w:val="24"/>
          <w:lang w:val="en-GB"/>
        </w:rPr>
        <w:t xml:space="preserve"> It is incomprehensible why the existing legal and judicial systems should not be able to guarantee quick, effective and impartial legal protection for investors even without additional investment protection.</w:t>
      </w:r>
    </w:p>
    <w:p w:rsidR="005B5148" w:rsidRDefault="005B5148" w:rsidP="00FD544B">
      <w:pPr>
        <w:jc w:val="both"/>
        <w:rPr>
          <w:rFonts w:cs="Arial"/>
          <w:sz w:val="24"/>
          <w:szCs w:val="24"/>
          <w:lang w:val="en-GB"/>
        </w:rPr>
      </w:pPr>
    </w:p>
    <w:p w:rsidR="005B5148" w:rsidRDefault="00CC33C9" w:rsidP="00FD544B">
      <w:pPr>
        <w:jc w:val="both"/>
        <w:rPr>
          <w:rFonts w:cs="Arial"/>
          <w:sz w:val="24"/>
          <w:szCs w:val="24"/>
          <w:lang w:val="en-GB"/>
        </w:rPr>
      </w:pPr>
      <w:r w:rsidRPr="00615A13">
        <w:rPr>
          <w:rFonts w:cs="Arial"/>
          <w:sz w:val="24"/>
          <w:szCs w:val="24"/>
          <w:lang w:val="en-GB"/>
        </w:rPr>
        <w:t xml:space="preserve">The investor-state dispute </w:t>
      </w:r>
      <w:r w:rsidR="007653F4">
        <w:rPr>
          <w:rFonts w:cs="Arial"/>
          <w:sz w:val="24"/>
          <w:szCs w:val="24"/>
          <w:lang w:val="en-GB"/>
        </w:rPr>
        <w:t xml:space="preserve">settlement </w:t>
      </w:r>
      <w:r w:rsidRPr="00615A13">
        <w:rPr>
          <w:rFonts w:cs="Arial"/>
          <w:sz w:val="24"/>
          <w:szCs w:val="24"/>
          <w:lang w:val="en-GB"/>
        </w:rPr>
        <w:t xml:space="preserve">process creates a parallel private legal system to the existing ordinary jurisdiction, whose added value for the member states is not clear. </w:t>
      </w:r>
    </w:p>
    <w:p w:rsidR="007653F4" w:rsidRDefault="007653F4" w:rsidP="00FD544B">
      <w:pPr>
        <w:jc w:val="both"/>
        <w:rPr>
          <w:rFonts w:cs="Arial"/>
          <w:sz w:val="24"/>
          <w:szCs w:val="24"/>
          <w:lang w:val="en-GB"/>
        </w:rPr>
      </w:pPr>
    </w:p>
    <w:p w:rsidR="000F0AB7" w:rsidRPr="00615A13" w:rsidRDefault="00CC33C9" w:rsidP="00FD544B">
      <w:pPr>
        <w:jc w:val="both"/>
        <w:rPr>
          <w:rFonts w:cs="Arial"/>
          <w:sz w:val="24"/>
          <w:szCs w:val="24"/>
          <w:lang w:val="en-GB"/>
        </w:rPr>
      </w:pPr>
      <w:r w:rsidRPr="00615A13">
        <w:rPr>
          <w:rFonts w:cs="Arial"/>
          <w:sz w:val="24"/>
          <w:szCs w:val="24"/>
          <w:lang w:val="en-GB"/>
        </w:rPr>
        <w:t xml:space="preserve">There is so far no evidence that investor protection has sustainably brought more investment, but there is a legitimate concern that the capacity </w:t>
      </w:r>
      <w:r w:rsidR="00256272" w:rsidRPr="00615A13">
        <w:rPr>
          <w:rFonts w:cs="Arial"/>
          <w:sz w:val="24"/>
          <w:szCs w:val="24"/>
          <w:lang w:val="en-GB"/>
        </w:rPr>
        <w:t>for</w:t>
      </w:r>
      <w:r w:rsidRPr="00615A13">
        <w:rPr>
          <w:rFonts w:cs="Arial"/>
          <w:sz w:val="24"/>
          <w:szCs w:val="24"/>
          <w:lang w:val="en-GB"/>
        </w:rPr>
        <w:t xml:space="preserve"> policy design by the level of corporate </w:t>
      </w:r>
      <w:r w:rsidR="00256272" w:rsidRPr="00615A13">
        <w:rPr>
          <w:rFonts w:cs="Arial"/>
          <w:sz w:val="24"/>
          <w:szCs w:val="24"/>
          <w:lang w:val="en-GB"/>
        </w:rPr>
        <w:t>claims</w:t>
      </w:r>
      <w:r w:rsidRPr="00615A13">
        <w:rPr>
          <w:rFonts w:cs="Arial"/>
          <w:sz w:val="24"/>
          <w:szCs w:val="24"/>
          <w:lang w:val="en-GB"/>
        </w:rPr>
        <w:t xml:space="preserve"> and thus the d</w:t>
      </w:r>
      <w:r w:rsidR="00256272" w:rsidRPr="00615A13">
        <w:rPr>
          <w:rFonts w:cs="Arial"/>
          <w:sz w:val="24"/>
          <w:szCs w:val="24"/>
          <w:lang w:val="en-GB"/>
        </w:rPr>
        <w:t>emocratic sovereignty of the member states could be restricted</w:t>
      </w:r>
      <w:r w:rsidRPr="00615A13">
        <w:rPr>
          <w:rFonts w:cs="Arial"/>
          <w:sz w:val="24"/>
          <w:szCs w:val="24"/>
          <w:lang w:val="en-GB"/>
        </w:rPr>
        <w:t>.</w:t>
      </w:r>
      <w:r w:rsidR="00B43F96">
        <w:rPr>
          <w:rStyle w:val="FootnoteReference"/>
          <w:rFonts w:cs="Arial"/>
          <w:sz w:val="24"/>
          <w:szCs w:val="24"/>
          <w:lang w:val="en-GB"/>
        </w:rPr>
        <w:footnoteReference w:id="10"/>
      </w:r>
      <w:r w:rsidR="00256272" w:rsidRPr="00615A13">
        <w:rPr>
          <w:rFonts w:cs="Arial"/>
          <w:sz w:val="24"/>
          <w:szCs w:val="24"/>
          <w:lang w:val="en-GB"/>
        </w:rPr>
        <w:t xml:space="preserve"> If member states are required to pay billions of dollars in compensation to private law claimants, it may mean that the funds are withdrawn from the state budget. This would also affect the socially disadvantaged in many ways, e.g. if </w:t>
      </w:r>
      <w:r w:rsidR="00CE6818">
        <w:rPr>
          <w:rFonts w:cs="Arial"/>
          <w:sz w:val="24"/>
          <w:szCs w:val="24"/>
          <w:lang w:val="en-GB"/>
        </w:rPr>
        <w:t>it</w:t>
      </w:r>
      <w:r w:rsidR="00256272" w:rsidRPr="00615A13">
        <w:rPr>
          <w:rFonts w:cs="Arial"/>
          <w:sz w:val="24"/>
          <w:szCs w:val="24"/>
          <w:lang w:val="en-GB"/>
        </w:rPr>
        <w:t xml:space="preserve"> results in cuts </w:t>
      </w:r>
      <w:r w:rsidR="00944E4B">
        <w:rPr>
          <w:rFonts w:cs="Arial"/>
          <w:sz w:val="24"/>
          <w:szCs w:val="24"/>
          <w:lang w:val="en-GB"/>
        </w:rPr>
        <w:t>to</w:t>
      </w:r>
      <w:r w:rsidR="00256272" w:rsidRPr="00615A13">
        <w:rPr>
          <w:rFonts w:cs="Arial"/>
          <w:sz w:val="24"/>
          <w:szCs w:val="24"/>
          <w:lang w:val="en-GB"/>
        </w:rPr>
        <w:t xml:space="preserve"> social spending.</w:t>
      </w:r>
    </w:p>
    <w:p w:rsidR="00156F83" w:rsidRPr="00615A13" w:rsidRDefault="00156F83" w:rsidP="00FD544B">
      <w:pPr>
        <w:jc w:val="both"/>
        <w:rPr>
          <w:rFonts w:cs="Arial"/>
          <w:sz w:val="24"/>
          <w:szCs w:val="24"/>
          <w:lang w:val="en-GB"/>
        </w:rPr>
      </w:pPr>
    </w:p>
    <w:p w:rsidR="006F688C" w:rsidRPr="00615A13" w:rsidRDefault="006F688C" w:rsidP="00FD544B">
      <w:pPr>
        <w:jc w:val="both"/>
        <w:rPr>
          <w:rFonts w:cs="Arial"/>
          <w:sz w:val="24"/>
          <w:szCs w:val="24"/>
          <w:lang w:val="en-GB"/>
        </w:rPr>
      </w:pPr>
    </w:p>
    <w:p w:rsidR="00156F83" w:rsidRPr="00615A13" w:rsidRDefault="00C76FBF" w:rsidP="00FD544B">
      <w:pPr>
        <w:pStyle w:val="ListParagraph"/>
        <w:numPr>
          <w:ilvl w:val="0"/>
          <w:numId w:val="1"/>
        </w:numPr>
        <w:jc w:val="both"/>
        <w:rPr>
          <w:rFonts w:cs="Arial"/>
          <w:b/>
          <w:sz w:val="24"/>
          <w:szCs w:val="24"/>
          <w:lang w:val="en-GB"/>
        </w:rPr>
      </w:pPr>
      <w:r w:rsidRPr="00615A13">
        <w:rPr>
          <w:rFonts w:cs="Arial"/>
          <w:b/>
          <w:sz w:val="24"/>
          <w:szCs w:val="24"/>
          <w:lang w:val="en-GB"/>
        </w:rPr>
        <w:lastRenderedPageBreak/>
        <w:t xml:space="preserve">Regulatory </w:t>
      </w:r>
      <w:r w:rsidR="00483603">
        <w:rPr>
          <w:rFonts w:cs="Arial"/>
          <w:b/>
          <w:sz w:val="24"/>
          <w:szCs w:val="24"/>
          <w:lang w:val="en-GB"/>
        </w:rPr>
        <w:t>C</w:t>
      </w:r>
      <w:r w:rsidR="00483603" w:rsidRPr="00615A13">
        <w:rPr>
          <w:rFonts w:cs="Arial"/>
          <w:b/>
          <w:sz w:val="24"/>
          <w:szCs w:val="24"/>
          <w:lang w:val="en-GB"/>
        </w:rPr>
        <w:t>ooperation</w:t>
      </w:r>
    </w:p>
    <w:p w:rsidR="006F688C" w:rsidRPr="00615A13" w:rsidRDefault="006F688C" w:rsidP="00FD544B">
      <w:pPr>
        <w:jc w:val="both"/>
        <w:rPr>
          <w:rFonts w:cs="Arial"/>
          <w:b/>
          <w:sz w:val="24"/>
          <w:szCs w:val="24"/>
          <w:lang w:val="en-GB"/>
        </w:rPr>
      </w:pPr>
    </w:p>
    <w:p w:rsidR="00483603" w:rsidRDefault="00C76FBF" w:rsidP="00FD544B">
      <w:pPr>
        <w:jc w:val="both"/>
        <w:rPr>
          <w:rFonts w:cs="Arial"/>
          <w:sz w:val="24"/>
          <w:szCs w:val="24"/>
          <w:lang w:val="en-GB"/>
        </w:rPr>
      </w:pPr>
      <w:r w:rsidRPr="00615A13">
        <w:rPr>
          <w:rFonts w:cs="Arial"/>
          <w:sz w:val="24"/>
          <w:szCs w:val="24"/>
          <w:lang w:val="en-GB"/>
        </w:rPr>
        <w:t xml:space="preserve">The regulatory cooperation planned for TTIP and the establishment of a council for regulatory cooperation should also be questioned critically. </w:t>
      </w:r>
      <w:r w:rsidR="00615A13" w:rsidRPr="00615A13">
        <w:rPr>
          <w:rFonts w:cs="Arial"/>
          <w:sz w:val="24"/>
          <w:szCs w:val="24"/>
          <w:lang w:val="en-GB"/>
        </w:rPr>
        <w:t xml:space="preserve">Any alleged issues relating to the implementation of the free trade agreement should be clarified by </w:t>
      </w:r>
      <w:r w:rsidR="00615A13">
        <w:rPr>
          <w:rFonts w:cs="Arial"/>
          <w:sz w:val="24"/>
          <w:szCs w:val="24"/>
          <w:lang w:val="en-GB"/>
        </w:rPr>
        <w:t xml:space="preserve">the </w:t>
      </w:r>
      <w:r w:rsidR="00D36DF2" w:rsidRPr="00D36DF2">
        <w:rPr>
          <w:rFonts w:cs="Arial"/>
          <w:sz w:val="24"/>
          <w:szCs w:val="24"/>
          <w:lang w:val="en-GB"/>
        </w:rPr>
        <w:t>Regulatory Cooperation Council</w:t>
      </w:r>
      <w:r w:rsidR="00615A13" w:rsidRPr="00615A13">
        <w:rPr>
          <w:rFonts w:cs="Arial"/>
          <w:sz w:val="24"/>
          <w:szCs w:val="24"/>
          <w:lang w:val="en-GB"/>
        </w:rPr>
        <w:t xml:space="preserve">. </w:t>
      </w:r>
      <w:r w:rsidRPr="00615A13">
        <w:rPr>
          <w:rFonts w:cs="Arial"/>
          <w:sz w:val="24"/>
          <w:szCs w:val="24"/>
          <w:lang w:val="en-GB"/>
        </w:rPr>
        <w:t xml:space="preserve">However, the mandate, the occupation and the decision-making powers are not yet </w:t>
      </w:r>
      <w:r w:rsidR="00615A13" w:rsidRPr="00615A13">
        <w:rPr>
          <w:rFonts w:cs="Arial"/>
          <w:sz w:val="24"/>
          <w:szCs w:val="24"/>
          <w:lang w:val="en-GB"/>
        </w:rPr>
        <w:t>known. The</w:t>
      </w:r>
      <w:r w:rsidRPr="00615A13">
        <w:rPr>
          <w:rFonts w:cs="Arial"/>
          <w:sz w:val="24"/>
          <w:szCs w:val="24"/>
          <w:lang w:val="en-GB"/>
        </w:rPr>
        <w:t xml:space="preserve"> European Commission has designated TTIP as a "living agreement", </w:t>
      </w:r>
      <w:r w:rsidR="00C048A3" w:rsidRPr="00615A13">
        <w:rPr>
          <w:rFonts w:cs="Arial"/>
          <w:sz w:val="24"/>
          <w:szCs w:val="24"/>
          <w:lang w:val="en-GB"/>
        </w:rPr>
        <w:t>which suggests that the contractual parties agree</w:t>
      </w:r>
      <w:r w:rsidRPr="00615A13">
        <w:rPr>
          <w:rFonts w:cs="Arial"/>
          <w:sz w:val="24"/>
          <w:szCs w:val="24"/>
          <w:lang w:val="en-GB"/>
        </w:rPr>
        <w:t xml:space="preserve"> on a gen</w:t>
      </w:r>
      <w:r w:rsidR="00C048A3" w:rsidRPr="00615A13">
        <w:rPr>
          <w:rFonts w:cs="Arial"/>
          <w:sz w:val="24"/>
          <w:szCs w:val="24"/>
          <w:lang w:val="en-GB"/>
        </w:rPr>
        <w:t xml:space="preserve">eral framework and shall </w:t>
      </w:r>
      <w:r w:rsidRPr="00615A13">
        <w:rPr>
          <w:rFonts w:cs="Arial"/>
          <w:sz w:val="24"/>
          <w:szCs w:val="24"/>
          <w:lang w:val="en-GB"/>
        </w:rPr>
        <w:t>clarify contentious issues</w:t>
      </w:r>
      <w:r w:rsidR="00C048A3" w:rsidRPr="00615A13">
        <w:rPr>
          <w:rFonts w:cs="Arial"/>
          <w:sz w:val="24"/>
          <w:szCs w:val="24"/>
          <w:lang w:val="en-GB"/>
        </w:rPr>
        <w:t xml:space="preserve"> retrospectively</w:t>
      </w:r>
      <w:r w:rsidRPr="00615A13">
        <w:rPr>
          <w:rFonts w:cs="Arial"/>
          <w:sz w:val="24"/>
          <w:szCs w:val="24"/>
          <w:lang w:val="en-GB"/>
        </w:rPr>
        <w:t xml:space="preserve"> in committees such as the </w:t>
      </w:r>
      <w:r w:rsidR="00483603" w:rsidRPr="00483603">
        <w:rPr>
          <w:rFonts w:cs="Arial"/>
          <w:sz w:val="24"/>
          <w:szCs w:val="24"/>
          <w:lang w:val="en-GB"/>
        </w:rPr>
        <w:t>Regulatory Cooperation Council</w:t>
      </w:r>
      <w:r w:rsidRPr="00615A13">
        <w:rPr>
          <w:rFonts w:cs="Arial"/>
          <w:sz w:val="24"/>
          <w:szCs w:val="24"/>
          <w:lang w:val="en-GB"/>
        </w:rPr>
        <w:t xml:space="preserve">. Due to the ambitious </w:t>
      </w:r>
      <w:r w:rsidR="00C048A3" w:rsidRPr="00615A13">
        <w:rPr>
          <w:rFonts w:cs="Arial"/>
          <w:sz w:val="24"/>
          <w:szCs w:val="24"/>
          <w:lang w:val="en-GB"/>
        </w:rPr>
        <w:t>aim to</w:t>
      </w:r>
      <w:r w:rsidR="00AD2330">
        <w:rPr>
          <w:rFonts w:cs="Arial"/>
          <w:sz w:val="24"/>
          <w:szCs w:val="24"/>
          <w:lang w:val="en-GB"/>
        </w:rPr>
        <w:t xml:space="preserve"> </w:t>
      </w:r>
      <w:r w:rsidR="00C048A3" w:rsidRPr="00615A13">
        <w:rPr>
          <w:rFonts w:cs="Arial"/>
          <w:sz w:val="24"/>
          <w:szCs w:val="24"/>
          <w:lang w:val="en-GB"/>
        </w:rPr>
        <w:t xml:space="preserve">complete the negotiations on TTIP by the end of </w:t>
      </w:r>
      <w:r w:rsidRPr="00615A13">
        <w:rPr>
          <w:rFonts w:cs="Arial"/>
          <w:sz w:val="24"/>
          <w:szCs w:val="24"/>
          <w:lang w:val="en-GB"/>
        </w:rPr>
        <w:t>2015</w:t>
      </w:r>
      <w:r w:rsidR="00C048A3" w:rsidRPr="00615A13">
        <w:rPr>
          <w:rFonts w:cs="Arial"/>
          <w:sz w:val="24"/>
          <w:szCs w:val="24"/>
          <w:lang w:val="en-GB"/>
        </w:rPr>
        <w:t>,</w:t>
      </w:r>
      <w:r w:rsidRPr="00615A13">
        <w:rPr>
          <w:rFonts w:cs="Arial"/>
          <w:sz w:val="24"/>
          <w:szCs w:val="24"/>
          <w:lang w:val="en-GB"/>
        </w:rPr>
        <w:t xml:space="preserve"> this scenario </w:t>
      </w:r>
      <w:r w:rsidR="00C048A3" w:rsidRPr="00615A13">
        <w:rPr>
          <w:rFonts w:cs="Arial"/>
          <w:sz w:val="24"/>
          <w:szCs w:val="24"/>
          <w:lang w:val="en-GB"/>
        </w:rPr>
        <w:t>seems to be</w:t>
      </w:r>
      <w:r w:rsidRPr="00615A13">
        <w:rPr>
          <w:rFonts w:cs="Arial"/>
          <w:sz w:val="24"/>
          <w:szCs w:val="24"/>
          <w:lang w:val="en-GB"/>
        </w:rPr>
        <w:t xml:space="preserve"> understandable and would </w:t>
      </w:r>
      <w:r w:rsidR="00C048A3" w:rsidRPr="00615A13">
        <w:rPr>
          <w:rFonts w:cs="Arial"/>
          <w:sz w:val="24"/>
          <w:szCs w:val="24"/>
          <w:lang w:val="en-GB"/>
        </w:rPr>
        <w:t>give</w:t>
      </w:r>
      <w:r w:rsidRPr="00615A13">
        <w:rPr>
          <w:rFonts w:cs="Arial"/>
          <w:sz w:val="24"/>
          <w:szCs w:val="24"/>
          <w:lang w:val="en-GB"/>
        </w:rPr>
        <w:t xml:space="preserve"> crucial importance</w:t>
      </w:r>
      <w:r w:rsidR="00C048A3" w:rsidRPr="00615A13">
        <w:rPr>
          <w:rFonts w:cs="Arial"/>
          <w:sz w:val="24"/>
          <w:szCs w:val="24"/>
          <w:lang w:val="en-GB"/>
        </w:rPr>
        <w:t xml:space="preserve"> to the </w:t>
      </w:r>
      <w:r w:rsidR="00FD544B">
        <w:rPr>
          <w:rFonts w:cs="Arial"/>
          <w:sz w:val="24"/>
          <w:szCs w:val="24"/>
          <w:lang w:val="en-GB"/>
        </w:rPr>
        <w:t xml:space="preserve">Regulatory Cooperation Council </w:t>
      </w:r>
      <w:r w:rsidRPr="00615A13">
        <w:rPr>
          <w:rFonts w:cs="Arial"/>
          <w:sz w:val="24"/>
          <w:szCs w:val="24"/>
          <w:lang w:val="en-GB"/>
        </w:rPr>
        <w:t xml:space="preserve">in </w:t>
      </w:r>
      <w:r w:rsidR="00C048A3" w:rsidRPr="00615A13">
        <w:rPr>
          <w:rFonts w:cs="Arial"/>
          <w:sz w:val="24"/>
          <w:szCs w:val="24"/>
          <w:lang w:val="en-GB"/>
        </w:rPr>
        <w:t>the development of free trade</w:t>
      </w:r>
      <w:r w:rsidRPr="00615A13">
        <w:rPr>
          <w:rFonts w:cs="Arial"/>
          <w:sz w:val="24"/>
          <w:szCs w:val="24"/>
          <w:lang w:val="en-GB"/>
        </w:rPr>
        <w:t>.</w:t>
      </w:r>
    </w:p>
    <w:p w:rsidR="007653F4" w:rsidRDefault="007653F4" w:rsidP="00FD544B">
      <w:pPr>
        <w:jc w:val="both"/>
        <w:rPr>
          <w:rFonts w:cs="Arial"/>
          <w:sz w:val="24"/>
          <w:szCs w:val="24"/>
          <w:lang w:val="en-GB"/>
        </w:rPr>
      </w:pPr>
    </w:p>
    <w:p w:rsidR="006822AB" w:rsidRPr="00615A13" w:rsidRDefault="00853239" w:rsidP="00FD544B">
      <w:pPr>
        <w:jc w:val="both"/>
        <w:rPr>
          <w:rFonts w:cs="Arial"/>
          <w:sz w:val="24"/>
          <w:szCs w:val="24"/>
          <w:lang w:val="en-GB"/>
        </w:rPr>
      </w:pPr>
      <w:r w:rsidRPr="00615A13">
        <w:rPr>
          <w:rFonts w:cs="Arial"/>
          <w:sz w:val="24"/>
          <w:szCs w:val="24"/>
          <w:lang w:val="en-GB"/>
        </w:rPr>
        <w:t>However it could also m</w:t>
      </w:r>
      <w:r w:rsidR="00EC1C14">
        <w:rPr>
          <w:rFonts w:cs="Arial"/>
          <w:sz w:val="24"/>
          <w:szCs w:val="24"/>
          <w:lang w:val="en-GB"/>
        </w:rPr>
        <w:t>ean that the monitoring of the a</w:t>
      </w:r>
      <w:r w:rsidRPr="00615A13">
        <w:rPr>
          <w:rFonts w:cs="Arial"/>
          <w:sz w:val="24"/>
          <w:szCs w:val="24"/>
          <w:lang w:val="en-GB"/>
        </w:rPr>
        <w:t>greement would bypass the European Parliament and national representative assemblies and thus escape de</w:t>
      </w:r>
      <w:r w:rsidR="00D8206C" w:rsidRPr="00615A13">
        <w:rPr>
          <w:rFonts w:cs="Arial"/>
          <w:sz w:val="24"/>
          <w:szCs w:val="24"/>
          <w:lang w:val="en-GB"/>
        </w:rPr>
        <w:t>mocratic control. Moreover, s</w:t>
      </w:r>
      <w:r w:rsidRPr="00615A13">
        <w:rPr>
          <w:rFonts w:cs="Arial"/>
          <w:sz w:val="24"/>
          <w:szCs w:val="24"/>
          <w:lang w:val="en-GB"/>
        </w:rPr>
        <w:t xml:space="preserve">tate sovereignty and the EU and </w:t>
      </w:r>
      <w:r w:rsidR="00FD544B" w:rsidRPr="00615A13">
        <w:rPr>
          <w:rFonts w:cs="Arial"/>
          <w:sz w:val="24"/>
          <w:szCs w:val="24"/>
          <w:lang w:val="en-GB"/>
        </w:rPr>
        <w:t xml:space="preserve">democratic </w:t>
      </w:r>
      <w:r w:rsidR="00FD544B">
        <w:rPr>
          <w:rFonts w:cs="Arial"/>
          <w:sz w:val="24"/>
          <w:szCs w:val="24"/>
          <w:lang w:val="en-GB"/>
        </w:rPr>
        <w:t xml:space="preserve">rights of </w:t>
      </w:r>
      <w:r w:rsidR="00D8206C" w:rsidRPr="00615A13">
        <w:rPr>
          <w:rFonts w:cs="Arial"/>
          <w:sz w:val="24"/>
          <w:szCs w:val="24"/>
          <w:lang w:val="en-GB"/>
        </w:rPr>
        <w:t>member s</w:t>
      </w:r>
      <w:r w:rsidRPr="00615A13">
        <w:rPr>
          <w:rFonts w:cs="Arial"/>
          <w:sz w:val="24"/>
          <w:szCs w:val="24"/>
          <w:lang w:val="en-GB"/>
        </w:rPr>
        <w:t xml:space="preserve">tates could be interfered with, </w:t>
      </w:r>
      <w:r w:rsidR="00D8206C" w:rsidRPr="00615A13">
        <w:rPr>
          <w:rFonts w:cs="Arial"/>
          <w:sz w:val="24"/>
          <w:szCs w:val="24"/>
          <w:lang w:val="en-GB"/>
        </w:rPr>
        <w:t xml:space="preserve">if the </w:t>
      </w:r>
      <w:r w:rsidR="00D74934" w:rsidRPr="00FD544B">
        <w:rPr>
          <w:rFonts w:cs="Arial"/>
          <w:sz w:val="24"/>
          <w:szCs w:val="24"/>
          <w:lang w:val="en-GB"/>
        </w:rPr>
        <w:t>Regulatory Cooperation Council</w:t>
      </w:r>
      <w:r w:rsidR="00FD544B">
        <w:rPr>
          <w:rFonts w:cs="Arial"/>
          <w:sz w:val="24"/>
          <w:szCs w:val="24"/>
          <w:lang w:val="en-GB"/>
        </w:rPr>
        <w:t xml:space="preserve"> </w:t>
      </w:r>
      <w:r w:rsidR="00D8206C" w:rsidRPr="00615A13">
        <w:rPr>
          <w:rFonts w:cs="Arial"/>
          <w:sz w:val="24"/>
          <w:szCs w:val="24"/>
          <w:lang w:val="en-GB"/>
        </w:rPr>
        <w:t>also investigates questions of the running of our community and its consistency with the free trade agreement.</w:t>
      </w:r>
      <w:r w:rsidR="006822AB" w:rsidRPr="00615A13">
        <w:rPr>
          <w:rFonts w:cs="Arial"/>
          <w:sz w:val="24"/>
          <w:szCs w:val="24"/>
          <w:lang w:val="en-GB"/>
        </w:rPr>
        <w:t xml:space="preserve"> This would mean that no state can take regulatory measures in the area of the agreement alone, but must do so jointly and mutually with all contracting parties. This could result in a delay in introducing urgently needed regulations and standards that affect all citizens, or prevent it al</w:t>
      </w:r>
      <w:r w:rsidR="00FD544B">
        <w:rPr>
          <w:rFonts w:cs="Arial"/>
          <w:sz w:val="24"/>
          <w:szCs w:val="24"/>
          <w:lang w:val="en-GB"/>
        </w:rPr>
        <w:t xml:space="preserve">l </w:t>
      </w:r>
      <w:r w:rsidR="006822AB" w:rsidRPr="00615A13">
        <w:rPr>
          <w:rFonts w:cs="Arial"/>
          <w:sz w:val="24"/>
          <w:szCs w:val="24"/>
          <w:lang w:val="en-GB"/>
        </w:rPr>
        <w:t>together.</w:t>
      </w:r>
      <w:r w:rsidR="00FD544B">
        <w:rPr>
          <w:rFonts w:cs="Arial"/>
          <w:sz w:val="24"/>
          <w:szCs w:val="24"/>
          <w:lang w:val="en-GB"/>
        </w:rPr>
        <w:t xml:space="preserve"> </w:t>
      </w:r>
      <w:r w:rsidR="006822AB" w:rsidRPr="00615A13">
        <w:rPr>
          <w:rFonts w:cs="Arial"/>
          <w:sz w:val="24"/>
          <w:szCs w:val="24"/>
          <w:lang w:val="en-GB"/>
        </w:rPr>
        <w:t xml:space="preserve">The existence of a </w:t>
      </w:r>
      <w:r w:rsidR="00483603" w:rsidRPr="00483603">
        <w:rPr>
          <w:rFonts w:cs="Arial"/>
          <w:sz w:val="24"/>
          <w:szCs w:val="24"/>
          <w:lang w:val="en-GB"/>
        </w:rPr>
        <w:t>Regulatory Cooperation Council</w:t>
      </w:r>
      <w:r w:rsidR="00FD544B">
        <w:rPr>
          <w:rFonts w:cs="Arial"/>
          <w:sz w:val="24"/>
          <w:szCs w:val="24"/>
          <w:lang w:val="en-GB"/>
        </w:rPr>
        <w:t xml:space="preserve"> </w:t>
      </w:r>
      <w:r w:rsidR="006822AB" w:rsidRPr="00615A13">
        <w:rPr>
          <w:rFonts w:cs="Arial"/>
          <w:sz w:val="24"/>
          <w:szCs w:val="24"/>
          <w:lang w:val="en-GB"/>
        </w:rPr>
        <w:t>such as this should be questioned from a democratic and transparency point of view. Central deci</w:t>
      </w:r>
      <w:r w:rsidR="00602688" w:rsidRPr="00615A13">
        <w:rPr>
          <w:rFonts w:cs="Arial"/>
          <w:sz w:val="24"/>
          <w:szCs w:val="24"/>
          <w:lang w:val="en-GB"/>
        </w:rPr>
        <w:t xml:space="preserve">sions must be reserved for democratically </w:t>
      </w:r>
      <w:r w:rsidR="006822AB" w:rsidRPr="00615A13">
        <w:rPr>
          <w:rFonts w:cs="Arial"/>
          <w:sz w:val="24"/>
          <w:szCs w:val="24"/>
          <w:lang w:val="en-GB"/>
        </w:rPr>
        <w:t xml:space="preserve">elected </w:t>
      </w:r>
      <w:r w:rsidR="00602688" w:rsidRPr="00615A13">
        <w:rPr>
          <w:rFonts w:cs="Arial"/>
          <w:sz w:val="24"/>
          <w:szCs w:val="24"/>
          <w:lang w:val="en-GB"/>
        </w:rPr>
        <w:t>authorities</w:t>
      </w:r>
      <w:r w:rsidR="006822AB" w:rsidRPr="00615A13">
        <w:rPr>
          <w:rFonts w:cs="Arial"/>
          <w:sz w:val="24"/>
          <w:szCs w:val="24"/>
          <w:lang w:val="en-GB"/>
        </w:rPr>
        <w:t xml:space="preserve">. </w:t>
      </w:r>
      <w:r w:rsidR="00602688" w:rsidRPr="00615A13">
        <w:rPr>
          <w:rFonts w:cs="Arial"/>
          <w:sz w:val="24"/>
          <w:szCs w:val="24"/>
          <w:lang w:val="en-GB"/>
        </w:rPr>
        <w:t>If the contractual partners</w:t>
      </w:r>
      <w:r w:rsidR="00FD544B">
        <w:rPr>
          <w:rFonts w:cs="Arial"/>
          <w:sz w:val="24"/>
          <w:szCs w:val="24"/>
          <w:lang w:val="en-GB"/>
        </w:rPr>
        <w:t xml:space="preserve"> </w:t>
      </w:r>
      <w:r w:rsidR="00602688" w:rsidRPr="00615A13">
        <w:rPr>
          <w:rFonts w:cs="Arial"/>
          <w:sz w:val="24"/>
          <w:szCs w:val="24"/>
          <w:lang w:val="en-GB"/>
        </w:rPr>
        <w:t>do settle on</w:t>
      </w:r>
      <w:r w:rsidR="006822AB" w:rsidRPr="00615A13">
        <w:rPr>
          <w:rFonts w:cs="Arial"/>
          <w:sz w:val="24"/>
          <w:szCs w:val="24"/>
          <w:lang w:val="en-GB"/>
        </w:rPr>
        <w:t xml:space="preserve"> the introduction of a </w:t>
      </w:r>
      <w:r w:rsidR="00D74934" w:rsidRPr="00FD544B">
        <w:rPr>
          <w:rFonts w:cs="Arial"/>
          <w:sz w:val="24"/>
          <w:szCs w:val="24"/>
          <w:lang w:val="en-GB"/>
        </w:rPr>
        <w:t>Regulatory Cooperation Council</w:t>
      </w:r>
      <w:r w:rsidR="006822AB" w:rsidRPr="00615A13">
        <w:rPr>
          <w:rFonts w:cs="Arial"/>
          <w:sz w:val="24"/>
          <w:szCs w:val="24"/>
          <w:lang w:val="en-GB"/>
        </w:rPr>
        <w:t xml:space="preserve">, </w:t>
      </w:r>
      <w:r w:rsidR="00327950" w:rsidRPr="00615A13">
        <w:rPr>
          <w:rFonts w:cs="Arial"/>
          <w:sz w:val="24"/>
          <w:szCs w:val="24"/>
          <w:lang w:val="en-GB"/>
        </w:rPr>
        <w:t xml:space="preserve">it </w:t>
      </w:r>
      <w:r w:rsidR="006822AB" w:rsidRPr="00615A13">
        <w:rPr>
          <w:rFonts w:cs="Arial"/>
          <w:sz w:val="24"/>
          <w:szCs w:val="24"/>
          <w:lang w:val="en-GB"/>
        </w:rPr>
        <w:t xml:space="preserve">must be ensured that </w:t>
      </w:r>
      <w:r w:rsidR="00327950" w:rsidRPr="00615A13">
        <w:rPr>
          <w:rFonts w:cs="Arial"/>
          <w:sz w:val="24"/>
          <w:szCs w:val="24"/>
          <w:lang w:val="en-GB"/>
        </w:rPr>
        <w:t xml:space="preserve">the </w:t>
      </w:r>
      <w:r w:rsidR="00483603">
        <w:rPr>
          <w:rFonts w:cs="Arial"/>
          <w:sz w:val="24"/>
          <w:szCs w:val="24"/>
          <w:lang w:val="en-GB"/>
        </w:rPr>
        <w:t>council</w:t>
      </w:r>
      <w:r w:rsidR="00FD544B">
        <w:rPr>
          <w:rFonts w:cs="Arial"/>
          <w:sz w:val="24"/>
          <w:szCs w:val="24"/>
          <w:lang w:val="en-GB"/>
        </w:rPr>
        <w:t xml:space="preserve"> </w:t>
      </w:r>
      <w:r w:rsidR="006822AB" w:rsidRPr="00615A13">
        <w:rPr>
          <w:rFonts w:cs="Arial"/>
          <w:sz w:val="24"/>
          <w:szCs w:val="24"/>
          <w:lang w:val="en-GB"/>
        </w:rPr>
        <w:t>only</w:t>
      </w:r>
      <w:r w:rsidR="00327950" w:rsidRPr="00615A13">
        <w:rPr>
          <w:rFonts w:cs="Arial"/>
          <w:sz w:val="24"/>
          <w:szCs w:val="24"/>
          <w:lang w:val="en-GB"/>
        </w:rPr>
        <w:t xml:space="preserve"> deals with</w:t>
      </w:r>
      <w:r w:rsidR="006822AB" w:rsidRPr="00615A13">
        <w:rPr>
          <w:rFonts w:cs="Arial"/>
          <w:sz w:val="24"/>
          <w:szCs w:val="24"/>
          <w:lang w:val="en-GB"/>
        </w:rPr>
        <w:t xml:space="preserve"> those regulatory</w:t>
      </w:r>
      <w:r w:rsidR="00327950" w:rsidRPr="00615A13">
        <w:rPr>
          <w:rFonts w:cs="Arial"/>
          <w:sz w:val="24"/>
          <w:szCs w:val="24"/>
          <w:lang w:val="en-GB"/>
        </w:rPr>
        <w:t xml:space="preserve"> measures</w:t>
      </w:r>
      <w:r w:rsidR="006822AB" w:rsidRPr="00615A13">
        <w:rPr>
          <w:rFonts w:cs="Arial"/>
          <w:sz w:val="24"/>
          <w:szCs w:val="24"/>
          <w:lang w:val="en-GB"/>
        </w:rPr>
        <w:t xml:space="preserve"> which relate solely to technical product standards </w:t>
      </w:r>
      <w:r w:rsidR="00327950" w:rsidRPr="00615A13">
        <w:rPr>
          <w:rFonts w:cs="Arial"/>
          <w:sz w:val="24"/>
          <w:szCs w:val="24"/>
          <w:lang w:val="en-GB"/>
        </w:rPr>
        <w:t>and are</w:t>
      </w:r>
      <w:r w:rsidR="006822AB" w:rsidRPr="00615A13">
        <w:rPr>
          <w:rFonts w:cs="Arial"/>
          <w:sz w:val="24"/>
          <w:szCs w:val="24"/>
          <w:lang w:val="en-GB"/>
        </w:rPr>
        <w:t xml:space="preserve"> on a sub-legal level.</w:t>
      </w:r>
    </w:p>
    <w:p w:rsidR="00156F83" w:rsidRPr="00615A13" w:rsidRDefault="00156F83" w:rsidP="00FD544B">
      <w:pPr>
        <w:jc w:val="both"/>
        <w:rPr>
          <w:rFonts w:cs="Arial"/>
          <w:sz w:val="24"/>
          <w:szCs w:val="24"/>
          <w:lang w:val="en-GB"/>
        </w:rPr>
      </w:pPr>
    </w:p>
    <w:p w:rsidR="006F688C" w:rsidRPr="00615A13" w:rsidRDefault="006F688C" w:rsidP="00FD544B">
      <w:pPr>
        <w:jc w:val="both"/>
        <w:rPr>
          <w:rFonts w:cs="Arial"/>
          <w:sz w:val="24"/>
          <w:szCs w:val="24"/>
          <w:lang w:val="en-GB"/>
        </w:rPr>
      </w:pPr>
    </w:p>
    <w:p w:rsidR="00156F83" w:rsidRPr="00615A13" w:rsidRDefault="008A1394" w:rsidP="00FD544B">
      <w:pPr>
        <w:pStyle w:val="ListParagraph"/>
        <w:numPr>
          <w:ilvl w:val="0"/>
          <w:numId w:val="1"/>
        </w:numPr>
        <w:jc w:val="both"/>
        <w:rPr>
          <w:rFonts w:cs="Arial"/>
          <w:b/>
          <w:sz w:val="24"/>
          <w:szCs w:val="24"/>
          <w:lang w:val="en-GB"/>
        </w:rPr>
      </w:pPr>
      <w:r w:rsidRPr="00615A13">
        <w:rPr>
          <w:rFonts w:cs="Arial"/>
          <w:b/>
          <w:sz w:val="24"/>
          <w:szCs w:val="24"/>
          <w:lang w:val="en-GB"/>
        </w:rPr>
        <w:t xml:space="preserve">Liberalisation of </w:t>
      </w:r>
      <w:r w:rsidR="00483603">
        <w:rPr>
          <w:rFonts w:cs="Arial"/>
          <w:b/>
          <w:sz w:val="24"/>
          <w:szCs w:val="24"/>
          <w:lang w:val="en-GB"/>
        </w:rPr>
        <w:t>S</w:t>
      </w:r>
      <w:r w:rsidR="00483603" w:rsidRPr="00615A13">
        <w:rPr>
          <w:rFonts w:cs="Arial"/>
          <w:b/>
          <w:sz w:val="24"/>
          <w:szCs w:val="24"/>
          <w:lang w:val="en-GB"/>
        </w:rPr>
        <w:t>ervices</w:t>
      </w:r>
    </w:p>
    <w:p w:rsidR="008A1394" w:rsidRPr="00615A13" w:rsidRDefault="008A1394" w:rsidP="00FD544B">
      <w:pPr>
        <w:jc w:val="both"/>
        <w:rPr>
          <w:rFonts w:cs="Arial"/>
          <w:sz w:val="24"/>
          <w:szCs w:val="24"/>
          <w:lang w:val="en-GB"/>
        </w:rPr>
      </w:pPr>
    </w:p>
    <w:p w:rsidR="00AD2330" w:rsidRDefault="008A1394" w:rsidP="00FD544B">
      <w:pPr>
        <w:jc w:val="both"/>
        <w:rPr>
          <w:rFonts w:cs="Arial"/>
          <w:sz w:val="24"/>
          <w:szCs w:val="24"/>
          <w:lang w:val="en-GB"/>
        </w:rPr>
      </w:pPr>
      <w:r w:rsidRPr="00615A13">
        <w:rPr>
          <w:rFonts w:cs="Arial"/>
          <w:sz w:val="24"/>
          <w:szCs w:val="24"/>
          <w:lang w:val="en-GB"/>
        </w:rPr>
        <w:t xml:space="preserve">For TTIP and CETA, a general push for liberalisation is envisaged, which shall in principle affect all services – including </w:t>
      </w:r>
      <w:r w:rsidR="00483603">
        <w:rPr>
          <w:rFonts w:cs="Arial"/>
          <w:sz w:val="24"/>
          <w:szCs w:val="24"/>
          <w:lang w:val="en-GB"/>
        </w:rPr>
        <w:t>S</w:t>
      </w:r>
      <w:r w:rsidRPr="00615A13">
        <w:rPr>
          <w:rFonts w:cs="Arial"/>
          <w:sz w:val="24"/>
          <w:szCs w:val="24"/>
          <w:lang w:val="en-GB"/>
        </w:rPr>
        <w:t xml:space="preserve">ervices of </w:t>
      </w:r>
      <w:r w:rsidR="00483603">
        <w:rPr>
          <w:rFonts w:cs="Arial"/>
          <w:sz w:val="24"/>
          <w:szCs w:val="24"/>
          <w:lang w:val="en-GB"/>
        </w:rPr>
        <w:t>G</w:t>
      </w:r>
      <w:r w:rsidRPr="00615A13">
        <w:rPr>
          <w:rFonts w:cs="Arial"/>
          <w:sz w:val="24"/>
          <w:szCs w:val="24"/>
          <w:lang w:val="en-GB"/>
        </w:rPr>
        <w:t xml:space="preserve">eneral </w:t>
      </w:r>
      <w:r w:rsidR="00683D00">
        <w:rPr>
          <w:rFonts w:cs="Arial"/>
          <w:sz w:val="24"/>
          <w:szCs w:val="24"/>
          <w:lang w:val="en-GB"/>
        </w:rPr>
        <w:t>I</w:t>
      </w:r>
      <w:r w:rsidRPr="00615A13">
        <w:rPr>
          <w:rFonts w:cs="Arial"/>
          <w:sz w:val="24"/>
          <w:szCs w:val="24"/>
          <w:lang w:val="en-GB"/>
        </w:rPr>
        <w:t>nterest</w:t>
      </w:r>
      <w:r w:rsidR="00683D00">
        <w:rPr>
          <w:rFonts w:cs="Arial"/>
          <w:sz w:val="24"/>
          <w:szCs w:val="24"/>
          <w:lang w:val="en-GB"/>
        </w:rPr>
        <w:t xml:space="preserve"> </w:t>
      </w:r>
      <w:r w:rsidR="00483603">
        <w:rPr>
          <w:rFonts w:cs="Arial"/>
          <w:sz w:val="24"/>
          <w:szCs w:val="24"/>
          <w:lang w:val="en-GB"/>
        </w:rPr>
        <w:t>(</w:t>
      </w:r>
      <w:r w:rsidRPr="00615A13">
        <w:rPr>
          <w:rFonts w:cs="Arial"/>
          <w:sz w:val="24"/>
          <w:szCs w:val="24"/>
          <w:lang w:val="en-GB"/>
        </w:rPr>
        <w:t>public services</w:t>
      </w:r>
      <w:r w:rsidR="00483603">
        <w:rPr>
          <w:rFonts w:cs="Arial"/>
          <w:sz w:val="24"/>
          <w:szCs w:val="24"/>
          <w:lang w:val="en-GB"/>
        </w:rPr>
        <w:t>)</w:t>
      </w:r>
      <w:r w:rsidRPr="00615A13">
        <w:rPr>
          <w:rFonts w:cs="Arial"/>
          <w:sz w:val="24"/>
          <w:szCs w:val="24"/>
          <w:lang w:val="en-GB"/>
        </w:rPr>
        <w:t xml:space="preserve">. Only the areas which are specifically defined in the </w:t>
      </w:r>
      <w:r w:rsidR="00615A13" w:rsidRPr="00615A13">
        <w:rPr>
          <w:rFonts w:cs="Arial"/>
          <w:sz w:val="24"/>
          <w:szCs w:val="24"/>
          <w:lang w:val="en-GB"/>
        </w:rPr>
        <w:t>agreement</w:t>
      </w:r>
      <w:r w:rsidRPr="00615A13">
        <w:rPr>
          <w:rFonts w:cs="Arial"/>
          <w:sz w:val="24"/>
          <w:szCs w:val="24"/>
          <w:lang w:val="en-GB"/>
        </w:rPr>
        <w:t xml:space="preserve"> are exempt (negative list principle). In addition, all new services would be liberalised, without exception.</w:t>
      </w:r>
      <w:r w:rsidR="0096038C" w:rsidRPr="00615A13">
        <w:rPr>
          <w:rFonts w:cs="Arial"/>
          <w:sz w:val="24"/>
          <w:szCs w:val="24"/>
          <w:lang w:val="en-GB"/>
        </w:rPr>
        <w:t xml:space="preserve"> This approach, to extend free trade to all areas, should also be critically questioned. There are also uncertainties when exceptions are not clearly defined. </w:t>
      </w:r>
    </w:p>
    <w:p w:rsidR="00AD2330" w:rsidRDefault="00AD2330" w:rsidP="00FD544B">
      <w:pPr>
        <w:jc w:val="both"/>
        <w:rPr>
          <w:rFonts w:cs="Arial"/>
          <w:sz w:val="24"/>
          <w:szCs w:val="24"/>
          <w:lang w:val="en-GB"/>
        </w:rPr>
      </w:pPr>
    </w:p>
    <w:p w:rsidR="00AD2330" w:rsidRDefault="00FD544B" w:rsidP="00FD544B">
      <w:pPr>
        <w:jc w:val="both"/>
        <w:rPr>
          <w:rFonts w:cs="Arial"/>
          <w:sz w:val="24"/>
          <w:szCs w:val="24"/>
          <w:lang w:val="en-GB"/>
        </w:rPr>
      </w:pPr>
      <w:r w:rsidRPr="00205F75">
        <w:rPr>
          <w:rFonts w:cs="Arial"/>
          <w:b/>
          <w:sz w:val="24"/>
          <w:szCs w:val="24"/>
          <w:lang w:val="en-GB"/>
        </w:rPr>
        <w:t>As raised by the Social Platform regarding the</w:t>
      </w:r>
      <w:r w:rsidR="00154278" w:rsidRPr="00205F75">
        <w:rPr>
          <w:rFonts w:cs="Arial"/>
          <w:b/>
          <w:sz w:val="24"/>
          <w:szCs w:val="24"/>
          <w:lang w:val="en-GB"/>
        </w:rPr>
        <w:t xml:space="preserve"> Directive on Services of General Interest </w:t>
      </w:r>
      <w:r w:rsidRPr="00205F75">
        <w:rPr>
          <w:rFonts w:cs="Arial"/>
          <w:b/>
          <w:sz w:val="24"/>
          <w:szCs w:val="24"/>
          <w:lang w:val="en-GB"/>
        </w:rPr>
        <w:t>separating</w:t>
      </w:r>
      <w:r w:rsidR="00154278" w:rsidRPr="00205F75">
        <w:rPr>
          <w:rFonts w:cs="Arial"/>
          <w:b/>
          <w:sz w:val="24"/>
          <w:szCs w:val="24"/>
          <w:lang w:val="en-GB"/>
        </w:rPr>
        <w:t xml:space="preserve"> services by their purpose, </w:t>
      </w:r>
      <w:r w:rsidR="00B45F4A" w:rsidRPr="00205F75">
        <w:rPr>
          <w:rFonts w:cs="Arial"/>
          <w:b/>
          <w:sz w:val="24"/>
          <w:szCs w:val="24"/>
          <w:lang w:val="en-GB"/>
        </w:rPr>
        <w:t>this</w:t>
      </w:r>
      <w:r w:rsidRPr="00205F75">
        <w:rPr>
          <w:rFonts w:cs="Arial"/>
          <w:b/>
          <w:sz w:val="24"/>
          <w:szCs w:val="24"/>
          <w:lang w:val="en-GB"/>
        </w:rPr>
        <w:t xml:space="preserve"> different with TTIP, which</w:t>
      </w:r>
      <w:r w:rsidR="00067D47" w:rsidRPr="00205F75">
        <w:rPr>
          <w:rFonts w:cs="Arial"/>
          <w:b/>
          <w:sz w:val="24"/>
          <w:szCs w:val="24"/>
          <w:lang w:val="en-GB"/>
        </w:rPr>
        <w:t xml:space="preserve"> </w:t>
      </w:r>
      <w:r w:rsidR="00154278" w:rsidRPr="00205F75">
        <w:rPr>
          <w:rFonts w:cs="Arial"/>
          <w:b/>
          <w:sz w:val="24"/>
          <w:szCs w:val="24"/>
          <w:lang w:val="en-GB"/>
        </w:rPr>
        <w:t xml:space="preserve">wants to differentiate it by source of funding, ie, publicly funded services would be exempt from privatisation. However, there are services which are of general interest which are not publicly funded. The Social Platform sent a letter to </w:t>
      </w:r>
      <w:r w:rsidR="00154278" w:rsidRPr="00205F75">
        <w:rPr>
          <w:rFonts w:cs="Arial"/>
          <w:b/>
          <w:sz w:val="24"/>
          <w:szCs w:val="24"/>
          <w:lang w:val="en-GB"/>
        </w:rPr>
        <w:lastRenderedPageBreak/>
        <w:t>Commissioner Malmstrom, asking for an alignment of the definition of ring-fenced services – by purpose, not by funding source.</w:t>
      </w:r>
      <w:r w:rsidR="00683D00">
        <w:rPr>
          <w:rStyle w:val="FootnoteReference"/>
          <w:rFonts w:cs="Arial"/>
          <w:sz w:val="24"/>
          <w:szCs w:val="24"/>
          <w:lang w:val="en-GB"/>
        </w:rPr>
        <w:footnoteReference w:id="11"/>
      </w:r>
      <w:r w:rsidR="00154278">
        <w:rPr>
          <w:rFonts w:cs="Arial"/>
          <w:sz w:val="24"/>
          <w:szCs w:val="24"/>
          <w:lang w:val="en-GB"/>
        </w:rPr>
        <w:t xml:space="preserve"> </w:t>
      </w:r>
    </w:p>
    <w:p w:rsidR="00AD2330" w:rsidRDefault="00AD2330" w:rsidP="00FD544B">
      <w:pPr>
        <w:jc w:val="both"/>
        <w:rPr>
          <w:rFonts w:cs="Arial"/>
          <w:sz w:val="24"/>
          <w:szCs w:val="24"/>
          <w:lang w:val="en-GB"/>
        </w:rPr>
      </w:pPr>
    </w:p>
    <w:p w:rsidR="00B163E4" w:rsidRDefault="0096038C" w:rsidP="00FD544B">
      <w:pPr>
        <w:jc w:val="both"/>
        <w:rPr>
          <w:rFonts w:cs="Arial"/>
          <w:sz w:val="24"/>
          <w:szCs w:val="24"/>
          <w:lang w:val="en-GB"/>
        </w:rPr>
      </w:pPr>
      <w:r w:rsidRPr="00615A13">
        <w:rPr>
          <w:rFonts w:cs="Arial"/>
          <w:sz w:val="24"/>
          <w:szCs w:val="24"/>
          <w:lang w:val="en-GB"/>
        </w:rPr>
        <w:t xml:space="preserve">These could become the starting point for further deregulation (by means of the investor-state dispute </w:t>
      </w:r>
      <w:r w:rsidR="00AD2330">
        <w:rPr>
          <w:rFonts w:cs="Arial"/>
          <w:sz w:val="24"/>
          <w:szCs w:val="24"/>
          <w:lang w:val="en-GB"/>
        </w:rPr>
        <w:t xml:space="preserve">settlement </w:t>
      </w:r>
      <w:r w:rsidRPr="00615A13">
        <w:rPr>
          <w:rFonts w:cs="Arial"/>
          <w:sz w:val="24"/>
          <w:szCs w:val="24"/>
          <w:lang w:val="en-GB"/>
        </w:rPr>
        <w:t>process).</w:t>
      </w:r>
      <w:r w:rsidR="00683D00">
        <w:rPr>
          <w:rFonts w:cs="Arial"/>
          <w:sz w:val="24"/>
          <w:szCs w:val="24"/>
          <w:lang w:val="en-GB"/>
        </w:rPr>
        <w:t xml:space="preserve"> </w:t>
      </w:r>
      <w:r w:rsidRPr="00615A13">
        <w:rPr>
          <w:rFonts w:cs="Arial"/>
          <w:sz w:val="24"/>
          <w:szCs w:val="24"/>
          <w:lang w:val="en-GB"/>
        </w:rPr>
        <w:t xml:space="preserve">Moreover, there are concerns that returning temporarily privatised sectors to the public domain is so difficult that liberalisation is irreversible (the so-called </w:t>
      </w:r>
      <w:r w:rsidR="00483603">
        <w:rPr>
          <w:rFonts w:cs="Arial"/>
          <w:sz w:val="24"/>
          <w:szCs w:val="24"/>
          <w:lang w:val="en-GB"/>
        </w:rPr>
        <w:t>S</w:t>
      </w:r>
      <w:r w:rsidRPr="00615A13">
        <w:rPr>
          <w:rFonts w:cs="Arial"/>
          <w:sz w:val="24"/>
          <w:szCs w:val="24"/>
          <w:lang w:val="en-GB"/>
        </w:rPr>
        <w:t xml:space="preserve">tandstill and </w:t>
      </w:r>
      <w:r w:rsidR="00483603">
        <w:rPr>
          <w:rFonts w:cs="Arial"/>
          <w:sz w:val="24"/>
          <w:szCs w:val="24"/>
          <w:lang w:val="en-GB"/>
        </w:rPr>
        <w:t>R</w:t>
      </w:r>
      <w:r w:rsidRPr="00615A13">
        <w:rPr>
          <w:rFonts w:cs="Arial"/>
          <w:sz w:val="24"/>
          <w:szCs w:val="24"/>
          <w:lang w:val="en-GB"/>
        </w:rPr>
        <w:t xml:space="preserve">atchet </w:t>
      </w:r>
      <w:r w:rsidR="00483603">
        <w:rPr>
          <w:rFonts w:cs="Arial"/>
          <w:sz w:val="24"/>
          <w:szCs w:val="24"/>
          <w:lang w:val="en-GB"/>
        </w:rPr>
        <w:t>C</w:t>
      </w:r>
      <w:r w:rsidRPr="00615A13">
        <w:rPr>
          <w:rFonts w:cs="Arial"/>
          <w:sz w:val="24"/>
          <w:szCs w:val="24"/>
          <w:lang w:val="en-GB"/>
        </w:rPr>
        <w:t xml:space="preserve">lauses). </w:t>
      </w:r>
      <w:r w:rsidR="002B2392" w:rsidRPr="00615A13">
        <w:rPr>
          <w:rFonts w:cs="Arial"/>
          <w:sz w:val="24"/>
          <w:szCs w:val="24"/>
          <w:lang w:val="en-GB"/>
        </w:rPr>
        <w:t xml:space="preserve">With this in mind, a return to the previous principle of positive lists, where </w:t>
      </w:r>
      <w:r w:rsidR="00540F90">
        <w:rPr>
          <w:rFonts w:cs="Arial"/>
          <w:sz w:val="24"/>
          <w:szCs w:val="24"/>
          <w:lang w:val="en-GB"/>
        </w:rPr>
        <w:t>areas to be liberalised</w:t>
      </w:r>
      <w:r w:rsidR="002B2392" w:rsidRPr="00615A13">
        <w:rPr>
          <w:rFonts w:cs="Arial"/>
          <w:sz w:val="24"/>
          <w:szCs w:val="24"/>
          <w:lang w:val="en-GB"/>
        </w:rPr>
        <w:t xml:space="preserve"> are expressly and precisely laid down, appears to be the clearer alternative.</w:t>
      </w:r>
      <w:r w:rsidR="00136820" w:rsidRPr="00615A13">
        <w:rPr>
          <w:rFonts w:cs="Arial"/>
          <w:sz w:val="24"/>
          <w:szCs w:val="24"/>
          <w:lang w:val="en-GB"/>
        </w:rPr>
        <w:t xml:space="preserve"> For social and health services, the E</w:t>
      </w:r>
      <w:r w:rsidR="00067D47">
        <w:rPr>
          <w:rFonts w:cs="Arial"/>
          <w:sz w:val="24"/>
          <w:szCs w:val="24"/>
          <w:lang w:val="en-GB"/>
        </w:rPr>
        <w:t>U and a number of member states</w:t>
      </w:r>
      <w:r w:rsidR="00136820" w:rsidRPr="00615A13">
        <w:rPr>
          <w:rFonts w:cs="Arial"/>
          <w:sz w:val="24"/>
          <w:szCs w:val="24"/>
          <w:lang w:val="en-GB"/>
        </w:rPr>
        <w:t xml:space="preserve"> </w:t>
      </w:r>
      <w:r w:rsidR="00067D47">
        <w:rPr>
          <w:rFonts w:cs="Arial"/>
          <w:sz w:val="24"/>
          <w:szCs w:val="24"/>
          <w:lang w:val="en-GB"/>
        </w:rPr>
        <w:t>h</w:t>
      </w:r>
      <w:r w:rsidR="00136820" w:rsidRPr="00615A13">
        <w:rPr>
          <w:rFonts w:cs="Arial"/>
          <w:sz w:val="24"/>
          <w:szCs w:val="24"/>
          <w:lang w:val="en-GB"/>
        </w:rPr>
        <w:t>ave introduced reservations on the CETA agreement</w:t>
      </w:r>
      <w:r w:rsidR="00B43F96">
        <w:rPr>
          <w:rStyle w:val="FootnoteReference"/>
          <w:rFonts w:cs="Arial"/>
          <w:sz w:val="24"/>
          <w:szCs w:val="24"/>
          <w:lang w:val="en-GB"/>
        </w:rPr>
        <w:footnoteReference w:id="12"/>
      </w:r>
      <w:r w:rsidR="00136820" w:rsidRPr="00615A13">
        <w:rPr>
          <w:rFonts w:cs="Arial"/>
          <w:sz w:val="24"/>
          <w:szCs w:val="24"/>
          <w:lang w:val="en-GB"/>
        </w:rPr>
        <w:t xml:space="preserve"> which prevent any further liberalisation and allow for individual national regulations (e.g. non-profit status). Thus, the obligations for market opening will not </w:t>
      </w:r>
      <w:r w:rsidR="00F00437" w:rsidRPr="00615A13">
        <w:rPr>
          <w:rFonts w:cs="Arial"/>
          <w:sz w:val="24"/>
          <w:szCs w:val="24"/>
          <w:lang w:val="en-GB"/>
        </w:rPr>
        <w:t xml:space="preserve">go beyond the existing binding services </w:t>
      </w:r>
      <w:r w:rsidR="00136820" w:rsidRPr="00615A13">
        <w:rPr>
          <w:rFonts w:cs="Arial"/>
          <w:sz w:val="24"/>
          <w:szCs w:val="24"/>
          <w:lang w:val="en-GB"/>
        </w:rPr>
        <w:t>agreement of the World Trade Organization (General Agreement on Trade in Services, GATS)</w:t>
      </w:r>
      <w:r w:rsidR="00F00437" w:rsidRPr="00615A13">
        <w:rPr>
          <w:rFonts w:cs="Arial"/>
          <w:sz w:val="24"/>
          <w:szCs w:val="24"/>
          <w:lang w:val="en-GB"/>
        </w:rPr>
        <w:t xml:space="preserve">. The </w:t>
      </w:r>
      <w:r w:rsidR="00136820" w:rsidRPr="00615A13">
        <w:rPr>
          <w:rFonts w:cs="Arial"/>
          <w:sz w:val="24"/>
          <w:szCs w:val="24"/>
          <w:lang w:val="en-GB"/>
        </w:rPr>
        <w:t xml:space="preserve">European Commission </w:t>
      </w:r>
      <w:r w:rsidR="00F00437" w:rsidRPr="00615A13">
        <w:rPr>
          <w:rFonts w:cs="Arial"/>
          <w:sz w:val="24"/>
          <w:szCs w:val="24"/>
          <w:lang w:val="en-GB"/>
        </w:rPr>
        <w:t>seem</w:t>
      </w:r>
      <w:r w:rsidR="00683D00">
        <w:rPr>
          <w:rFonts w:cs="Arial"/>
          <w:sz w:val="24"/>
          <w:szCs w:val="24"/>
          <w:lang w:val="en-GB"/>
        </w:rPr>
        <w:t>s</w:t>
      </w:r>
      <w:r w:rsidR="00F00437" w:rsidRPr="00615A13">
        <w:rPr>
          <w:rFonts w:cs="Arial"/>
          <w:sz w:val="24"/>
          <w:szCs w:val="24"/>
          <w:lang w:val="en-GB"/>
        </w:rPr>
        <w:t xml:space="preserve"> to also be following this strategy </w:t>
      </w:r>
      <w:r w:rsidR="00136820" w:rsidRPr="00615A13">
        <w:rPr>
          <w:rFonts w:cs="Arial"/>
          <w:sz w:val="24"/>
          <w:szCs w:val="24"/>
          <w:lang w:val="en-GB"/>
        </w:rPr>
        <w:t>for the TTIP negotiations.</w:t>
      </w:r>
      <w:r w:rsidR="00EB6823" w:rsidRPr="00615A13">
        <w:rPr>
          <w:rFonts w:cs="Arial"/>
          <w:sz w:val="24"/>
          <w:szCs w:val="24"/>
          <w:lang w:val="en-GB"/>
        </w:rPr>
        <w:t xml:space="preserve"> However in the area of public services, different definitions (e.g. public utilities vs. public services) exist in the USA, EU and member states. Exceptions, terms and definitions given up to this point are not always clear, so this regulatory approach does not provide one hundred </w:t>
      </w:r>
      <w:r w:rsidR="00615A13" w:rsidRPr="00615A13">
        <w:rPr>
          <w:rFonts w:cs="Arial"/>
          <w:sz w:val="24"/>
          <w:szCs w:val="24"/>
          <w:lang w:val="en-GB"/>
        </w:rPr>
        <w:t>per cent</w:t>
      </w:r>
      <w:r w:rsidR="00EB6823" w:rsidRPr="00615A13">
        <w:rPr>
          <w:rFonts w:cs="Arial"/>
          <w:sz w:val="24"/>
          <w:szCs w:val="24"/>
          <w:lang w:val="en-GB"/>
        </w:rPr>
        <w:t xml:space="preserve"> legal certainty.</w:t>
      </w:r>
    </w:p>
    <w:p w:rsidR="00AD2330" w:rsidRDefault="00AD2330" w:rsidP="00FD544B">
      <w:pPr>
        <w:jc w:val="both"/>
        <w:rPr>
          <w:rFonts w:cs="Arial"/>
          <w:sz w:val="24"/>
          <w:szCs w:val="24"/>
          <w:lang w:val="en-GB"/>
        </w:rPr>
      </w:pPr>
    </w:p>
    <w:p w:rsidR="008A1394" w:rsidRPr="00615A13" w:rsidRDefault="003E5B6A" w:rsidP="00FD544B">
      <w:pPr>
        <w:jc w:val="both"/>
        <w:rPr>
          <w:rFonts w:cs="Arial"/>
          <w:sz w:val="24"/>
          <w:szCs w:val="24"/>
          <w:lang w:val="en-GB"/>
        </w:rPr>
      </w:pPr>
      <w:r w:rsidRPr="00615A13">
        <w:rPr>
          <w:rFonts w:cs="Arial"/>
          <w:sz w:val="24"/>
          <w:szCs w:val="24"/>
          <w:lang w:val="en-GB"/>
        </w:rPr>
        <w:t xml:space="preserve">Socially disadvantaged people </w:t>
      </w:r>
      <w:r w:rsidR="000F1CA1" w:rsidRPr="00615A13">
        <w:rPr>
          <w:rFonts w:cs="Arial"/>
          <w:sz w:val="24"/>
          <w:szCs w:val="24"/>
          <w:lang w:val="en-GB"/>
        </w:rPr>
        <w:t xml:space="preserve">in particular </w:t>
      </w:r>
      <w:r w:rsidRPr="00615A13">
        <w:rPr>
          <w:rFonts w:cs="Arial"/>
          <w:sz w:val="24"/>
          <w:szCs w:val="24"/>
          <w:lang w:val="en-GB"/>
        </w:rPr>
        <w:t>could be affected</w:t>
      </w:r>
      <w:r w:rsidR="000F1CA1" w:rsidRPr="00615A13">
        <w:rPr>
          <w:rFonts w:cs="Arial"/>
          <w:sz w:val="24"/>
          <w:szCs w:val="24"/>
          <w:lang w:val="en-GB"/>
        </w:rPr>
        <w:t xml:space="preserve"> by further liberalisation in the area of public services</w:t>
      </w:r>
      <w:r w:rsidR="00C774BB" w:rsidRPr="00615A13">
        <w:rPr>
          <w:rFonts w:cs="Arial"/>
          <w:sz w:val="24"/>
          <w:szCs w:val="24"/>
          <w:lang w:val="en-GB"/>
        </w:rPr>
        <w:t>. P</w:t>
      </w:r>
      <w:r w:rsidRPr="00615A13">
        <w:rPr>
          <w:rFonts w:cs="Arial"/>
          <w:sz w:val="24"/>
          <w:szCs w:val="24"/>
          <w:lang w:val="en-GB"/>
        </w:rPr>
        <w:t>revious experience has</w:t>
      </w:r>
      <w:r w:rsidR="00C774BB" w:rsidRPr="00615A13">
        <w:rPr>
          <w:rFonts w:cs="Arial"/>
          <w:sz w:val="24"/>
          <w:szCs w:val="24"/>
          <w:lang w:val="en-GB"/>
        </w:rPr>
        <w:t>,</w:t>
      </w:r>
      <w:r w:rsidRPr="00615A13">
        <w:rPr>
          <w:rFonts w:cs="Arial"/>
          <w:sz w:val="24"/>
          <w:szCs w:val="24"/>
          <w:lang w:val="en-GB"/>
        </w:rPr>
        <w:t xml:space="preserve"> on the one hand</w:t>
      </w:r>
      <w:r w:rsidR="00C774BB" w:rsidRPr="00615A13">
        <w:rPr>
          <w:rFonts w:cs="Arial"/>
          <w:sz w:val="24"/>
          <w:szCs w:val="24"/>
          <w:lang w:val="en-GB"/>
        </w:rPr>
        <w:t>,</w:t>
      </w:r>
      <w:r w:rsidRPr="00615A13">
        <w:rPr>
          <w:rFonts w:cs="Arial"/>
          <w:sz w:val="24"/>
          <w:szCs w:val="24"/>
          <w:lang w:val="en-GB"/>
        </w:rPr>
        <w:t xml:space="preserve"> not </w:t>
      </w:r>
      <w:r w:rsidR="00C774BB" w:rsidRPr="00615A13">
        <w:rPr>
          <w:rFonts w:cs="Arial"/>
          <w:sz w:val="24"/>
          <w:szCs w:val="24"/>
          <w:lang w:val="en-GB"/>
        </w:rPr>
        <w:t>shown</w:t>
      </w:r>
      <w:r w:rsidRPr="00615A13">
        <w:rPr>
          <w:rFonts w:cs="Arial"/>
          <w:sz w:val="24"/>
          <w:szCs w:val="24"/>
          <w:lang w:val="en-GB"/>
        </w:rPr>
        <w:t xml:space="preserve"> that market libera</w:t>
      </w:r>
      <w:r w:rsidR="00C774BB" w:rsidRPr="00615A13">
        <w:rPr>
          <w:rFonts w:cs="Arial"/>
          <w:sz w:val="24"/>
          <w:szCs w:val="24"/>
          <w:lang w:val="en-GB"/>
        </w:rPr>
        <w:t>lis</w:t>
      </w:r>
      <w:r w:rsidRPr="00615A13">
        <w:rPr>
          <w:rFonts w:cs="Arial"/>
          <w:sz w:val="24"/>
          <w:szCs w:val="24"/>
          <w:lang w:val="en-GB"/>
        </w:rPr>
        <w:t xml:space="preserve">ation has led to more employment. </w:t>
      </w:r>
      <w:r w:rsidR="00C774BB" w:rsidRPr="00615A13">
        <w:rPr>
          <w:rFonts w:cs="Arial"/>
          <w:sz w:val="24"/>
          <w:szCs w:val="24"/>
          <w:lang w:val="en-GB"/>
        </w:rPr>
        <w:t>On the other</w:t>
      </w:r>
      <w:r w:rsidRPr="00615A13">
        <w:rPr>
          <w:rFonts w:cs="Arial"/>
          <w:sz w:val="24"/>
          <w:szCs w:val="24"/>
          <w:lang w:val="en-GB"/>
        </w:rPr>
        <w:t xml:space="preserve">, competition </w:t>
      </w:r>
      <w:r w:rsidR="00C774BB" w:rsidRPr="00615A13">
        <w:rPr>
          <w:rFonts w:cs="Arial"/>
          <w:sz w:val="24"/>
          <w:szCs w:val="24"/>
          <w:lang w:val="en-GB"/>
        </w:rPr>
        <w:t xml:space="preserve">mainly </w:t>
      </w:r>
      <w:r w:rsidRPr="00615A13">
        <w:rPr>
          <w:rFonts w:cs="Arial"/>
          <w:sz w:val="24"/>
          <w:szCs w:val="24"/>
          <w:lang w:val="en-GB"/>
        </w:rPr>
        <w:t xml:space="preserve">takes place </w:t>
      </w:r>
      <w:r w:rsidR="00C774BB" w:rsidRPr="00615A13">
        <w:rPr>
          <w:rFonts w:cs="Arial"/>
          <w:sz w:val="24"/>
          <w:szCs w:val="24"/>
          <w:lang w:val="en-GB"/>
        </w:rPr>
        <w:t>over</w:t>
      </w:r>
      <w:r w:rsidR="00AD2330">
        <w:rPr>
          <w:rFonts w:cs="Arial"/>
          <w:sz w:val="24"/>
          <w:szCs w:val="24"/>
          <w:lang w:val="en-GB"/>
        </w:rPr>
        <w:t xml:space="preserve"> </w:t>
      </w:r>
      <w:r w:rsidR="00C774BB" w:rsidRPr="00615A13">
        <w:rPr>
          <w:rFonts w:cs="Arial"/>
          <w:sz w:val="24"/>
          <w:szCs w:val="24"/>
          <w:lang w:val="en-GB"/>
        </w:rPr>
        <w:t xml:space="preserve">employee wages and </w:t>
      </w:r>
      <w:r w:rsidR="00B163E4">
        <w:rPr>
          <w:rFonts w:cs="Arial"/>
          <w:sz w:val="24"/>
          <w:szCs w:val="24"/>
          <w:lang w:val="en-GB"/>
        </w:rPr>
        <w:t>services</w:t>
      </w:r>
      <w:r w:rsidR="00AD2330">
        <w:rPr>
          <w:rFonts w:cs="Arial"/>
          <w:sz w:val="24"/>
          <w:szCs w:val="24"/>
          <w:lang w:val="en-GB"/>
        </w:rPr>
        <w:t xml:space="preserve"> </w:t>
      </w:r>
      <w:r w:rsidRPr="00615A13">
        <w:rPr>
          <w:rFonts w:cs="Arial"/>
          <w:sz w:val="24"/>
          <w:szCs w:val="24"/>
          <w:lang w:val="en-GB"/>
        </w:rPr>
        <w:t>have not become cheaper as a rule.</w:t>
      </w:r>
      <w:r w:rsidR="000E2D52" w:rsidDel="000E2D52">
        <w:rPr>
          <w:rStyle w:val="FootnoteReference"/>
          <w:rFonts w:cs="Arial"/>
          <w:sz w:val="24"/>
          <w:szCs w:val="24"/>
          <w:lang w:val="en-GB"/>
        </w:rPr>
        <w:t xml:space="preserve"> </w:t>
      </w:r>
      <w:r w:rsidR="00C774BB" w:rsidRPr="00615A13">
        <w:rPr>
          <w:rFonts w:cs="Arial"/>
          <w:sz w:val="24"/>
          <w:szCs w:val="24"/>
          <w:lang w:val="en-GB"/>
        </w:rPr>
        <w:t>Especially when it comes to meeting basic needs, such as water, housing, energy, health, social services and education, price increases would</w:t>
      </w:r>
      <w:r w:rsidR="00CE79C9" w:rsidRPr="00615A13">
        <w:rPr>
          <w:rFonts w:cs="Arial"/>
          <w:sz w:val="24"/>
          <w:szCs w:val="24"/>
          <w:lang w:val="en-GB"/>
        </w:rPr>
        <w:t xml:space="preserve"> disproportionately</w:t>
      </w:r>
      <w:r w:rsidR="00AD2330">
        <w:rPr>
          <w:rFonts w:cs="Arial"/>
          <w:sz w:val="24"/>
          <w:szCs w:val="24"/>
          <w:lang w:val="en-GB"/>
        </w:rPr>
        <w:t xml:space="preserve"> </w:t>
      </w:r>
      <w:r w:rsidR="00CE79C9" w:rsidRPr="00615A13">
        <w:rPr>
          <w:rFonts w:cs="Arial"/>
          <w:sz w:val="24"/>
          <w:szCs w:val="24"/>
          <w:lang w:val="en-GB"/>
        </w:rPr>
        <w:t>hit the</w:t>
      </w:r>
      <w:r w:rsidR="00C774BB" w:rsidRPr="00615A13">
        <w:rPr>
          <w:rFonts w:cs="Arial"/>
          <w:sz w:val="24"/>
          <w:szCs w:val="24"/>
          <w:lang w:val="en-GB"/>
        </w:rPr>
        <w:t xml:space="preserve"> socially disadvanta</w:t>
      </w:r>
      <w:r w:rsidR="00CE79C9" w:rsidRPr="00615A13">
        <w:rPr>
          <w:rFonts w:cs="Arial"/>
          <w:sz w:val="24"/>
          <w:szCs w:val="24"/>
          <w:lang w:val="en-GB"/>
        </w:rPr>
        <w:t>ged</w:t>
      </w:r>
      <w:r w:rsidR="00C774BB" w:rsidRPr="00615A13">
        <w:rPr>
          <w:rFonts w:cs="Arial"/>
          <w:sz w:val="24"/>
          <w:szCs w:val="24"/>
          <w:lang w:val="en-GB"/>
        </w:rPr>
        <w:t>.</w:t>
      </w:r>
      <w:r w:rsidR="00AD2330">
        <w:rPr>
          <w:rFonts w:cs="Arial"/>
          <w:sz w:val="24"/>
          <w:szCs w:val="24"/>
          <w:lang w:val="en-GB"/>
        </w:rPr>
        <w:t xml:space="preserve"> </w:t>
      </w:r>
      <w:r w:rsidR="00766080" w:rsidRPr="00615A13">
        <w:rPr>
          <w:rFonts w:cs="Arial"/>
          <w:sz w:val="24"/>
          <w:szCs w:val="24"/>
          <w:lang w:val="en-GB"/>
        </w:rPr>
        <w:t>In addition, they would also be affected if market opening were to have a negative impact on the quality, availability and accessibility of services, as they use them extensively, and may be dependent on them.</w:t>
      </w:r>
    </w:p>
    <w:p w:rsidR="00156F83" w:rsidRPr="00615A13" w:rsidRDefault="00156F83" w:rsidP="00FD544B">
      <w:pPr>
        <w:jc w:val="both"/>
        <w:rPr>
          <w:rFonts w:cs="Arial"/>
          <w:sz w:val="24"/>
          <w:szCs w:val="24"/>
          <w:lang w:val="en-GB"/>
        </w:rPr>
      </w:pPr>
    </w:p>
    <w:p w:rsidR="006F688C" w:rsidRPr="00615A13" w:rsidRDefault="006F688C" w:rsidP="00FD544B">
      <w:pPr>
        <w:jc w:val="both"/>
        <w:rPr>
          <w:rFonts w:cs="Arial"/>
          <w:sz w:val="24"/>
          <w:szCs w:val="24"/>
          <w:lang w:val="en-GB"/>
        </w:rPr>
      </w:pPr>
    </w:p>
    <w:p w:rsidR="00156F83" w:rsidRPr="00615A13" w:rsidRDefault="00C07971" w:rsidP="00FD544B">
      <w:pPr>
        <w:pStyle w:val="ListParagraph"/>
        <w:numPr>
          <w:ilvl w:val="0"/>
          <w:numId w:val="1"/>
        </w:numPr>
        <w:jc w:val="both"/>
        <w:rPr>
          <w:rFonts w:cs="Arial"/>
          <w:b/>
          <w:sz w:val="24"/>
          <w:szCs w:val="24"/>
          <w:lang w:val="en-GB"/>
        </w:rPr>
      </w:pPr>
      <w:r w:rsidRPr="00615A13">
        <w:rPr>
          <w:rFonts w:cs="Arial"/>
          <w:b/>
          <w:sz w:val="24"/>
          <w:szCs w:val="24"/>
          <w:lang w:val="en-GB"/>
        </w:rPr>
        <w:t>Conclusion</w:t>
      </w:r>
    </w:p>
    <w:p w:rsidR="006F688C" w:rsidRPr="00615A13" w:rsidRDefault="006F688C" w:rsidP="00FD544B">
      <w:pPr>
        <w:jc w:val="both"/>
        <w:rPr>
          <w:rFonts w:cs="Arial"/>
          <w:b/>
          <w:sz w:val="24"/>
          <w:szCs w:val="24"/>
          <w:lang w:val="en-GB"/>
        </w:rPr>
      </w:pPr>
    </w:p>
    <w:p w:rsidR="00B163E4" w:rsidRDefault="00093970" w:rsidP="00FD544B">
      <w:pPr>
        <w:jc w:val="both"/>
        <w:rPr>
          <w:rFonts w:cs="Arial"/>
          <w:sz w:val="24"/>
          <w:szCs w:val="24"/>
          <w:lang w:val="en-GB"/>
        </w:rPr>
      </w:pPr>
      <w:r w:rsidRPr="00615A13">
        <w:rPr>
          <w:rFonts w:cs="Arial"/>
          <w:sz w:val="24"/>
          <w:szCs w:val="24"/>
          <w:lang w:val="en-GB"/>
        </w:rPr>
        <w:t xml:space="preserve">The concerns put forward in this paper - as in the public debate - should be considered and taken seriously by the negotiators and policy makers at European and national level. Due to the far-reaching significance of the free trade agreements (in particular TTIP) in shaping the future of important sectors of our society, the negotiations must be carried out with diligence, foresight and responsibility. This clearly has priority over adherence to the announced deadline of the end of 2015. At the end of the negotiations, the resulting agreement could be reduced in key areas if this would be the better alternative for EU </w:t>
      </w:r>
      <w:r w:rsidR="00615A13" w:rsidRPr="00615A13">
        <w:rPr>
          <w:rFonts w:cs="Arial"/>
          <w:sz w:val="24"/>
          <w:szCs w:val="24"/>
          <w:lang w:val="en-GB"/>
        </w:rPr>
        <w:t xml:space="preserve">citizens. </w:t>
      </w:r>
    </w:p>
    <w:p w:rsidR="00776F3E" w:rsidRDefault="00615A13" w:rsidP="00FD544B">
      <w:pPr>
        <w:jc w:val="both"/>
        <w:rPr>
          <w:rFonts w:cs="Arial"/>
          <w:sz w:val="24"/>
          <w:szCs w:val="24"/>
          <w:lang w:val="en-GB"/>
        </w:rPr>
      </w:pPr>
      <w:bookmarkStart w:id="0" w:name="_GoBack"/>
      <w:bookmarkEnd w:id="0"/>
      <w:r w:rsidRPr="00615A13">
        <w:rPr>
          <w:rFonts w:cs="Arial"/>
          <w:sz w:val="24"/>
          <w:szCs w:val="24"/>
          <w:lang w:val="en-GB"/>
        </w:rPr>
        <w:lastRenderedPageBreak/>
        <w:t>Transparency</w:t>
      </w:r>
      <w:r w:rsidR="0084514A" w:rsidRPr="00615A13">
        <w:rPr>
          <w:rFonts w:cs="Arial"/>
          <w:sz w:val="24"/>
          <w:szCs w:val="24"/>
          <w:lang w:val="en-GB"/>
        </w:rPr>
        <w:t xml:space="preserve">, critical public participation and adherence to democratic principles are </w:t>
      </w:r>
      <w:r w:rsidR="00B163E4" w:rsidRPr="00615A13">
        <w:rPr>
          <w:rFonts w:cs="Arial"/>
          <w:sz w:val="24"/>
          <w:szCs w:val="24"/>
          <w:lang w:val="en-GB"/>
        </w:rPr>
        <w:t>indispensable</w:t>
      </w:r>
      <w:r w:rsidR="0084514A" w:rsidRPr="00615A13">
        <w:rPr>
          <w:rFonts w:cs="Arial"/>
          <w:sz w:val="24"/>
          <w:szCs w:val="24"/>
          <w:lang w:val="en-GB"/>
        </w:rPr>
        <w:t xml:space="preserve"> for the continuation of the process and the conclusion of a possible agreement. In particular, the national parliaments of the EU </w:t>
      </w:r>
      <w:r w:rsidR="00776F3E">
        <w:rPr>
          <w:rFonts w:cs="Arial"/>
          <w:sz w:val="24"/>
          <w:szCs w:val="24"/>
          <w:lang w:val="en-GB"/>
        </w:rPr>
        <w:t>M</w:t>
      </w:r>
      <w:r w:rsidR="0084514A" w:rsidRPr="00615A13">
        <w:rPr>
          <w:rFonts w:cs="Arial"/>
          <w:sz w:val="24"/>
          <w:szCs w:val="24"/>
          <w:lang w:val="en-GB"/>
        </w:rPr>
        <w:t xml:space="preserve">ember </w:t>
      </w:r>
      <w:r w:rsidR="00776F3E">
        <w:rPr>
          <w:rFonts w:cs="Arial"/>
          <w:sz w:val="24"/>
          <w:szCs w:val="24"/>
          <w:lang w:val="en-GB"/>
        </w:rPr>
        <w:t>S</w:t>
      </w:r>
      <w:r w:rsidR="0084514A" w:rsidRPr="00615A13">
        <w:rPr>
          <w:rFonts w:cs="Arial"/>
          <w:sz w:val="24"/>
          <w:szCs w:val="24"/>
          <w:lang w:val="en-GB"/>
        </w:rPr>
        <w:t>tates must be involved in the ratification.</w:t>
      </w:r>
      <w:r w:rsidR="00776F3E">
        <w:rPr>
          <w:rFonts w:cs="Arial"/>
          <w:sz w:val="24"/>
          <w:szCs w:val="24"/>
          <w:lang w:val="en-GB"/>
        </w:rPr>
        <w:t xml:space="preserve"> </w:t>
      </w:r>
      <w:r w:rsidR="00A74C02" w:rsidRPr="00615A13">
        <w:rPr>
          <w:rFonts w:cs="Arial"/>
          <w:sz w:val="24"/>
          <w:szCs w:val="24"/>
          <w:lang w:val="en-GB"/>
        </w:rPr>
        <w:t>In addition, the main guidelines of the EU n</w:t>
      </w:r>
      <w:r w:rsidR="00A57486" w:rsidRPr="00615A13">
        <w:rPr>
          <w:rFonts w:cs="Arial"/>
          <w:sz w:val="24"/>
          <w:szCs w:val="24"/>
          <w:lang w:val="en-GB"/>
        </w:rPr>
        <w:t>egotiating mandate, for example</w:t>
      </w:r>
      <w:r w:rsidR="00776F3E">
        <w:rPr>
          <w:rFonts w:cs="Arial"/>
          <w:sz w:val="24"/>
          <w:szCs w:val="24"/>
          <w:lang w:val="en-GB"/>
        </w:rPr>
        <w:t xml:space="preserve"> </w:t>
      </w:r>
      <w:r w:rsidR="00A57486" w:rsidRPr="00615A13">
        <w:rPr>
          <w:rFonts w:cs="Arial"/>
          <w:sz w:val="24"/>
          <w:szCs w:val="24"/>
          <w:lang w:val="en-GB"/>
        </w:rPr>
        <w:t>which areas are to be liberalis</w:t>
      </w:r>
      <w:r w:rsidR="00A74C02" w:rsidRPr="00615A13">
        <w:rPr>
          <w:rFonts w:cs="Arial"/>
          <w:sz w:val="24"/>
          <w:szCs w:val="24"/>
          <w:lang w:val="en-GB"/>
        </w:rPr>
        <w:t xml:space="preserve">ed, </w:t>
      </w:r>
      <w:r w:rsidR="00A57486" w:rsidRPr="00615A13">
        <w:rPr>
          <w:rFonts w:cs="Arial"/>
          <w:sz w:val="24"/>
          <w:szCs w:val="24"/>
          <w:lang w:val="en-GB"/>
        </w:rPr>
        <w:t xml:space="preserve">must be </w:t>
      </w:r>
      <w:r w:rsidR="00A74C02" w:rsidRPr="00615A13">
        <w:rPr>
          <w:rFonts w:cs="Arial"/>
          <w:sz w:val="24"/>
          <w:szCs w:val="24"/>
          <w:lang w:val="en-GB"/>
        </w:rPr>
        <w:t>open</w:t>
      </w:r>
      <w:r w:rsidR="00A57486" w:rsidRPr="00615A13">
        <w:rPr>
          <w:rFonts w:cs="Arial"/>
          <w:sz w:val="24"/>
          <w:szCs w:val="24"/>
          <w:lang w:val="en-GB"/>
        </w:rPr>
        <w:t>ly</w:t>
      </w:r>
      <w:r w:rsidR="00A74C02" w:rsidRPr="00615A13">
        <w:rPr>
          <w:rFonts w:cs="Arial"/>
          <w:sz w:val="24"/>
          <w:szCs w:val="24"/>
          <w:lang w:val="en-GB"/>
        </w:rPr>
        <w:t xml:space="preserve"> co</w:t>
      </w:r>
      <w:r w:rsidR="00A57486" w:rsidRPr="00615A13">
        <w:rPr>
          <w:rFonts w:cs="Arial"/>
          <w:sz w:val="24"/>
          <w:szCs w:val="24"/>
          <w:lang w:val="en-GB"/>
        </w:rPr>
        <w:t>mmunicated</w:t>
      </w:r>
      <w:r w:rsidR="00A74C02" w:rsidRPr="00615A13">
        <w:rPr>
          <w:rFonts w:cs="Arial"/>
          <w:sz w:val="24"/>
          <w:szCs w:val="24"/>
          <w:lang w:val="en-GB"/>
        </w:rPr>
        <w:t>, discussed and decided</w:t>
      </w:r>
      <w:r w:rsidR="00A57486" w:rsidRPr="00615A13">
        <w:rPr>
          <w:rFonts w:cs="Arial"/>
          <w:sz w:val="24"/>
          <w:szCs w:val="24"/>
          <w:lang w:val="en-GB"/>
        </w:rPr>
        <w:t xml:space="preserve"> on - this can</w:t>
      </w:r>
      <w:r w:rsidR="00A74C02" w:rsidRPr="00615A13">
        <w:rPr>
          <w:rFonts w:cs="Arial"/>
          <w:sz w:val="24"/>
          <w:szCs w:val="24"/>
          <w:lang w:val="en-GB"/>
        </w:rPr>
        <w:t>not be done behind closed doors. Sensitive ar</w:t>
      </w:r>
      <w:r w:rsidR="00A57486" w:rsidRPr="00615A13">
        <w:rPr>
          <w:rFonts w:cs="Arial"/>
          <w:sz w:val="24"/>
          <w:szCs w:val="24"/>
          <w:lang w:val="en-GB"/>
        </w:rPr>
        <w:t xml:space="preserve">eas such as public services </w:t>
      </w:r>
      <w:r w:rsidR="00A74C02" w:rsidRPr="00615A13">
        <w:rPr>
          <w:rFonts w:cs="Arial"/>
          <w:sz w:val="24"/>
          <w:szCs w:val="24"/>
          <w:lang w:val="en-GB"/>
        </w:rPr>
        <w:t>may</w:t>
      </w:r>
      <w:r w:rsidR="00A57486" w:rsidRPr="00615A13">
        <w:rPr>
          <w:rFonts w:cs="Arial"/>
          <w:sz w:val="24"/>
          <w:szCs w:val="24"/>
          <w:lang w:val="en-GB"/>
        </w:rPr>
        <w:t xml:space="preserve"> not under any circumstances be used as</w:t>
      </w:r>
      <w:r w:rsidR="00A74C02" w:rsidRPr="00615A13">
        <w:rPr>
          <w:rFonts w:cs="Arial"/>
          <w:sz w:val="24"/>
          <w:szCs w:val="24"/>
          <w:lang w:val="en-GB"/>
        </w:rPr>
        <w:t xml:space="preserve"> bargaining chips to obtain concessions from the opposi</w:t>
      </w:r>
      <w:r w:rsidR="00A57486" w:rsidRPr="00615A13">
        <w:rPr>
          <w:rFonts w:cs="Arial"/>
          <w:sz w:val="24"/>
          <w:szCs w:val="24"/>
          <w:lang w:val="en-GB"/>
        </w:rPr>
        <w:t>te side in other areas</w:t>
      </w:r>
      <w:r w:rsidR="00A74C02" w:rsidRPr="00615A13">
        <w:rPr>
          <w:rFonts w:cs="Arial"/>
          <w:sz w:val="24"/>
          <w:szCs w:val="24"/>
          <w:lang w:val="en-GB"/>
        </w:rPr>
        <w:t>.</w:t>
      </w:r>
      <w:r w:rsidR="00C415D2">
        <w:rPr>
          <w:rFonts w:cs="Arial"/>
          <w:sz w:val="24"/>
          <w:szCs w:val="24"/>
          <w:lang w:val="en-GB"/>
        </w:rPr>
        <w:t xml:space="preserve"> This also applies to protective regulations</w:t>
      </w:r>
      <w:r w:rsidR="000948A7" w:rsidRPr="00615A13">
        <w:rPr>
          <w:rFonts w:cs="Arial"/>
          <w:sz w:val="24"/>
          <w:szCs w:val="24"/>
          <w:lang w:val="en-GB"/>
        </w:rPr>
        <w:t xml:space="preserve"> in the fields of labour, consumer and environmental protection etc., which are more stringent in the EU than in the US. The aim must be to bring all standards to </w:t>
      </w:r>
      <w:r w:rsidR="00B163E4">
        <w:rPr>
          <w:rFonts w:cs="Arial"/>
          <w:sz w:val="24"/>
          <w:szCs w:val="24"/>
          <w:lang w:val="en-GB"/>
        </w:rPr>
        <w:t>a</w:t>
      </w:r>
      <w:r w:rsidR="00683D00">
        <w:rPr>
          <w:rFonts w:cs="Arial"/>
          <w:sz w:val="24"/>
          <w:szCs w:val="24"/>
          <w:lang w:val="en-GB"/>
        </w:rPr>
        <w:t xml:space="preserve"> </w:t>
      </w:r>
      <w:r w:rsidR="000948A7" w:rsidRPr="00615A13">
        <w:rPr>
          <w:rFonts w:cs="Arial"/>
          <w:sz w:val="24"/>
          <w:szCs w:val="24"/>
          <w:lang w:val="en-GB"/>
        </w:rPr>
        <w:t>higher level. This must of course also apply to the areas where the US has higher standards, such as in the financial market.</w:t>
      </w:r>
      <w:r w:rsidR="00633FDF" w:rsidRPr="00615A13">
        <w:rPr>
          <w:rFonts w:cs="Arial"/>
          <w:sz w:val="24"/>
          <w:szCs w:val="24"/>
          <w:lang w:val="en-GB"/>
        </w:rPr>
        <w:t xml:space="preserve"> </w:t>
      </w:r>
    </w:p>
    <w:p w:rsidR="00776F3E" w:rsidRDefault="00776F3E" w:rsidP="00FD544B">
      <w:pPr>
        <w:jc w:val="both"/>
        <w:rPr>
          <w:rFonts w:cs="Arial"/>
          <w:sz w:val="24"/>
          <w:szCs w:val="24"/>
          <w:lang w:val="en-GB"/>
        </w:rPr>
      </w:pPr>
    </w:p>
    <w:p w:rsidR="00B163E4" w:rsidRDefault="00633FDF" w:rsidP="00FD544B">
      <w:pPr>
        <w:jc w:val="both"/>
        <w:rPr>
          <w:rFonts w:cs="Arial"/>
          <w:sz w:val="24"/>
          <w:szCs w:val="24"/>
          <w:lang w:val="en-GB"/>
        </w:rPr>
      </w:pPr>
      <w:r w:rsidRPr="00615A13">
        <w:rPr>
          <w:rFonts w:cs="Arial"/>
          <w:sz w:val="24"/>
          <w:szCs w:val="24"/>
          <w:lang w:val="en-GB"/>
        </w:rPr>
        <w:t xml:space="preserve">Furthermore, it should be ensured that the sovereign rights of </w:t>
      </w:r>
      <w:r w:rsidR="00776F3E">
        <w:rPr>
          <w:rFonts w:cs="Arial"/>
          <w:sz w:val="24"/>
          <w:szCs w:val="24"/>
          <w:lang w:val="en-GB"/>
        </w:rPr>
        <w:t>M</w:t>
      </w:r>
      <w:r w:rsidRPr="00615A13">
        <w:rPr>
          <w:rFonts w:cs="Arial"/>
          <w:sz w:val="24"/>
          <w:szCs w:val="24"/>
          <w:lang w:val="en-GB"/>
        </w:rPr>
        <w:t xml:space="preserve">ember </w:t>
      </w:r>
      <w:r w:rsidR="00776F3E">
        <w:rPr>
          <w:rFonts w:cs="Arial"/>
          <w:sz w:val="24"/>
          <w:szCs w:val="24"/>
          <w:lang w:val="en-GB"/>
        </w:rPr>
        <w:t>S</w:t>
      </w:r>
      <w:r w:rsidRPr="00615A13">
        <w:rPr>
          <w:rFonts w:cs="Arial"/>
          <w:sz w:val="24"/>
          <w:szCs w:val="24"/>
          <w:lang w:val="en-GB"/>
        </w:rPr>
        <w:t>tates to carry out legitimate regulatory measures are not limited, circumvented or eliminated by clauses on investment protection or regulatory cooperation. In addition, agreements should include revision clauses that allow mistakes to be corrected.</w:t>
      </w:r>
    </w:p>
    <w:p w:rsidR="00776F3E" w:rsidRDefault="00776F3E" w:rsidP="00FD544B">
      <w:pPr>
        <w:jc w:val="both"/>
        <w:rPr>
          <w:rFonts w:cs="Arial"/>
          <w:sz w:val="24"/>
          <w:szCs w:val="24"/>
          <w:lang w:val="en-GB"/>
        </w:rPr>
      </w:pPr>
    </w:p>
    <w:p w:rsidR="000948A7" w:rsidRPr="00615A13" w:rsidRDefault="00242CDF" w:rsidP="00FD544B">
      <w:pPr>
        <w:jc w:val="both"/>
        <w:rPr>
          <w:rFonts w:cs="Arial"/>
          <w:sz w:val="24"/>
          <w:szCs w:val="24"/>
          <w:lang w:val="en-GB"/>
        </w:rPr>
      </w:pPr>
      <w:r w:rsidRPr="00615A13">
        <w:rPr>
          <w:rFonts w:cs="Arial"/>
          <w:sz w:val="24"/>
          <w:szCs w:val="24"/>
          <w:lang w:val="en-GB"/>
        </w:rPr>
        <w:t xml:space="preserve">In this paper, </w:t>
      </w:r>
      <w:r w:rsidR="00776F3E">
        <w:rPr>
          <w:rFonts w:cs="Arial"/>
          <w:sz w:val="24"/>
          <w:szCs w:val="24"/>
          <w:lang w:val="en-GB"/>
        </w:rPr>
        <w:t>we have</w:t>
      </w:r>
      <w:r w:rsidRPr="00615A13">
        <w:rPr>
          <w:rFonts w:cs="Arial"/>
          <w:sz w:val="24"/>
          <w:szCs w:val="24"/>
          <w:lang w:val="en-GB"/>
        </w:rPr>
        <w:t xml:space="preserve"> drawn attention to some possible effects that the free trade agreement</w:t>
      </w:r>
      <w:r w:rsidR="00B163E4">
        <w:rPr>
          <w:rFonts w:cs="Arial"/>
          <w:sz w:val="24"/>
          <w:szCs w:val="24"/>
          <w:lang w:val="en-GB"/>
        </w:rPr>
        <w:t>s</w:t>
      </w:r>
      <w:r w:rsidRPr="00615A13">
        <w:rPr>
          <w:rFonts w:cs="Arial"/>
          <w:sz w:val="24"/>
          <w:szCs w:val="24"/>
          <w:lang w:val="en-GB"/>
        </w:rPr>
        <w:t xml:space="preserve"> could have on </w:t>
      </w:r>
      <w:r w:rsidR="000E2D52">
        <w:rPr>
          <w:rFonts w:cs="Arial"/>
          <w:sz w:val="24"/>
          <w:szCs w:val="24"/>
          <w:lang w:val="en-GB"/>
        </w:rPr>
        <w:t xml:space="preserve">socially disadvantaged </w:t>
      </w:r>
      <w:r w:rsidR="00543BCB">
        <w:rPr>
          <w:rFonts w:cs="Arial"/>
          <w:sz w:val="24"/>
          <w:szCs w:val="24"/>
          <w:lang w:val="en-GB"/>
        </w:rPr>
        <w:t>people</w:t>
      </w:r>
      <w:r w:rsidRPr="00615A13">
        <w:rPr>
          <w:rFonts w:cs="Arial"/>
          <w:sz w:val="24"/>
          <w:szCs w:val="24"/>
          <w:lang w:val="en-GB"/>
        </w:rPr>
        <w:t>.</w:t>
      </w:r>
      <w:r w:rsidR="00D53E6E" w:rsidRPr="00615A13">
        <w:rPr>
          <w:rFonts w:cs="Arial"/>
          <w:sz w:val="24"/>
          <w:szCs w:val="24"/>
          <w:lang w:val="en-GB"/>
        </w:rPr>
        <w:t xml:space="preserve"> This approach should be deepened in an independent scientific investigation. This could be carried out based on experience with existing agreements (such as NAFTA) and conveyed to the EU. The goal of this type of analysis is to make the negotiators aware of the interests of people who are afflicted by poverty and social exclusion, and to influence the public debate and the </w:t>
      </w:r>
      <w:r w:rsidR="00615A13" w:rsidRPr="00615A13">
        <w:rPr>
          <w:rFonts w:cs="Arial"/>
          <w:sz w:val="24"/>
          <w:szCs w:val="24"/>
          <w:lang w:val="en-GB"/>
        </w:rPr>
        <w:t>on-going</w:t>
      </w:r>
      <w:r w:rsidR="00D53E6E" w:rsidRPr="00615A13">
        <w:rPr>
          <w:rFonts w:cs="Arial"/>
          <w:sz w:val="24"/>
          <w:szCs w:val="24"/>
          <w:lang w:val="en-GB"/>
        </w:rPr>
        <w:t xml:space="preserve"> negotiations in this respect.</w:t>
      </w:r>
    </w:p>
    <w:p w:rsidR="005779B7" w:rsidRPr="00615A13" w:rsidRDefault="005779B7" w:rsidP="00FD544B">
      <w:pPr>
        <w:jc w:val="both"/>
        <w:rPr>
          <w:rFonts w:cs="Arial"/>
          <w:sz w:val="24"/>
          <w:szCs w:val="24"/>
          <w:lang w:val="en-GB"/>
        </w:rPr>
      </w:pPr>
    </w:p>
    <w:p w:rsidR="002E6097" w:rsidRPr="00615A13" w:rsidRDefault="002E6097" w:rsidP="00FD544B">
      <w:pPr>
        <w:jc w:val="both"/>
        <w:rPr>
          <w:sz w:val="24"/>
          <w:szCs w:val="24"/>
          <w:lang w:val="en-GB"/>
        </w:rPr>
      </w:pPr>
    </w:p>
    <w:sectPr w:rsidR="002E6097" w:rsidRPr="00615A13" w:rsidSect="00B45F4A">
      <w:headerReference w:type="default" r:id="rId8"/>
      <w:footerReference w:type="default" r:id="rId9"/>
      <w:type w:val="continuous"/>
      <w:pgSz w:w="11906" w:h="16838" w:code="9"/>
      <w:pgMar w:top="2659" w:right="1274" w:bottom="1134" w:left="1457" w:header="1135" w:footer="997"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745" w:rsidRDefault="00875745" w:rsidP="003C1830">
      <w:r>
        <w:separator/>
      </w:r>
    </w:p>
  </w:endnote>
  <w:endnote w:type="continuationSeparator" w:id="0">
    <w:p w:rsidR="00875745" w:rsidRDefault="00875745" w:rsidP="003C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899022"/>
      <w:docPartObj>
        <w:docPartGallery w:val="Page Numbers (Bottom of Page)"/>
        <w:docPartUnique/>
      </w:docPartObj>
    </w:sdtPr>
    <w:sdtEndPr>
      <w:rPr>
        <w:color w:val="7F7F7F" w:themeColor="background1" w:themeShade="7F"/>
        <w:spacing w:val="60"/>
      </w:rPr>
    </w:sdtEndPr>
    <w:sdtContent>
      <w:p w:rsidR="00067D47" w:rsidRDefault="00067D47">
        <w:pPr>
          <w:pStyle w:val="Footer"/>
          <w:pBdr>
            <w:top w:val="single" w:sz="4" w:space="1" w:color="D9D9D9" w:themeColor="background1" w:themeShade="D9"/>
          </w:pBdr>
          <w:jc w:val="right"/>
        </w:pPr>
        <w:r>
          <w:fldChar w:fldCharType="begin"/>
        </w:r>
        <w:r>
          <w:instrText xml:space="preserve"> PAGE   \* MERGEFORMAT </w:instrText>
        </w:r>
        <w:r>
          <w:fldChar w:fldCharType="separate"/>
        </w:r>
        <w:r w:rsidR="00B45F4A">
          <w:rPr>
            <w:noProof/>
          </w:rPr>
          <w:t>1</w:t>
        </w:r>
        <w:r>
          <w:rPr>
            <w:noProof/>
          </w:rPr>
          <w:fldChar w:fldCharType="end"/>
        </w:r>
        <w:r>
          <w:t xml:space="preserve"> | </w:t>
        </w:r>
        <w:r>
          <w:rPr>
            <w:color w:val="7F7F7F" w:themeColor="background1" w:themeShade="7F"/>
            <w:spacing w:val="60"/>
          </w:rPr>
          <w:t>Page</w:t>
        </w:r>
      </w:p>
    </w:sdtContent>
  </w:sdt>
  <w:p w:rsidR="00067D47" w:rsidRDefault="00067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745" w:rsidRDefault="00875745" w:rsidP="003C1830">
      <w:r>
        <w:separator/>
      </w:r>
    </w:p>
  </w:footnote>
  <w:footnote w:type="continuationSeparator" w:id="0">
    <w:p w:rsidR="00875745" w:rsidRDefault="00875745" w:rsidP="003C1830">
      <w:r>
        <w:continuationSeparator/>
      </w:r>
    </w:p>
  </w:footnote>
  <w:footnote w:id="1">
    <w:p w:rsidR="00ED5553" w:rsidRPr="00052265" w:rsidRDefault="00ED5553" w:rsidP="00ED5553">
      <w:pPr>
        <w:pStyle w:val="FootnoteText"/>
        <w:rPr>
          <w:lang w:val="en-US"/>
        </w:rPr>
      </w:pPr>
      <w:r>
        <w:rPr>
          <w:rStyle w:val="FootnoteReference"/>
        </w:rPr>
        <w:footnoteRef/>
      </w:r>
      <w:r w:rsidRPr="00052265">
        <w:rPr>
          <w:lang w:val="en-US"/>
        </w:rPr>
        <w:t xml:space="preserve"> Since July 2013 the </w:t>
      </w:r>
      <w:r>
        <w:rPr>
          <w:lang w:val="en-US"/>
        </w:rPr>
        <w:t xml:space="preserve">European </w:t>
      </w:r>
      <w:r w:rsidRPr="001D7630">
        <w:rPr>
          <w:lang w:val="en-US"/>
        </w:rPr>
        <w:t>Commission negotiate</w:t>
      </w:r>
      <w:r>
        <w:rPr>
          <w:lang w:val="en-US"/>
        </w:rPr>
        <w:t>s</w:t>
      </w:r>
      <w:r w:rsidRPr="00052265">
        <w:rPr>
          <w:lang w:val="en-US"/>
        </w:rPr>
        <w:t xml:space="preserve"> with the US government on a </w:t>
      </w:r>
      <w:r w:rsidRPr="00A401A4">
        <w:rPr>
          <w:lang w:val="en-US"/>
        </w:rPr>
        <w:t>free</w:t>
      </w:r>
      <w:r w:rsidR="00B45F4A">
        <w:rPr>
          <w:lang w:val="en-US"/>
        </w:rPr>
        <w:t xml:space="preserve"> </w:t>
      </w:r>
      <w:r w:rsidRPr="00052265">
        <w:rPr>
          <w:lang w:val="en-US"/>
        </w:rPr>
        <w:t>trade ag</w:t>
      </w:r>
      <w:r w:rsidRPr="0078467A">
        <w:rPr>
          <w:lang w:val="en-US"/>
        </w:rPr>
        <w:t>reement</w:t>
      </w:r>
      <w:r w:rsidRPr="00052265">
        <w:rPr>
          <w:lang w:val="en-US"/>
        </w:rPr>
        <w:t>, short TTIP (Transatlantic Trade and Investment Partnership). It is also called TAFTA (Trans-Atlantic Free Trade Agreement). In addition, the EU Commi</w:t>
      </w:r>
      <w:r w:rsidRPr="0078467A">
        <w:rPr>
          <w:lang w:val="en-US"/>
        </w:rPr>
        <w:t>ssion negotiate</w:t>
      </w:r>
      <w:r>
        <w:rPr>
          <w:lang w:val="en-US"/>
        </w:rPr>
        <w:t>s</w:t>
      </w:r>
      <w:r w:rsidRPr="00052265">
        <w:rPr>
          <w:lang w:val="en-US"/>
        </w:rPr>
        <w:t xml:space="preserve"> since </w:t>
      </w:r>
      <w:r w:rsidRPr="00A401A4">
        <w:rPr>
          <w:lang w:val="en-US"/>
        </w:rPr>
        <w:t>2012 with 23 part</w:t>
      </w:r>
      <w:r>
        <w:rPr>
          <w:lang w:val="en-US"/>
        </w:rPr>
        <w:t>ner</w:t>
      </w:r>
      <w:r w:rsidRPr="00052265">
        <w:rPr>
          <w:lang w:val="en-US"/>
        </w:rPr>
        <w:t>s on an agreement on trade in services, short TiSA (Trade in Services Agreement). Meanwhile, the treaty t</w:t>
      </w:r>
      <w:r w:rsidRPr="0078467A">
        <w:rPr>
          <w:lang w:val="en-US"/>
        </w:rPr>
        <w:t xml:space="preserve">ext of the European-Canadian </w:t>
      </w:r>
      <w:r>
        <w:rPr>
          <w:lang w:val="en-US"/>
        </w:rPr>
        <w:t>free trade agreement, called</w:t>
      </w:r>
      <w:r w:rsidRPr="00052265">
        <w:rPr>
          <w:lang w:val="en-US"/>
        </w:rPr>
        <w:t xml:space="preserve"> CETA (Comprehensive Economic and Trade Agreement)</w:t>
      </w:r>
      <w:r>
        <w:rPr>
          <w:lang w:val="en-US"/>
        </w:rPr>
        <w:t>, is published</w:t>
      </w:r>
      <w:r w:rsidRPr="00052265">
        <w:rPr>
          <w:lang w:val="en-US"/>
        </w:rPr>
        <w:t xml:space="preserve"> since September 2014.</w:t>
      </w:r>
    </w:p>
  </w:footnote>
  <w:footnote w:id="2">
    <w:p w:rsidR="0078467A" w:rsidRPr="00FD544B" w:rsidRDefault="0078467A">
      <w:pPr>
        <w:pStyle w:val="FootnoteText"/>
        <w:rPr>
          <w:lang w:val="en-US"/>
        </w:rPr>
      </w:pPr>
      <w:r>
        <w:rPr>
          <w:rStyle w:val="FootnoteReference"/>
        </w:rPr>
        <w:footnoteRef/>
      </w:r>
      <w:r>
        <w:rPr>
          <w:lang w:val="en-US"/>
        </w:rPr>
        <w:t>Cp</w:t>
      </w:r>
      <w:r w:rsidR="00272244">
        <w:rPr>
          <w:lang w:val="en-US"/>
        </w:rPr>
        <w:t>.</w:t>
      </w:r>
      <w:r w:rsidR="00D74934" w:rsidRPr="00FD544B">
        <w:rPr>
          <w:lang w:val="en-US"/>
        </w:rPr>
        <w:t xml:space="preserve"> EU Treaty and the EU Charter of Fundamental Rights</w:t>
      </w:r>
      <w:r w:rsidR="00272244">
        <w:rPr>
          <w:lang w:val="en-US"/>
        </w:rPr>
        <w:t>,</w:t>
      </w:r>
      <w:r w:rsidR="00B45F4A">
        <w:rPr>
          <w:lang w:val="en-US"/>
        </w:rPr>
        <w:t xml:space="preserve"> </w:t>
      </w:r>
      <w:r w:rsidR="00272244" w:rsidRPr="008E59F0">
        <w:rPr>
          <w:lang w:val="en-US"/>
        </w:rPr>
        <w:t>inter alia,</w:t>
      </w:r>
      <w:r w:rsidR="00D74934" w:rsidRPr="00FD544B">
        <w:rPr>
          <w:lang w:val="en-US"/>
        </w:rPr>
        <w:t>.</w:t>
      </w:r>
    </w:p>
  </w:footnote>
  <w:footnote w:id="3">
    <w:p w:rsidR="0078467A" w:rsidRPr="00FD544B" w:rsidRDefault="0078467A">
      <w:pPr>
        <w:pStyle w:val="FootnoteText"/>
        <w:rPr>
          <w:lang w:val="en-US"/>
        </w:rPr>
      </w:pPr>
      <w:r>
        <w:rPr>
          <w:rStyle w:val="FootnoteReference"/>
        </w:rPr>
        <w:footnoteRef/>
      </w:r>
      <w:r>
        <w:rPr>
          <w:lang w:val="en-US"/>
        </w:rPr>
        <w:t xml:space="preserve">Cp. </w:t>
      </w:r>
      <w:r w:rsidR="00D74934" w:rsidRPr="00FD544B">
        <w:rPr>
          <w:lang w:val="en-US"/>
        </w:rPr>
        <w:t>EU Commission: The Transatlantic Trade and I</w:t>
      </w:r>
      <w:r w:rsidRPr="0078467A">
        <w:rPr>
          <w:lang w:val="en-US"/>
        </w:rPr>
        <w:t xml:space="preserve">nvestment Partnership (TTIP) - </w:t>
      </w:r>
      <w:r>
        <w:rPr>
          <w:lang w:val="en-US"/>
        </w:rPr>
        <w:t>C</w:t>
      </w:r>
      <w:r w:rsidRPr="0078467A">
        <w:rPr>
          <w:lang w:val="en-US"/>
        </w:rPr>
        <w:t xml:space="preserve">urrent </w:t>
      </w:r>
      <w:r>
        <w:rPr>
          <w:lang w:val="en-US"/>
        </w:rPr>
        <w:t>S</w:t>
      </w:r>
      <w:r w:rsidRPr="0078467A">
        <w:rPr>
          <w:lang w:val="en-US"/>
        </w:rPr>
        <w:t xml:space="preserve">tate of </w:t>
      </w:r>
      <w:r>
        <w:rPr>
          <w:lang w:val="en-US"/>
        </w:rPr>
        <w:t>N</w:t>
      </w:r>
      <w:r w:rsidR="00D74934" w:rsidRPr="00FD544B">
        <w:rPr>
          <w:lang w:val="en-US"/>
        </w:rPr>
        <w:t>egotiations, 19/04/2014</w:t>
      </w:r>
    </w:p>
  </w:footnote>
  <w:footnote w:id="4">
    <w:p w:rsidR="00736C4B" w:rsidRPr="00694080" w:rsidRDefault="00736C4B" w:rsidP="00736C4B">
      <w:pPr>
        <w:pStyle w:val="FootnoteText"/>
        <w:rPr>
          <w:lang w:val="en-US"/>
        </w:rPr>
      </w:pPr>
      <w:r>
        <w:rPr>
          <w:rStyle w:val="FootnoteReference"/>
        </w:rPr>
        <w:footnoteRef/>
      </w:r>
      <w:r w:rsidRPr="00694080">
        <w:rPr>
          <w:lang w:val="en-US"/>
        </w:rPr>
        <w:t xml:space="preserve"> For example:</w:t>
      </w:r>
      <w:r w:rsidRPr="0078467A">
        <w:rPr>
          <w:lang w:val="en-US"/>
        </w:rPr>
        <w:t xml:space="preserve"> See </w:t>
      </w:r>
      <w:r>
        <w:rPr>
          <w:lang w:val="en-US"/>
        </w:rPr>
        <w:t>w</w:t>
      </w:r>
      <w:r w:rsidRPr="0078467A">
        <w:rPr>
          <w:lang w:val="en-US"/>
        </w:rPr>
        <w:t xml:space="preserve">ritten </w:t>
      </w:r>
      <w:r>
        <w:rPr>
          <w:lang w:val="en-US"/>
        </w:rPr>
        <w:t>s</w:t>
      </w:r>
      <w:r w:rsidRPr="0078467A">
        <w:rPr>
          <w:lang w:val="en-US"/>
        </w:rPr>
        <w:t xml:space="preserve">tatement to the </w:t>
      </w:r>
      <w:r>
        <w:rPr>
          <w:lang w:val="en-US"/>
        </w:rPr>
        <w:t>p</w:t>
      </w:r>
      <w:r w:rsidRPr="00694080">
        <w:rPr>
          <w:lang w:val="en-US"/>
        </w:rPr>
        <w:t>ublic hearing of the Committee on Economic Affairs and Energy of the German Bundestag on 16 March</w:t>
      </w:r>
      <w:r>
        <w:rPr>
          <w:lang w:val="en-US"/>
        </w:rPr>
        <w:t xml:space="preserve"> 2015</w:t>
      </w:r>
      <w:r w:rsidRPr="00694080">
        <w:rPr>
          <w:lang w:val="en-US"/>
        </w:rPr>
        <w:t xml:space="preserve"> by Prof. Dr. Sebastian Dullien, University of Applied Sciences Berlin</w:t>
      </w:r>
      <w:r>
        <w:rPr>
          <w:lang w:val="en-US"/>
        </w:rPr>
        <w:t xml:space="preserve">. </w:t>
      </w:r>
    </w:p>
  </w:footnote>
  <w:footnote w:id="5">
    <w:p w:rsidR="009E1E31" w:rsidRPr="00FD544B" w:rsidRDefault="009E1E31">
      <w:pPr>
        <w:pStyle w:val="FootnoteText"/>
        <w:rPr>
          <w:lang w:val="en-US"/>
        </w:rPr>
      </w:pPr>
      <w:r>
        <w:rPr>
          <w:rStyle w:val="FootnoteReference"/>
        </w:rPr>
        <w:footnoteRef/>
      </w:r>
      <w:r>
        <w:rPr>
          <w:lang w:val="en-US"/>
        </w:rPr>
        <w:t>Cp</w:t>
      </w:r>
      <w:r w:rsidR="00D74934" w:rsidRPr="00FD544B">
        <w:rPr>
          <w:lang w:val="en-US"/>
        </w:rPr>
        <w:t xml:space="preserve">. Gary </w:t>
      </w:r>
      <w:r w:rsidR="00272244" w:rsidRPr="00272244">
        <w:rPr>
          <w:lang w:val="en-US"/>
        </w:rPr>
        <w:t>Clyde Hufbauer, Cathleen Cimino</w:t>
      </w:r>
      <w:r w:rsidR="00D74934" w:rsidRPr="00FD544B">
        <w:rPr>
          <w:lang w:val="en-US"/>
        </w:rPr>
        <w:t xml:space="preserve"> and Tyler Moran: NAFTA at 20: Misleading Charges and Positive Achievements, Peterson Institute for International Economics, Mai 2014</w:t>
      </w:r>
    </w:p>
  </w:footnote>
  <w:footnote w:id="6">
    <w:p w:rsidR="009E1E31" w:rsidRPr="00FD544B" w:rsidRDefault="009E1E31" w:rsidP="009E1E31">
      <w:pPr>
        <w:pStyle w:val="FootnoteText"/>
        <w:rPr>
          <w:lang w:val="en-US"/>
        </w:rPr>
      </w:pPr>
      <w:r>
        <w:rPr>
          <w:rStyle w:val="FootnoteReference"/>
        </w:rPr>
        <w:footnoteRef/>
      </w:r>
      <w:r w:rsidR="00D74934" w:rsidRPr="00FD544B">
        <w:rPr>
          <w:lang w:val="en-US"/>
        </w:rPr>
        <w:t xml:space="preserve"> The fol</w:t>
      </w:r>
      <w:r w:rsidRPr="009E1E31">
        <w:rPr>
          <w:lang w:val="en-US"/>
        </w:rPr>
        <w:t>lowing ILO core labor standards</w:t>
      </w:r>
      <w:r w:rsidR="00736C4B">
        <w:rPr>
          <w:lang w:val="en-US"/>
        </w:rPr>
        <w:t xml:space="preserve"> were not</w:t>
      </w:r>
      <w:r w:rsidR="00B45F4A">
        <w:rPr>
          <w:lang w:val="en-US"/>
        </w:rPr>
        <w:t xml:space="preserve"> </w:t>
      </w:r>
      <w:r w:rsidR="000A0695" w:rsidRPr="00272244">
        <w:rPr>
          <w:vanish/>
          <w:lang w:val="en-US"/>
        </w:rPr>
        <w:t>cignednot ms of</w:t>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t>ad?!  own.</w:t>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0A0695" w:rsidRPr="00272244">
        <w:rPr>
          <w:vanish/>
          <w:lang w:val="en-US"/>
        </w:rPr>
        <w:pgNum/>
      </w:r>
      <w:r w:rsidR="00272244">
        <w:rPr>
          <w:vanish/>
          <w:lang w:val="en-US"/>
        </w:rPr>
        <w:t xml:space="preserve">signed </w:t>
      </w:r>
      <w:r w:rsidR="00736C4B">
        <w:rPr>
          <w:lang w:val="en-US"/>
        </w:rPr>
        <w:t>signed</w:t>
      </w:r>
      <w:r w:rsidR="00B45F4A">
        <w:rPr>
          <w:lang w:val="en-US"/>
        </w:rPr>
        <w:t xml:space="preserve"> </w:t>
      </w:r>
      <w:r>
        <w:rPr>
          <w:lang w:val="en-US"/>
        </w:rPr>
        <w:t xml:space="preserve">by </w:t>
      </w:r>
      <w:r w:rsidR="00D74934" w:rsidRPr="00FD544B">
        <w:rPr>
          <w:lang w:val="en-US"/>
        </w:rPr>
        <w:t>the US</w:t>
      </w:r>
      <w:r>
        <w:rPr>
          <w:lang w:val="en-US"/>
        </w:rPr>
        <w:t>A</w:t>
      </w:r>
      <w:r w:rsidRPr="009E1E31">
        <w:rPr>
          <w:lang w:val="en-US"/>
        </w:rPr>
        <w:t xml:space="preserve">: </w:t>
      </w:r>
      <w:r>
        <w:rPr>
          <w:lang w:val="en-US"/>
        </w:rPr>
        <w:t>F</w:t>
      </w:r>
      <w:r w:rsidRPr="009E1E31">
        <w:rPr>
          <w:lang w:val="en-US"/>
        </w:rPr>
        <w:t xml:space="preserve">reedom of </w:t>
      </w:r>
      <w:r>
        <w:rPr>
          <w:lang w:val="en-US"/>
        </w:rPr>
        <w:t>A</w:t>
      </w:r>
      <w:r w:rsidR="00D74934" w:rsidRPr="00FD544B">
        <w:rPr>
          <w:lang w:val="en-US"/>
        </w:rPr>
        <w:t>ssocia</w:t>
      </w:r>
      <w:r w:rsidRPr="009E1E31">
        <w:rPr>
          <w:lang w:val="en-US"/>
        </w:rPr>
        <w:t xml:space="preserve">tion and </w:t>
      </w:r>
      <w:r>
        <w:rPr>
          <w:lang w:val="en-US"/>
        </w:rPr>
        <w:t>P</w:t>
      </w:r>
      <w:r w:rsidR="00D74934" w:rsidRPr="00FD544B">
        <w:rPr>
          <w:lang w:val="en-US"/>
        </w:rPr>
        <w:t xml:space="preserve">rotection </w:t>
      </w:r>
      <w:r>
        <w:rPr>
          <w:lang w:val="en-US"/>
        </w:rPr>
        <w:t>of the Right to Organize</w:t>
      </w:r>
      <w:r w:rsidR="00D74934" w:rsidRPr="00FD544B">
        <w:rPr>
          <w:lang w:val="en-US"/>
        </w:rPr>
        <w:t xml:space="preserve">, </w:t>
      </w:r>
      <w:r>
        <w:rPr>
          <w:lang w:val="en-US"/>
        </w:rPr>
        <w:t>Right to Organize</w:t>
      </w:r>
      <w:r w:rsidR="00D74934" w:rsidRPr="00FD544B">
        <w:rPr>
          <w:lang w:val="en-US"/>
        </w:rPr>
        <w:t xml:space="preserve"> and </w:t>
      </w:r>
      <w:r>
        <w:rPr>
          <w:lang w:val="en-US"/>
        </w:rPr>
        <w:t>C</w:t>
      </w:r>
      <w:r w:rsidRPr="009E1E31">
        <w:rPr>
          <w:lang w:val="en-US"/>
        </w:rPr>
        <w:t xml:space="preserve">ollective </w:t>
      </w:r>
      <w:r>
        <w:rPr>
          <w:lang w:val="en-US"/>
        </w:rPr>
        <w:t>B</w:t>
      </w:r>
      <w:r w:rsidR="00D74934" w:rsidRPr="00FD544B">
        <w:rPr>
          <w:lang w:val="en-US"/>
        </w:rPr>
        <w:t xml:space="preserve">argaining, </w:t>
      </w:r>
      <w:r>
        <w:rPr>
          <w:lang w:val="en-US"/>
        </w:rPr>
        <w:t>Forced Labour, M</w:t>
      </w:r>
      <w:r w:rsidRPr="009E1E31">
        <w:rPr>
          <w:lang w:val="en-US"/>
        </w:rPr>
        <w:t xml:space="preserve">inimum </w:t>
      </w:r>
      <w:r>
        <w:rPr>
          <w:lang w:val="en-US"/>
        </w:rPr>
        <w:t>A</w:t>
      </w:r>
      <w:r w:rsidRPr="009E1E31">
        <w:rPr>
          <w:lang w:val="en-US"/>
        </w:rPr>
        <w:t>ge</w:t>
      </w:r>
      <w:r>
        <w:rPr>
          <w:lang w:val="en-US"/>
        </w:rPr>
        <w:t xml:space="preserve">, </w:t>
      </w:r>
      <w:r w:rsidRPr="009E1E31">
        <w:rPr>
          <w:lang w:val="en-US"/>
        </w:rPr>
        <w:t>Equal Remuneration</w:t>
      </w:r>
      <w:r>
        <w:rPr>
          <w:lang w:val="en-US"/>
        </w:rPr>
        <w:t>, D</w:t>
      </w:r>
      <w:r w:rsidR="00D74934" w:rsidRPr="00FD544B">
        <w:rPr>
          <w:lang w:val="en-US"/>
        </w:rPr>
        <w:t xml:space="preserve">iscrimination </w:t>
      </w:r>
    </w:p>
  </w:footnote>
  <w:footnote w:id="7">
    <w:p w:rsidR="004F1A03" w:rsidRPr="00FD544B" w:rsidRDefault="004F1A03">
      <w:pPr>
        <w:pStyle w:val="FootnoteText"/>
        <w:rPr>
          <w:lang w:val="en-US"/>
        </w:rPr>
      </w:pPr>
      <w:r>
        <w:rPr>
          <w:rStyle w:val="FootnoteReference"/>
        </w:rPr>
        <w:footnoteRef/>
      </w:r>
      <w:r w:rsidR="00D74934" w:rsidRPr="00FD544B">
        <w:rPr>
          <w:lang w:val="en-US"/>
        </w:rPr>
        <w:t xml:space="preserve">This also applies to EU secondary legislation, such as regulations and directives, but not for EU primary law (Treaty on the Functioning of the EU, the EU Treaty), because the EU itself is </w:t>
      </w:r>
      <w:r>
        <w:rPr>
          <w:lang w:val="en-US"/>
        </w:rPr>
        <w:t>a</w:t>
      </w:r>
      <w:r w:rsidR="00D74934" w:rsidRPr="00FD544B">
        <w:rPr>
          <w:lang w:val="en-US"/>
        </w:rPr>
        <w:t xml:space="preserve"> subject of </w:t>
      </w:r>
      <w:r>
        <w:rPr>
          <w:lang w:val="en-US"/>
        </w:rPr>
        <w:t xml:space="preserve">public </w:t>
      </w:r>
      <w:r w:rsidR="00D74934" w:rsidRPr="00FD544B">
        <w:rPr>
          <w:lang w:val="en-US"/>
        </w:rPr>
        <w:t>international law.</w:t>
      </w:r>
    </w:p>
  </w:footnote>
  <w:footnote w:id="8">
    <w:p w:rsidR="004F1A03" w:rsidRPr="00FD544B" w:rsidRDefault="004F1A03">
      <w:pPr>
        <w:pStyle w:val="FootnoteText"/>
        <w:rPr>
          <w:lang w:val="en-US"/>
        </w:rPr>
      </w:pPr>
      <w:r>
        <w:rPr>
          <w:rStyle w:val="FootnoteReference"/>
        </w:rPr>
        <w:footnoteRef/>
      </w:r>
      <w:r w:rsidR="00D74934" w:rsidRPr="00FD544B">
        <w:rPr>
          <w:lang w:val="en-US"/>
        </w:rPr>
        <w:t xml:space="preserve">The European Commission </w:t>
      </w:r>
      <w:r w:rsidRPr="007B0FB1">
        <w:rPr>
          <w:lang w:val="en-US"/>
        </w:rPr>
        <w:t>strengthened</w:t>
      </w:r>
      <w:r w:rsidR="000E2D52">
        <w:rPr>
          <w:lang w:val="en-US"/>
        </w:rPr>
        <w:t xml:space="preserve"> </w:t>
      </w:r>
      <w:r w:rsidRPr="007B0FB1">
        <w:rPr>
          <w:lang w:val="en-US"/>
        </w:rPr>
        <w:t xml:space="preserve">the democratic deficit and the fears of many citizens and NGOs </w:t>
      </w:r>
      <w:r>
        <w:rPr>
          <w:lang w:val="en-US"/>
        </w:rPr>
        <w:t>by</w:t>
      </w:r>
      <w:r w:rsidR="00D74934" w:rsidRPr="00FD544B">
        <w:rPr>
          <w:lang w:val="en-US"/>
        </w:rPr>
        <w:t xml:space="preserve"> its decision</w:t>
      </w:r>
      <w:r>
        <w:rPr>
          <w:lang w:val="en-US"/>
        </w:rPr>
        <w:t xml:space="preserve"> not to </w:t>
      </w:r>
      <w:r w:rsidR="00272244">
        <w:rPr>
          <w:lang w:val="en-US"/>
        </w:rPr>
        <w:t>approve</w:t>
      </w:r>
      <w:r w:rsidR="00D74934" w:rsidRPr="00FD544B">
        <w:rPr>
          <w:lang w:val="en-US"/>
        </w:rPr>
        <w:t xml:space="preserve"> the European Citizens' Initiative "Stop TTIP" for legal reasons</w:t>
      </w:r>
      <w:r w:rsidR="00272244">
        <w:rPr>
          <w:lang w:val="en-US"/>
        </w:rPr>
        <w:t>.</w:t>
      </w:r>
    </w:p>
  </w:footnote>
  <w:footnote w:id="9">
    <w:p w:rsidR="004F1A03" w:rsidRPr="00FD544B" w:rsidRDefault="004F1A03">
      <w:pPr>
        <w:pStyle w:val="FootnoteText"/>
        <w:rPr>
          <w:lang w:val="en-US"/>
        </w:rPr>
      </w:pPr>
      <w:r>
        <w:rPr>
          <w:rStyle w:val="FootnoteReference"/>
        </w:rPr>
        <w:footnoteRef/>
      </w:r>
      <w:r w:rsidR="00B43F96">
        <w:rPr>
          <w:lang w:val="en-US"/>
        </w:rPr>
        <w:t>F</w:t>
      </w:r>
      <w:r w:rsidR="00D74934" w:rsidRPr="00FD544B">
        <w:rPr>
          <w:lang w:val="en-US"/>
        </w:rPr>
        <w:t xml:space="preserve">or example, the Australian and the US </w:t>
      </w:r>
      <w:r w:rsidR="00272244">
        <w:rPr>
          <w:lang w:val="en-US"/>
        </w:rPr>
        <w:t>government</w:t>
      </w:r>
      <w:r w:rsidR="000E2D52">
        <w:rPr>
          <w:lang w:val="en-US"/>
        </w:rPr>
        <w:t xml:space="preserve"> </w:t>
      </w:r>
      <w:r w:rsidR="00B43F96" w:rsidRPr="00E31371">
        <w:rPr>
          <w:lang w:val="en-US"/>
        </w:rPr>
        <w:t xml:space="preserve">agreed </w:t>
      </w:r>
      <w:r w:rsidR="00D74934" w:rsidRPr="00FD544B">
        <w:rPr>
          <w:lang w:val="en-US"/>
        </w:rPr>
        <w:t xml:space="preserve">in 2005 </w:t>
      </w:r>
      <w:r w:rsidR="00B43F96">
        <w:rPr>
          <w:lang w:val="en-US"/>
        </w:rPr>
        <w:t>on a free trade agreement</w:t>
      </w:r>
      <w:r w:rsidR="00D74934" w:rsidRPr="00FD544B">
        <w:rPr>
          <w:lang w:val="en-US"/>
        </w:rPr>
        <w:t xml:space="preserve"> ​​without investment protection, because such a procedure - it </w:t>
      </w:r>
      <w:r w:rsidR="00B43F96">
        <w:rPr>
          <w:lang w:val="en-US"/>
        </w:rPr>
        <w:t xml:space="preserve">was </w:t>
      </w:r>
      <w:r w:rsidR="00D74934" w:rsidRPr="00FD544B">
        <w:rPr>
          <w:lang w:val="en-US"/>
        </w:rPr>
        <w:t xml:space="preserve">declared </w:t>
      </w:r>
      <w:r w:rsidR="00B43F96">
        <w:rPr>
          <w:lang w:val="en-US"/>
        </w:rPr>
        <w:t xml:space="preserve">by </w:t>
      </w:r>
      <w:r w:rsidR="00D74934" w:rsidRPr="00FD544B">
        <w:rPr>
          <w:lang w:val="en-US"/>
        </w:rPr>
        <w:t xml:space="preserve">both negotiating partners - </w:t>
      </w:r>
      <w:r w:rsidR="00B43F96" w:rsidRPr="002A3D21">
        <w:rPr>
          <w:lang w:val="en-US"/>
        </w:rPr>
        <w:t>was unnecessary</w:t>
      </w:r>
      <w:r w:rsidR="000E2D52">
        <w:rPr>
          <w:lang w:val="en-US"/>
        </w:rPr>
        <w:t xml:space="preserve"> </w:t>
      </w:r>
      <w:r w:rsidR="00D74934" w:rsidRPr="00FD544B">
        <w:rPr>
          <w:lang w:val="en-US"/>
        </w:rPr>
        <w:t>in the face of robust legal and judi</w:t>
      </w:r>
      <w:r w:rsidR="00272244" w:rsidRPr="00272244">
        <w:rPr>
          <w:lang w:val="en-US"/>
        </w:rPr>
        <w:t xml:space="preserve">cial systems </w:t>
      </w:r>
      <w:r w:rsidR="00272244">
        <w:rPr>
          <w:lang w:val="en-US"/>
        </w:rPr>
        <w:t>in</w:t>
      </w:r>
      <w:r w:rsidR="00D74934" w:rsidRPr="00FD544B">
        <w:rPr>
          <w:lang w:val="en-US"/>
        </w:rPr>
        <w:t xml:space="preserve"> both countries.</w:t>
      </w:r>
    </w:p>
  </w:footnote>
  <w:footnote w:id="10">
    <w:p w:rsidR="00B43F96" w:rsidRPr="00FD544B" w:rsidRDefault="00B43F96">
      <w:pPr>
        <w:pStyle w:val="FootnoteText"/>
        <w:rPr>
          <w:lang w:val="en-US"/>
        </w:rPr>
      </w:pPr>
      <w:r>
        <w:rPr>
          <w:rStyle w:val="FootnoteReference"/>
        </w:rPr>
        <w:footnoteRef/>
      </w:r>
      <w:r w:rsidR="00D74934" w:rsidRPr="00FD544B">
        <w:rPr>
          <w:lang w:val="en-US"/>
        </w:rPr>
        <w:t xml:space="preserve"> This negative assessment </w:t>
      </w:r>
      <w:r>
        <w:rPr>
          <w:lang w:val="en-US"/>
        </w:rPr>
        <w:t>was</w:t>
      </w:r>
      <w:r w:rsidR="00D74934" w:rsidRPr="00FD544B">
        <w:rPr>
          <w:lang w:val="en-US"/>
        </w:rPr>
        <w:t xml:space="preserve"> confirmed by the results of the EU consultation on </w:t>
      </w:r>
      <w:r>
        <w:rPr>
          <w:lang w:val="en-US"/>
        </w:rPr>
        <w:t xml:space="preserve">investment </w:t>
      </w:r>
      <w:r w:rsidR="00D74934" w:rsidRPr="00FD544B">
        <w:rPr>
          <w:lang w:val="en-US"/>
        </w:rPr>
        <w:t>protection in TTIP</w:t>
      </w:r>
      <w:r w:rsidR="000E2D52">
        <w:rPr>
          <w:lang w:val="en-US"/>
        </w:rPr>
        <w:t xml:space="preserve"> </w:t>
      </w:r>
      <w:r w:rsidR="00D74934" w:rsidRPr="00FD544B">
        <w:rPr>
          <w:lang w:val="en-US"/>
        </w:rPr>
        <w:t>published early 2015. The analysis of 150,000 contributions resulted in a rejection of 97%.</w:t>
      </w:r>
    </w:p>
  </w:footnote>
  <w:footnote w:id="11">
    <w:p w:rsidR="00683D00" w:rsidRPr="00205F75" w:rsidRDefault="00683D00">
      <w:pPr>
        <w:pStyle w:val="FootnoteText"/>
        <w:rPr>
          <w:lang w:val="en-US"/>
        </w:rPr>
      </w:pPr>
      <w:r>
        <w:rPr>
          <w:rStyle w:val="FootnoteReference"/>
        </w:rPr>
        <w:footnoteRef/>
      </w:r>
      <w:r w:rsidRPr="00205F75">
        <w:rPr>
          <w:lang w:val="en-US"/>
        </w:rPr>
        <w:t xml:space="preserve"> </w:t>
      </w:r>
      <w:r w:rsidRPr="00683D00">
        <w:rPr>
          <w:lang w:val="en-US"/>
        </w:rPr>
        <w:t>http://www.socialplatform.org/wp-content/uploads/2015/04/20150410_SocialPlatform_letter_Commissioner-Malmstrom.pdf</w:t>
      </w:r>
    </w:p>
  </w:footnote>
  <w:footnote w:id="12">
    <w:p w:rsidR="00B43F96" w:rsidRPr="00FD544B" w:rsidRDefault="00B43F96">
      <w:pPr>
        <w:pStyle w:val="FootnoteText"/>
        <w:rPr>
          <w:lang w:val="en-US"/>
        </w:rPr>
      </w:pPr>
      <w:r>
        <w:rPr>
          <w:rStyle w:val="FootnoteReference"/>
        </w:rPr>
        <w:footnoteRef/>
      </w:r>
      <w:r w:rsidR="00D74934" w:rsidRPr="00FD544B">
        <w:rPr>
          <w:lang w:val="en-US"/>
        </w:rPr>
        <w:t xml:space="preserve"> Annex II to the services chapter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4BB" w:rsidRPr="00B45F4A" w:rsidRDefault="00B45F4A" w:rsidP="00B45F4A">
    <w:pPr>
      <w:pStyle w:val="Header"/>
      <w:tabs>
        <w:tab w:val="clear" w:pos="4536"/>
        <w:tab w:val="clear" w:pos="9072"/>
        <w:tab w:val="left" w:pos="2835"/>
      </w:tabs>
      <w:ind w:right="-748"/>
      <w:jc w:val="right"/>
      <w:rPr>
        <w:rFonts w:asciiTheme="minorHAnsi" w:hAnsiTheme="minorHAnsi"/>
        <w:b/>
        <w:sz w:val="32"/>
        <w:szCs w:val="32"/>
      </w:rPr>
    </w:pPr>
    <w:r>
      <w:rPr>
        <w:noProof/>
        <w:lang w:val="fr-BE" w:eastAsia="fr-BE"/>
      </w:rPr>
      <w:drawing>
        <wp:anchor distT="0" distB="0" distL="114300" distR="114300" simplePos="0" relativeHeight="251661312" behindDoc="0" locked="0" layoutInCell="1" allowOverlap="1" wp14:anchorId="313E6D59" wp14:editId="42F5BC82">
          <wp:simplePos x="0" y="0"/>
          <wp:positionH relativeFrom="margin">
            <wp:posOffset>-736600</wp:posOffset>
          </wp:positionH>
          <wp:positionV relativeFrom="margin">
            <wp:posOffset>-1542074</wp:posOffset>
          </wp:positionV>
          <wp:extent cx="4285615" cy="883920"/>
          <wp:effectExtent l="0" t="0" r="635" b="0"/>
          <wp:wrapSquare wrapText="bothSides"/>
          <wp:docPr id="7"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5615" cy="883920"/>
                  </a:xfrm>
                  <a:prstGeom prst="rect">
                    <a:avLst/>
                  </a:prstGeom>
                  <a:noFill/>
                </pic:spPr>
              </pic:pic>
            </a:graphicData>
          </a:graphic>
        </wp:anchor>
      </w:drawing>
    </w:r>
    <w:r w:rsidR="00C774BB">
      <w:tab/>
    </w:r>
    <w:r w:rsidRPr="00B45F4A">
      <w:rPr>
        <w:rFonts w:asciiTheme="minorHAnsi" w:hAnsiTheme="minorHAnsi"/>
        <w:b/>
        <w:sz w:val="32"/>
        <w:szCs w:val="32"/>
      </w:rPr>
      <w:t>EXCO DOC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4170"/>
    <w:multiLevelType w:val="hybridMultilevel"/>
    <w:tmpl w:val="7E4A6C38"/>
    <w:lvl w:ilvl="0" w:tplc="AC2A350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245"/>
    <w:rsid w:val="00057CA6"/>
    <w:rsid w:val="00057D28"/>
    <w:rsid w:val="00067D47"/>
    <w:rsid w:val="00083AE1"/>
    <w:rsid w:val="00093970"/>
    <w:rsid w:val="000948A7"/>
    <w:rsid w:val="00097CD2"/>
    <w:rsid w:val="000A0695"/>
    <w:rsid w:val="000A1F88"/>
    <w:rsid w:val="000C49BC"/>
    <w:rsid w:val="000E2D52"/>
    <w:rsid w:val="000E474D"/>
    <w:rsid w:val="000F0AB7"/>
    <w:rsid w:val="000F1CA1"/>
    <w:rsid w:val="00101025"/>
    <w:rsid w:val="00106AA4"/>
    <w:rsid w:val="001101D6"/>
    <w:rsid w:val="001129FA"/>
    <w:rsid w:val="00115296"/>
    <w:rsid w:val="00115FDD"/>
    <w:rsid w:val="00131901"/>
    <w:rsid w:val="00132F0E"/>
    <w:rsid w:val="00136820"/>
    <w:rsid w:val="001406F3"/>
    <w:rsid w:val="00142A52"/>
    <w:rsid w:val="0014315C"/>
    <w:rsid w:val="00154278"/>
    <w:rsid w:val="00156F83"/>
    <w:rsid w:val="001A1086"/>
    <w:rsid w:val="001C1015"/>
    <w:rsid w:val="001D7630"/>
    <w:rsid w:val="001F3561"/>
    <w:rsid w:val="00205F75"/>
    <w:rsid w:val="00214EEC"/>
    <w:rsid w:val="0022152E"/>
    <w:rsid w:val="00242CDF"/>
    <w:rsid w:val="00252009"/>
    <w:rsid w:val="002543DA"/>
    <w:rsid w:val="00254855"/>
    <w:rsid w:val="00256272"/>
    <w:rsid w:val="00272244"/>
    <w:rsid w:val="002756EC"/>
    <w:rsid w:val="002847A9"/>
    <w:rsid w:val="0029173D"/>
    <w:rsid w:val="002941E4"/>
    <w:rsid w:val="002A1837"/>
    <w:rsid w:val="002A3359"/>
    <w:rsid w:val="002B2392"/>
    <w:rsid w:val="002B2FC0"/>
    <w:rsid w:val="002B5AAA"/>
    <w:rsid w:val="002E6097"/>
    <w:rsid w:val="00305307"/>
    <w:rsid w:val="00321913"/>
    <w:rsid w:val="00327950"/>
    <w:rsid w:val="00337205"/>
    <w:rsid w:val="00356848"/>
    <w:rsid w:val="00381273"/>
    <w:rsid w:val="003C1830"/>
    <w:rsid w:val="003C3F78"/>
    <w:rsid w:val="003E557C"/>
    <w:rsid w:val="003E5B6A"/>
    <w:rsid w:val="003F06EB"/>
    <w:rsid w:val="003F50E5"/>
    <w:rsid w:val="003F7F87"/>
    <w:rsid w:val="00413441"/>
    <w:rsid w:val="0042598D"/>
    <w:rsid w:val="0045403E"/>
    <w:rsid w:val="0047437A"/>
    <w:rsid w:val="00482CC5"/>
    <w:rsid w:val="00483603"/>
    <w:rsid w:val="00483B40"/>
    <w:rsid w:val="00486D95"/>
    <w:rsid w:val="00497949"/>
    <w:rsid w:val="004F1A03"/>
    <w:rsid w:val="004F3BC2"/>
    <w:rsid w:val="00516597"/>
    <w:rsid w:val="005169A6"/>
    <w:rsid w:val="0052219D"/>
    <w:rsid w:val="0052242B"/>
    <w:rsid w:val="00523EF5"/>
    <w:rsid w:val="00540F90"/>
    <w:rsid w:val="00543BCB"/>
    <w:rsid w:val="00544456"/>
    <w:rsid w:val="00554449"/>
    <w:rsid w:val="005779B7"/>
    <w:rsid w:val="0058155F"/>
    <w:rsid w:val="005A109D"/>
    <w:rsid w:val="005B5148"/>
    <w:rsid w:val="005B53AB"/>
    <w:rsid w:val="005B5948"/>
    <w:rsid w:val="005C7474"/>
    <w:rsid w:val="005C76FA"/>
    <w:rsid w:val="005E0A83"/>
    <w:rsid w:val="005E35B5"/>
    <w:rsid w:val="00602688"/>
    <w:rsid w:val="00615A13"/>
    <w:rsid w:val="006214B1"/>
    <w:rsid w:val="0062669C"/>
    <w:rsid w:val="00633FDF"/>
    <w:rsid w:val="00650A3C"/>
    <w:rsid w:val="00656736"/>
    <w:rsid w:val="0066207A"/>
    <w:rsid w:val="006822AB"/>
    <w:rsid w:val="00683D00"/>
    <w:rsid w:val="006C139B"/>
    <w:rsid w:val="006C688D"/>
    <w:rsid w:val="006C6EED"/>
    <w:rsid w:val="006E293A"/>
    <w:rsid w:val="006E38DE"/>
    <w:rsid w:val="006E39A4"/>
    <w:rsid w:val="006F688C"/>
    <w:rsid w:val="006F7F51"/>
    <w:rsid w:val="0070777F"/>
    <w:rsid w:val="007142A9"/>
    <w:rsid w:val="00724790"/>
    <w:rsid w:val="00733C10"/>
    <w:rsid w:val="00736C4B"/>
    <w:rsid w:val="00754867"/>
    <w:rsid w:val="00754FDD"/>
    <w:rsid w:val="00762EC3"/>
    <w:rsid w:val="007653F4"/>
    <w:rsid w:val="007659F5"/>
    <w:rsid w:val="00766080"/>
    <w:rsid w:val="00776F3E"/>
    <w:rsid w:val="0078456A"/>
    <w:rsid w:val="0078467A"/>
    <w:rsid w:val="007851EE"/>
    <w:rsid w:val="007863F0"/>
    <w:rsid w:val="007A0A5D"/>
    <w:rsid w:val="007A5DC5"/>
    <w:rsid w:val="007D2D14"/>
    <w:rsid w:val="007F22FA"/>
    <w:rsid w:val="00841A0F"/>
    <w:rsid w:val="0084514A"/>
    <w:rsid w:val="00847B81"/>
    <w:rsid w:val="00853239"/>
    <w:rsid w:val="00867C68"/>
    <w:rsid w:val="00875745"/>
    <w:rsid w:val="00875786"/>
    <w:rsid w:val="0089094D"/>
    <w:rsid w:val="00894511"/>
    <w:rsid w:val="008A043E"/>
    <w:rsid w:val="008A1394"/>
    <w:rsid w:val="008E0DB9"/>
    <w:rsid w:val="008E122E"/>
    <w:rsid w:val="00910F30"/>
    <w:rsid w:val="009120BF"/>
    <w:rsid w:val="009324D3"/>
    <w:rsid w:val="00944E4B"/>
    <w:rsid w:val="00945428"/>
    <w:rsid w:val="00953A05"/>
    <w:rsid w:val="0096038C"/>
    <w:rsid w:val="00970AFC"/>
    <w:rsid w:val="009949B9"/>
    <w:rsid w:val="00997DE5"/>
    <w:rsid w:val="009A497F"/>
    <w:rsid w:val="009D029C"/>
    <w:rsid w:val="009E1E31"/>
    <w:rsid w:val="009E3124"/>
    <w:rsid w:val="009E6BEE"/>
    <w:rsid w:val="009F429F"/>
    <w:rsid w:val="00A012A5"/>
    <w:rsid w:val="00A03BAE"/>
    <w:rsid w:val="00A179CD"/>
    <w:rsid w:val="00A330AE"/>
    <w:rsid w:val="00A401A4"/>
    <w:rsid w:val="00A40F28"/>
    <w:rsid w:val="00A57486"/>
    <w:rsid w:val="00A63245"/>
    <w:rsid w:val="00A74C02"/>
    <w:rsid w:val="00A75BF1"/>
    <w:rsid w:val="00A83F5B"/>
    <w:rsid w:val="00A8747A"/>
    <w:rsid w:val="00A9032E"/>
    <w:rsid w:val="00AB58DF"/>
    <w:rsid w:val="00AC6094"/>
    <w:rsid w:val="00AC6BF5"/>
    <w:rsid w:val="00AD2330"/>
    <w:rsid w:val="00AF4542"/>
    <w:rsid w:val="00AF6CFB"/>
    <w:rsid w:val="00B10926"/>
    <w:rsid w:val="00B10F4F"/>
    <w:rsid w:val="00B163E4"/>
    <w:rsid w:val="00B32C4B"/>
    <w:rsid w:val="00B43F96"/>
    <w:rsid w:val="00B45F4A"/>
    <w:rsid w:val="00B67619"/>
    <w:rsid w:val="00B70093"/>
    <w:rsid w:val="00B72692"/>
    <w:rsid w:val="00B925E4"/>
    <w:rsid w:val="00BA7F81"/>
    <w:rsid w:val="00BB44F7"/>
    <w:rsid w:val="00BB6E4D"/>
    <w:rsid w:val="00BC0915"/>
    <w:rsid w:val="00BC475D"/>
    <w:rsid w:val="00BE20C5"/>
    <w:rsid w:val="00BE589A"/>
    <w:rsid w:val="00BF480F"/>
    <w:rsid w:val="00C048A3"/>
    <w:rsid w:val="00C0524B"/>
    <w:rsid w:val="00C07971"/>
    <w:rsid w:val="00C1198E"/>
    <w:rsid w:val="00C14489"/>
    <w:rsid w:val="00C415D2"/>
    <w:rsid w:val="00C46EB9"/>
    <w:rsid w:val="00C47544"/>
    <w:rsid w:val="00C51E55"/>
    <w:rsid w:val="00C52983"/>
    <w:rsid w:val="00C67E4F"/>
    <w:rsid w:val="00C76FBF"/>
    <w:rsid w:val="00C774BB"/>
    <w:rsid w:val="00C80780"/>
    <w:rsid w:val="00C81F2A"/>
    <w:rsid w:val="00C829B5"/>
    <w:rsid w:val="00CC105A"/>
    <w:rsid w:val="00CC33C9"/>
    <w:rsid w:val="00CC709D"/>
    <w:rsid w:val="00CD0F9B"/>
    <w:rsid w:val="00CE6818"/>
    <w:rsid w:val="00CE79C9"/>
    <w:rsid w:val="00D0024D"/>
    <w:rsid w:val="00D03A6D"/>
    <w:rsid w:val="00D31D3D"/>
    <w:rsid w:val="00D36DF2"/>
    <w:rsid w:val="00D53E6E"/>
    <w:rsid w:val="00D60895"/>
    <w:rsid w:val="00D6201A"/>
    <w:rsid w:val="00D74934"/>
    <w:rsid w:val="00D749BE"/>
    <w:rsid w:val="00D8206C"/>
    <w:rsid w:val="00DB3EBB"/>
    <w:rsid w:val="00DB7BB0"/>
    <w:rsid w:val="00DC78AC"/>
    <w:rsid w:val="00DD1B50"/>
    <w:rsid w:val="00DD5DEA"/>
    <w:rsid w:val="00DD5E82"/>
    <w:rsid w:val="00DE18F7"/>
    <w:rsid w:val="00E13261"/>
    <w:rsid w:val="00E34BC2"/>
    <w:rsid w:val="00E41C54"/>
    <w:rsid w:val="00E42345"/>
    <w:rsid w:val="00E814C5"/>
    <w:rsid w:val="00E96C0A"/>
    <w:rsid w:val="00EA7150"/>
    <w:rsid w:val="00EB6823"/>
    <w:rsid w:val="00EC1C14"/>
    <w:rsid w:val="00ED5553"/>
    <w:rsid w:val="00EF16B9"/>
    <w:rsid w:val="00EF359E"/>
    <w:rsid w:val="00EF77E7"/>
    <w:rsid w:val="00F00437"/>
    <w:rsid w:val="00F168C9"/>
    <w:rsid w:val="00F3259F"/>
    <w:rsid w:val="00F32DC7"/>
    <w:rsid w:val="00F76AC7"/>
    <w:rsid w:val="00F84FED"/>
    <w:rsid w:val="00F965C4"/>
    <w:rsid w:val="00FB6D3C"/>
    <w:rsid w:val="00FC2FAA"/>
    <w:rsid w:val="00FD544B"/>
    <w:rsid w:val="00FF4F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B471D99-99A0-4775-9D2F-D087AC74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FDD"/>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49B9"/>
    <w:rPr>
      <w:color w:val="0000FF" w:themeColor="hyperlink"/>
      <w:u w:val="single"/>
    </w:rPr>
  </w:style>
  <w:style w:type="character" w:styleId="PlaceholderText">
    <w:name w:val="Placeholder Text"/>
    <w:basedOn w:val="DefaultParagraphFont"/>
    <w:uiPriority w:val="99"/>
    <w:semiHidden/>
    <w:rsid w:val="009949B9"/>
    <w:rPr>
      <w:color w:val="808080"/>
    </w:rPr>
  </w:style>
  <w:style w:type="paragraph" w:styleId="BalloonText">
    <w:name w:val="Balloon Text"/>
    <w:basedOn w:val="Normal"/>
    <w:link w:val="BalloonTextChar"/>
    <w:rsid w:val="009949B9"/>
    <w:rPr>
      <w:rFonts w:ascii="Tahoma" w:hAnsi="Tahoma" w:cs="Tahoma"/>
      <w:sz w:val="16"/>
      <w:szCs w:val="16"/>
    </w:rPr>
  </w:style>
  <w:style w:type="character" w:customStyle="1" w:styleId="BalloonTextChar">
    <w:name w:val="Balloon Text Char"/>
    <w:basedOn w:val="DefaultParagraphFont"/>
    <w:link w:val="BalloonText"/>
    <w:rsid w:val="009949B9"/>
    <w:rPr>
      <w:rFonts w:ascii="Tahoma" w:hAnsi="Tahoma" w:cs="Tahoma"/>
      <w:sz w:val="16"/>
      <w:szCs w:val="16"/>
    </w:rPr>
  </w:style>
  <w:style w:type="paragraph" w:styleId="Header">
    <w:name w:val="header"/>
    <w:basedOn w:val="Normal"/>
    <w:link w:val="HeaderChar"/>
    <w:rsid w:val="003C1830"/>
    <w:pPr>
      <w:tabs>
        <w:tab w:val="center" w:pos="4536"/>
        <w:tab w:val="right" w:pos="9072"/>
      </w:tabs>
    </w:pPr>
  </w:style>
  <w:style w:type="character" w:customStyle="1" w:styleId="HeaderChar">
    <w:name w:val="Header Char"/>
    <w:basedOn w:val="DefaultParagraphFont"/>
    <w:link w:val="Header"/>
    <w:rsid w:val="003C1830"/>
    <w:rPr>
      <w:rFonts w:ascii="Arial" w:hAnsi="Arial"/>
      <w:sz w:val="22"/>
    </w:rPr>
  </w:style>
  <w:style w:type="paragraph" w:styleId="Footer">
    <w:name w:val="footer"/>
    <w:basedOn w:val="Normal"/>
    <w:link w:val="FooterChar"/>
    <w:uiPriority w:val="99"/>
    <w:rsid w:val="003C1830"/>
    <w:pPr>
      <w:tabs>
        <w:tab w:val="center" w:pos="4536"/>
        <w:tab w:val="right" w:pos="9072"/>
      </w:tabs>
    </w:pPr>
  </w:style>
  <w:style w:type="character" w:customStyle="1" w:styleId="FooterChar">
    <w:name w:val="Footer Char"/>
    <w:basedOn w:val="DefaultParagraphFont"/>
    <w:link w:val="Footer"/>
    <w:uiPriority w:val="99"/>
    <w:rsid w:val="003C1830"/>
    <w:rPr>
      <w:rFonts w:ascii="Arial" w:hAnsi="Arial"/>
      <w:sz w:val="22"/>
    </w:rPr>
  </w:style>
  <w:style w:type="paragraph" w:styleId="ListParagraph">
    <w:name w:val="List Paragraph"/>
    <w:basedOn w:val="Normal"/>
    <w:uiPriority w:val="34"/>
    <w:qFormat/>
    <w:rsid w:val="006F688C"/>
    <w:pPr>
      <w:ind w:left="720"/>
      <w:contextualSpacing/>
    </w:pPr>
  </w:style>
  <w:style w:type="character" w:styleId="CommentReference">
    <w:name w:val="annotation reference"/>
    <w:basedOn w:val="DefaultParagraphFont"/>
    <w:semiHidden/>
    <w:unhideWhenUsed/>
    <w:rsid w:val="00305307"/>
    <w:rPr>
      <w:sz w:val="16"/>
      <w:szCs w:val="16"/>
    </w:rPr>
  </w:style>
  <w:style w:type="paragraph" w:styleId="CommentText">
    <w:name w:val="annotation text"/>
    <w:basedOn w:val="Normal"/>
    <w:link w:val="CommentTextChar"/>
    <w:semiHidden/>
    <w:unhideWhenUsed/>
    <w:rsid w:val="00305307"/>
    <w:rPr>
      <w:sz w:val="20"/>
    </w:rPr>
  </w:style>
  <w:style w:type="character" w:customStyle="1" w:styleId="CommentTextChar">
    <w:name w:val="Comment Text Char"/>
    <w:basedOn w:val="DefaultParagraphFont"/>
    <w:link w:val="CommentText"/>
    <w:semiHidden/>
    <w:rsid w:val="00305307"/>
    <w:rPr>
      <w:rFonts w:ascii="Arial" w:hAnsi="Arial"/>
    </w:rPr>
  </w:style>
  <w:style w:type="paragraph" w:styleId="CommentSubject">
    <w:name w:val="annotation subject"/>
    <w:basedOn w:val="CommentText"/>
    <w:next w:val="CommentText"/>
    <w:link w:val="CommentSubjectChar"/>
    <w:semiHidden/>
    <w:unhideWhenUsed/>
    <w:rsid w:val="00305307"/>
    <w:rPr>
      <w:b/>
      <w:bCs/>
    </w:rPr>
  </w:style>
  <w:style w:type="character" w:customStyle="1" w:styleId="CommentSubjectChar">
    <w:name w:val="Comment Subject Char"/>
    <w:basedOn w:val="CommentTextChar"/>
    <w:link w:val="CommentSubject"/>
    <w:semiHidden/>
    <w:rsid w:val="00305307"/>
    <w:rPr>
      <w:rFonts w:ascii="Arial" w:hAnsi="Arial"/>
      <w:b/>
      <w:bCs/>
    </w:rPr>
  </w:style>
  <w:style w:type="character" w:styleId="Emphasis">
    <w:name w:val="Emphasis"/>
    <w:basedOn w:val="DefaultParagraphFont"/>
    <w:uiPriority w:val="20"/>
    <w:qFormat/>
    <w:rsid w:val="00483603"/>
    <w:rPr>
      <w:i/>
      <w:iCs/>
    </w:rPr>
  </w:style>
  <w:style w:type="paragraph" w:styleId="FootnoteText">
    <w:name w:val="footnote text"/>
    <w:basedOn w:val="Normal"/>
    <w:link w:val="FootnoteTextChar"/>
    <w:semiHidden/>
    <w:unhideWhenUsed/>
    <w:rsid w:val="001D7630"/>
    <w:rPr>
      <w:sz w:val="20"/>
    </w:rPr>
  </w:style>
  <w:style w:type="character" w:customStyle="1" w:styleId="FootnoteTextChar">
    <w:name w:val="Footnote Text Char"/>
    <w:basedOn w:val="DefaultParagraphFont"/>
    <w:link w:val="FootnoteText"/>
    <w:semiHidden/>
    <w:rsid w:val="001D7630"/>
    <w:rPr>
      <w:rFonts w:ascii="Arial" w:hAnsi="Arial"/>
    </w:rPr>
  </w:style>
  <w:style w:type="character" w:styleId="FootnoteReference">
    <w:name w:val="footnote reference"/>
    <w:basedOn w:val="DefaultParagraphFont"/>
    <w:semiHidden/>
    <w:unhideWhenUsed/>
    <w:rsid w:val="001D76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025868">
      <w:bodyDiv w:val="1"/>
      <w:marLeft w:val="0"/>
      <w:marRight w:val="0"/>
      <w:marTop w:val="0"/>
      <w:marBottom w:val="0"/>
      <w:divBdr>
        <w:top w:val="none" w:sz="0" w:space="0" w:color="auto"/>
        <w:left w:val="none" w:sz="0" w:space="0" w:color="auto"/>
        <w:bottom w:val="none" w:sz="0" w:space="0" w:color="auto"/>
        <w:right w:val="none" w:sz="0" w:space="0" w:color="auto"/>
      </w:divBdr>
    </w:div>
    <w:div w:id="1774743331">
      <w:bodyDiv w:val="1"/>
      <w:marLeft w:val="0"/>
      <w:marRight w:val="0"/>
      <w:marTop w:val="0"/>
      <w:marBottom w:val="0"/>
      <w:divBdr>
        <w:top w:val="none" w:sz="0" w:space="0" w:color="auto"/>
        <w:left w:val="none" w:sz="0" w:space="0" w:color="auto"/>
        <w:bottom w:val="none" w:sz="0" w:space="0" w:color="auto"/>
        <w:right w:val="none" w:sz="0" w:space="0" w:color="auto"/>
      </w:divBdr>
    </w:div>
    <w:div w:id="185487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BEE6E-92F8-45F8-AE98-03F48011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2537</Words>
  <Characters>13957</Characters>
  <Application>Microsoft Office Word</Application>
  <DocSecurity>0</DocSecurity>
  <Lines>116</Lines>
  <Paragraphs>32</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Deutscher Caritasverband e.V.</Company>
  <LinksUpToDate>false</LinksUpToDate>
  <CharactersWithSpaces>16462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Zürcher Julia</dc:creator>
  <cp:lastModifiedBy>Rebecca Lee</cp:lastModifiedBy>
  <cp:revision>3</cp:revision>
  <cp:lastPrinted>2015-05-29T10:32:00Z</cp:lastPrinted>
  <dcterms:created xsi:type="dcterms:W3CDTF">2015-06-29T09:47:00Z</dcterms:created>
  <dcterms:modified xsi:type="dcterms:W3CDTF">2015-06-29T13:23:00Z</dcterms:modified>
</cp:coreProperties>
</file>