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C0821" w14:textId="6B0AE73D" w:rsidR="00CE1CF7" w:rsidRDefault="005D1233" w:rsidP="005D1233">
      <w:pPr>
        <w:jc w:val="center"/>
      </w:pPr>
      <w:r>
        <w:rPr>
          <w:rFonts w:ascii="Calibri" w:hAnsi="Calibri"/>
          <w:b/>
          <w:noProof/>
          <w:lang w:eastAsia="en-GB"/>
        </w:rPr>
        <w:drawing>
          <wp:anchor distT="0" distB="0" distL="114300" distR="114300" simplePos="0" relativeHeight="251658240" behindDoc="1" locked="0" layoutInCell="1" allowOverlap="1" wp14:anchorId="1C560B65" wp14:editId="067B1167">
            <wp:simplePos x="0" y="0"/>
            <wp:positionH relativeFrom="margin">
              <wp:align>center</wp:align>
            </wp:positionH>
            <wp:positionV relativeFrom="paragraph">
              <wp:posOffset>-831850</wp:posOffset>
            </wp:positionV>
            <wp:extent cx="1524000" cy="1014984"/>
            <wp:effectExtent l="0" t="0" r="0" b="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14:sizeRelH relativeFrom="page">
              <wp14:pctWidth>0</wp14:pctWidth>
            </wp14:sizeRelH>
            <wp14:sizeRelV relativeFrom="page">
              <wp14:pctHeight>0</wp14:pctHeight>
            </wp14:sizeRelV>
          </wp:anchor>
        </w:drawing>
      </w:r>
    </w:p>
    <w:p w14:paraId="574FD93A" w14:textId="3D8C5EDD" w:rsidR="003F430B" w:rsidRDefault="002A5D31" w:rsidP="003F430B">
      <w:pPr>
        <w:jc w:val="center"/>
        <w:rPr>
          <w:b/>
        </w:rPr>
      </w:pPr>
      <w:r>
        <w:rPr>
          <w:b/>
        </w:rPr>
        <w:t>E</w:t>
      </w:r>
      <w:r w:rsidR="00C00C92">
        <w:rPr>
          <w:b/>
        </w:rPr>
        <w:t>7c</w:t>
      </w:r>
      <w:r w:rsidR="00CC2163">
        <w:rPr>
          <w:b/>
        </w:rPr>
        <w:t xml:space="preserve">: </w:t>
      </w:r>
      <w:r w:rsidR="00A94382">
        <w:rPr>
          <w:b/>
        </w:rPr>
        <w:t>M</w:t>
      </w:r>
      <w:r w:rsidR="00984A0D">
        <w:rPr>
          <w:b/>
        </w:rPr>
        <w:t>embership fee</w:t>
      </w:r>
      <w:r w:rsidR="00A94382">
        <w:rPr>
          <w:b/>
        </w:rPr>
        <w:t xml:space="preserve"> </w:t>
      </w:r>
      <w:r>
        <w:rPr>
          <w:b/>
        </w:rPr>
        <w:t>proposa</w:t>
      </w:r>
      <w:r w:rsidR="00C00C92">
        <w:rPr>
          <w:b/>
        </w:rPr>
        <w:t>ls</w:t>
      </w:r>
      <w:r w:rsidR="003F430B">
        <w:rPr>
          <w:b/>
        </w:rPr>
        <w:br/>
        <w:t>v2, 2 Sep 2019</w:t>
      </w:r>
    </w:p>
    <w:p w14:paraId="34DFCA37" w14:textId="4B1B6544" w:rsidR="002A5D31" w:rsidRDefault="002A5D31" w:rsidP="00855FD7">
      <w:pPr>
        <w:rPr>
          <w:rFonts w:eastAsia="Times New Roman"/>
          <w:b/>
          <w:bCs/>
          <w:u w:val="single"/>
        </w:rPr>
      </w:pPr>
      <w:r>
        <w:rPr>
          <w:rFonts w:eastAsia="Times New Roman"/>
          <w:b/>
          <w:bCs/>
          <w:u w:val="single"/>
        </w:rPr>
        <w:t>Background</w:t>
      </w:r>
    </w:p>
    <w:p w14:paraId="01292C3B" w14:textId="20387448" w:rsidR="002A5D31" w:rsidRDefault="002A5D31" w:rsidP="00855FD7">
      <w:pPr>
        <w:rPr>
          <w:rFonts w:eastAsia="Times New Roman"/>
          <w:bCs/>
        </w:rPr>
      </w:pPr>
      <w:r>
        <w:rPr>
          <w:rFonts w:eastAsia="Times New Roman"/>
          <w:bCs/>
        </w:rPr>
        <w:t>In 2018, the General Assembly revised the voting weight</w:t>
      </w:r>
      <w:r w:rsidR="007B45E9">
        <w:rPr>
          <w:rFonts w:eastAsia="Times New Roman"/>
          <w:bCs/>
        </w:rPr>
        <w:t>s</w:t>
      </w:r>
      <w:r>
        <w:rPr>
          <w:rFonts w:eastAsia="Times New Roman"/>
          <w:bCs/>
        </w:rPr>
        <w:t xml:space="preserve"> at the General Assembly. As of 2019, all full members (both National Networks and </w:t>
      </w:r>
      <w:r w:rsidR="003F430B">
        <w:rPr>
          <w:rFonts w:eastAsia="Times New Roman"/>
          <w:bCs/>
        </w:rPr>
        <w:t>European Organisation</w:t>
      </w:r>
      <w:r>
        <w:rPr>
          <w:rFonts w:eastAsia="Times New Roman"/>
          <w:bCs/>
        </w:rPr>
        <w:t>s</w:t>
      </w:r>
      <w:r w:rsidR="003F430B">
        <w:rPr>
          <w:rFonts w:eastAsia="Times New Roman"/>
          <w:bCs/>
        </w:rPr>
        <w:t xml:space="preserve"> (EO</w:t>
      </w:r>
      <w:r>
        <w:rPr>
          <w:rFonts w:eastAsia="Times New Roman"/>
          <w:bCs/>
        </w:rPr>
        <w:t xml:space="preserve">) of EAPN have the same number of votes at the GA, and this number is currently set at 3. The 2018 GA recognised that this would necessitate a change in our Membership Fees / Voluntary Contributions, and mandated the Ex Co to make a proposal for the 2019 GA. </w:t>
      </w:r>
      <w:r w:rsidR="007B45E9">
        <w:rPr>
          <w:rFonts w:eastAsia="Times New Roman"/>
          <w:bCs/>
        </w:rPr>
        <w:t xml:space="preserve">This document entails three proposals. An original proposal created by the Bureau, </w:t>
      </w:r>
      <w:r w:rsidR="00D31EF0">
        <w:rPr>
          <w:rFonts w:eastAsia="Times New Roman"/>
          <w:bCs/>
        </w:rPr>
        <w:t xml:space="preserve">titled ‘Sliding Scale’. </w:t>
      </w:r>
      <w:r w:rsidR="007B45E9">
        <w:rPr>
          <w:rFonts w:eastAsia="Times New Roman"/>
          <w:bCs/>
        </w:rPr>
        <w:t>In addition, f</w:t>
      </w:r>
      <w:r w:rsidR="00D31EF0">
        <w:rPr>
          <w:rFonts w:eastAsia="Times New Roman"/>
          <w:bCs/>
        </w:rPr>
        <w:t>urther discussion</w:t>
      </w:r>
      <w:r w:rsidR="00C34D4B">
        <w:rPr>
          <w:rFonts w:eastAsia="Times New Roman"/>
          <w:bCs/>
        </w:rPr>
        <w:t xml:space="preserve">s led by </w:t>
      </w:r>
      <w:r w:rsidR="00D31EF0">
        <w:rPr>
          <w:rFonts w:eastAsia="Times New Roman"/>
          <w:bCs/>
        </w:rPr>
        <w:t xml:space="preserve">the Treasurer, </w:t>
      </w:r>
      <w:r w:rsidR="00C34D4B">
        <w:rPr>
          <w:rFonts w:eastAsia="Times New Roman"/>
          <w:bCs/>
        </w:rPr>
        <w:t xml:space="preserve">with EAPN </w:t>
      </w:r>
      <w:r w:rsidR="00D31EF0">
        <w:rPr>
          <w:rFonts w:eastAsia="Times New Roman"/>
          <w:bCs/>
        </w:rPr>
        <w:t>Netherland</w:t>
      </w:r>
      <w:r w:rsidR="00C34D4B">
        <w:rPr>
          <w:rFonts w:eastAsia="Times New Roman"/>
          <w:bCs/>
        </w:rPr>
        <w:t>s</w:t>
      </w:r>
      <w:r w:rsidR="00D31EF0">
        <w:rPr>
          <w:rFonts w:eastAsia="Times New Roman"/>
          <w:bCs/>
        </w:rPr>
        <w:t>,</w:t>
      </w:r>
      <w:r w:rsidR="00C34D4B">
        <w:rPr>
          <w:rFonts w:eastAsia="Times New Roman"/>
          <w:bCs/>
        </w:rPr>
        <w:t xml:space="preserve"> EAPN</w:t>
      </w:r>
      <w:r w:rsidR="00D31EF0">
        <w:rPr>
          <w:rFonts w:eastAsia="Times New Roman"/>
          <w:bCs/>
        </w:rPr>
        <w:t xml:space="preserve"> Germany,</w:t>
      </w:r>
      <w:r w:rsidR="00C34D4B">
        <w:rPr>
          <w:rFonts w:eastAsia="Times New Roman"/>
          <w:bCs/>
        </w:rPr>
        <w:t xml:space="preserve"> EAPN</w:t>
      </w:r>
      <w:r w:rsidR="00D31EF0">
        <w:rPr>
          <w:rFonts w:eastAsia="Times New Roman"/>
          <w:bCs/>
        </w:rPr>
        <w:t xml:space="preserve"> Czech Republic</w:t>
      </w:r>
      <w:r w:rsidR="003F430B">
        <w:rPr>
          <w:rFonts w:eastAsia="Times New Roman"/>
          <w:bCs/>
        </w:rPr>
        <w:t>, EAPN Slovakia</w:t>
      </w:r>
      <w:r w:rsidR="00D31EF0">
        <w:rPr>
          <w:rFonts w:eastAsia="Times New Roman"/>
          <w:bCs/>
        </w:rPr>
        <w:t xml:space="preserve"> and FEANTSA le</w:t>
      </w:r>
      <w:r w:rsidR="00C34D4B">
        <w:rPr>
          <w:rFonts w:eastAsia="Times New Roman"/>
          <w:bCs/>
        </w:rPr>
        <w:t>d</w:t>
      </w:r>
      <w:r w:rsidR="00D31EF0">
        <w:rPr>
          <w:rFonts w:eastAsia="Times New Roman"/>
          <w:bCs/>
        </w:rPr>
        <w:t xml:space="preserve"> to the formation </w:t>
      </w:r>
      <w:r w:rsidR="007B45E9">
        <w:rPr>
          <w:rFonts w:eastAsia="Times New Roman"/>
          <w:bCs/>
        </w:rPr>
        <w:t>of a second and third proposal.</w:t>
      </w:r>
    </w:p>
    <w:p w14:paraId="56B38B51" w14:textId="3CF527D3" w:rsidR="002A5D31" w:rsidRDefault="002A5D31" w:rsidP="00855FD7">
      <w:pPr>
        <w:rPr>
          <w:rFonts w:eastAsia="Times New Roman"/>
          <w:b/>
          <w:bCs/>
          <w:u w:val="single"/>
        </w:rPr>
      </w:pPr>
      <w:r w:rsidRPr="002A5D31">
        <w:rPr>
          <w:rFonts w:eastAsia="Times New Roman"/>
          <w:b/>
          <w:bCs/>
          <w:u w:val="single"/>
        </w:rPr>
        <w:t>A reminder</w:t>
      </w:r>
      <w:r>
        <w:rPr>
          <w:rFonts w:eastAsia="Times New Roman"/>
          <w:b/>
          <w:bCs/>
          <w:u w:val="single"/>
        </w:rPr>
        <w:t xml:space="preserve"> – the old system</w:t>
      </w:r>
    </w:p>
    <w:p w14:paraId="2405AA9D" w14:textId="4F8A3BAB" w:rsidR="002A5D31" w:rsidRDefault="002A5D31" w:rsidP="00855FD7">
      <w:pPr>
        <w:rPr>
          <w:rFonts w:eastAsia="Times New Roman"/>
          <w:bCs/>
        </w:rPr>
      </w:pPr>
      <w:r>
        <w:rPr>
          <w:rFonts w:eastAsia="Times New Roman"/>
          <w:bCs/>
        </w:rPr>
        <w:t xml:space="preserve">Fees were set to match the number of votes networks had, which varied from 2 to 8, depending on the population of the country. All </w:t>
      </w:r>
      <w:r w:rsidR="003F430B">
        <w:rPr>
          <w:rFonts w:eastAsia="Times New Roman"/>
          <w:bCs/>
        </w:rPr>
        <w:t>EO</w:t>
      </w:r>
      <w:r>
        <w:rPr>
          <w:rFonts w:eastAsia="Times New Roman"/>
          <w:bCs/>
        </w:rPr>
        <w:t>s had 2 votes. 1 vote = 200 euros, so fees ranged from 400 euros to 1600 euros. 100% payment of these fees would have provided approximately 32000 euros. In reality, the fees provided between 15000 and 20000 per year, as many members did not pay.</w:t>
      </w:r>
    </w:p>
    <w:p w14:paraId="092B2326" w14:textId="6F400DB3" w:rsidR="002A5D31" w:rsidRPr="002A5D31" w:rsidRDefault="004C18C8" w:rsidP="00855FD7">
      <w:pPr>
        <w:rPr>
          <w:rFonts w:eastAsia="Times New Roman"/>
          <w:b/>
          <w:bCs/>
          <w:u w:val="single"/>
        </w:rPr>
      </w:pPr>
      <w:r>
        <w:rPr>
          <w:rFonts w:eastAsia="Times New Roman"/>
          <w:b/>
          <w:bCs/>
          <w:u w:val="single"/>
        </w:rPr>
        <w:t>Principles behind the</w:t>
      </w:r>
      <w:r w:rsidR="007B45E9">
        <w:rPr>
          <w:rFonts w:eastAsia="Times New Roman"/>
          <w:b/>
          <w:bCs/>
          <w:u w:val="single"/>
        </w:rPr>
        <w:t xml:space="preserve"> Bureau’s</w:t>
      </w:r>
      <w:r w:rsidR="002A5D31" w:rsidRPr="002A5D31">
        <w:rPr>
          <w:rFonts w:eastAsia="Times New Roman"/>
          <w:b/>
          <w:bCs/>
          <w:u w:val="single"/>
        </w:rPr>
        <w:t xml:space="preserve"> proposal</w:t>
      </w:r>
      <w:r w:rsidR="00FF5667">
        <w:rPr>
          <w:rFonts w:eastAsia="Times New Roman"/>
          <w:b/>
          <w:bCs/>
          <w:u w:val="single"/>
        </w:rPr>
        <w:t xml:space="preserve"> (</w:t>
      </w:r>
      <w:r w:rsidR="00FF5667" w:rsidRPr="00FF5667">
        <w:rPr>
          <w:rFonts w:eastAsia="Times New Roman"/>
          <w:b/>
          <w:bCs/>
          <w:u w:val="single"/>
        </w:rPr>
        <w:t>‘Sliding Scale’</w:t>
      </w:r>
      <w:r w:rsidR="00FF5667">
        <w:rPr>
          <w:rFonts w:eastAsia="Times New Roman"/>
          <w:b/>
          <w:bCs/>
          <w:u w:val="single"/>
        </w:rPr>
        <w:t>)</w:t>
      </w:r>
    </w:p>
    <w:p w14:paraId="409F748E" w14:textId="05353F58" w:rsidR="002A5D31" w:rsidRDefault="002A5D31" w:rsidP="00855FD7">
      <w:pPr>
        <w:rPr>
          <w:rFonts w:eastAsia="Times New Roman"/>
          <w:bCs/>
        </w:rPr>
      </w:pPr>
      <w:r w:rsidRPr="002A5D31">
        <w:rPr>
          <w:rFonts w:eastAsia="Times New Roman"/>
          <w:b/>
          <w:bCs/>
        </w:rPr>
        <w:t>Principle 1:</w:t>
      </w:r>
      <w:r>
        <w:rPr>
          <w:rFonts w:eastAsia="Times New Roman"/>
          <w:bCs/>
        </w:rPr>
        <w:t xml:space="preserve"> </w:t>
      </w:r>
      <w:r w:rsidR="004C18C8">
        <w:rPr>
          <w:rFonts w:eastAsia="Times New Roman"/>
          <w:bCs/>
        </w:rPr>
        <w:t xml:space="preserve">Our membership fee structure should embody our belief </w:t>
      </w:r>
      <w:r w:rsidR="004C18C8" w:rsidRPr="004C18C8">
        <w:rPr>
          <w:rFonts w:eastAsia="Times New Roman"/>
          <w:bCs/>
        </w:rPr>
        <w:t>in the possibility to achieve a better sharing of wealth, opportunities and resources</w:t>
      </w:r>
      <w:r w:rsidR="004C18C8">
        <w:rPr>
          <w:rFonts w:eastAsia="Times New Roman"/>
          <w:bCs/>
        </w:rPr>
        <w:t xml:space="preserve">, and the value we place on solidarity within our network. </w:t>
      </w:r>
    </w:p>
    <w:p w14:paraId="0A62DA8A" w14:textId="66E08DDE" w:rsidR="002A5D31" w:rsidRDefault="002A5D31" w:rsidP="00855FD7">
      <w:pPr>
        <w:rPr>
          <w:rFonts w:eastAsia="Times New Roman"/>
          <w:bCs/>
        </w:rPr>
      </w:pPr>
      <w:r w:rsidRPr="002A5D31">
        <w:rPr>
          <w:rFonts w:eastAsia="Times New Roman"/>
          <w:b/>
          <w:bCs/>
        </w:rPr>
        <w:t>Principle 2:</w:t>
      </w:r>
      <w:r>
        <w:rPr>
          <w:rFonts w:eastAsia="Times New Roman"/>
          <w:bCs/>
        </w:rPr>
        <w:t xml:space="preserve"> </w:t>
      </w:r>
      <w:r w:rsidR="004C18C8">
        <w:rPr>
          <w:rFonts w:eastAsia="Times New Roman"/>
          <w:bCs/>
        </w:rPr>
        <w:t xml:space="preserve">All members have a ‘basic’ membership fee </w:t>
      </w:r>
      <w:r w:rsidR="003F430B">
        <w:rPr>
          <w:rFonts w:eastAsia="Times New Roman"/>
          <w:bCs/>
        </w:rPr>
        <w:t>(</w:t>
      </w:r>
      <w:r w:rsidR="004C18C8">
        <w:rPr>
          <w:rFonts w:eastAsia="Times New Roman"/>
          <w:bCs/>
        </w:rPr>
        <w:t>600 euros</w:t>
      </w:r>
      <w:r w:rsidR="003F430B">
        <w:rPr>
          <w:rFonts w:eastAsia="Times New Roman"/>
          <w:bCs/>
        </w:rPr>
        <w:t xml:space="preserve">, </w:t>
      </w:r>
      <w:r w:rsidR="004C18C8">
        <w:rPr>
          <w:rFonts w:eastAsia="Times New Roman"/>
          <w:bCs/>
        </w:rPr>
        <w:t>maintaining the 200 euro per vote principle</w:t>
      </w:r>
      <w:r w:rsidR="003F430B">
        <w:rPr>
          <w:rFonts w:eastAsia="Times New Roman"/>
          <w:bCs/>
        </w:rPr>
        <w:t>)</w:t>
      </w:r>
      <w:r w:rsidR="004C18C8">
        <w:rPr>
          <w:rFonts w:eastAsia="Times New Roman"/>
          <w:bCs/>
        </w:rPr>
        <w:t xml:space="preserve">. Total fee </w:t>
      </w:r>
      <w:bookmarkStart w:id="0" w:name="_GoBack"/>
      <w:bookmarkEnd w:id="0"/>
      <w:r w:rsidR="004C18C8">
        <w:rPr>
          <w:rFonts w:eastAsia="Times New Roman"/>
          <w:bCs/>
        </w:rPr>
        <w:t>based on a ‘sliding scale’, based on the self-reported annual income of each member.</w:t>
      </w:r>
    </w:p>
    <w:p w14:paraId="65575E95" w14:textId="54693B7E" w:rsidR="004C18C8" w:rsidRDefault="004C18C8" w:rsidP="00855FD7">
      <w:pPr>
        <w:rPr>
          <w:rFonts w:eastAsia="Times New Roman"/>
          <w:bCs/>
        </w:rPr>
      </w:pPr>
      <w:r w:rsidRPr="004C18C8">
        <w:rPr>
          <w:rFonts w:eastAsia="Times New Roman"/>
          <w:b/>
          <w:bCs/>
        </w:rPr>
        <w:t>Principle 3:</w:t>
      </w:r>
      <w:r>
        <w:rPr>
          <w:rFonts w:eastAsia="Times New Roman"/>
          <w:bCs/>
        </w:rPr>
        <w:t xml:space="preserve"> Our membership fees should be obligatory</w:t>
      </w:r>
    </w:p>
    <w:p w14:paraId="641C3254" w14:textId="406BFC1E" w:rsidR="004C18C8" w:rsidRPr="004C18C8" w:rsidRDefault="004C18C8" w:rsidP="00855FD7">
      <w:pPr>
        <w:rPr>
          <w:rFonts w:eastAsia="Times New Roman"/>
          <w:bCs/>
        </w:rPr>
      </w:pPr>
      <w:r>
        <w:rPr>
          <w:rFonts w:eastAsia="Times New Roman"/>
          <w:b/>
          <w:bCs/>
        </w:rPr>
        <w:t xml:space="preserve">Principle 4: </w:t>
      </w:r>
      <w:r>
        <w:rPr>
          <w:rFonts w:eastAsia="Times New Roman"/>
          <w:bCs/>
        </w:rPr>
        <w:t>This change in membership fees should be introduced in 2020, recognising that this change will need to be discussed within members own structures. In 2019, members will be invited to pay the same amount of membership fees in 2018.</w:t>
      </w:r>
    </w:p>
    <w:p w14:paraId="09EDD024" w14:textId="77606270" w:rsidR="00984A0D" w:rsidRDefault="007B45E9" w:rsidP="00984A0D">
      <w:pPr>
        <w:rPr>
          <w:rFonts w:eastAsia="Times New Roman"/>
          <w:b/>
          <w:bCs/>
          <w:u w:val="single"/>
        </w:rPr>
      </w:pPr>
      <w:r>
        <w:rPr>
          <w:rFonts w:eastAsia="Times New Roman"/>
          <w:b/>
          <w:bCs/>
          <w:u w:val="single"/>
        </w:rPr>
        <w:t>P</w:t>
      </w:r>
      <w:r w:rsidR="004C18C8">
        <w:rPr>
          <w:rFonts w:eastAsia="Times New Roman"/>
          <w:b/>
          <w:bCs/>
          <w:u w:val="single"/>
        </w:rPr>
        <w:t>roposal</w:t>
      </w:r>
      <w:r>
        <w:rPr>
          <w:rFonts w:eastAsia="Times New Roman"/>
          <w:b/>
          <w:bCs/>
          <w:u w:val="single"/>
        </w:rPr>
        <w:t xml:space="preserve"> 1: Sliding Scale</w:t>
      </w:r>
    </w:p>
    <w:tbl>
      <w:tblPr>
        <w:tblStyle w:val="TableGrid"/>
        <w:tblW w:w="0" w:type="auto"/>
        <w:tblLook w:val="04A0" w:firstRow="1" w:lastRow="0" w:firstColumn="1" w:lastColumn="0" w:noHBand="0" w:noVBand="1"/>
      </w:tblPr>
      <w:tblGrid>
        <w:gridCol w:w="2103"/>
        <w:gridCol w:w="2089"/>
        <w:gridCol w:w="2182"/>
        <w:gridCol w:w="1276"/>
        <w:gridCol w:w="2086"/>
      </w:tblGrid>
      <w:tr w:rsidR="00267689" w14:paraId="6A713EB8" w14:textId="3103967B" w:rsidTr="00267689">
        <w:tc>
          <w:tcPr>
            <w:tcW w:w="2103" w:type="dxa"/>
          </w:tcPr>
          <w:p w14:paraId="3255E192" w14:textId="6D24ADCB" w:rsidR="00267689" w:rsidRDefault="00267689" w:rsidP="00984A0D">
            <w:pPr>
              <w:rPr>
                <w:rFonts w:eastAsia="Times New Roman"/>
                <w:b/>
                <w:bCs/>
                <w:u w:val="single"/>
              </w:rPr>
            </w:pPr>
            <w:r>
              <w:rPr>
                <w:rFonts w:eastAsia="Times New Roman"/>
                <w:b/>
                <w:bCs/>
                <w:u w:val="single"/>
              </w:rPr>
              <w:t>Annual Income level</w:t>
            </w:r>
          </w:p>
        </w:tc>
        <w:tc>
          <w:tcPr>
            <w:tcW w:w="2089" w:type="dxa"/>
          </w:tcPr>
          <w:p w14:paraId="2A044FE4" w14:textId="5E257CB1" w:rsidR="00267689" w:rsidRDefault="00267689" w:rsidP="00984A0D">
            <w:pPr>
              <w:rPr>
                <w:rFonts w:eastAsia="Times New Roman"/>
                <w:b/>
                <w:bCs/>
                <w:u w:val="single"/>
              </w:rPr>
            </w:pPr>
            <w:r>
              <w:rPr>
                <w:rFonts w:eastAsia="Times New Roman"/>
                <w:b/>
                <w:bCs/>
                <w:u w:val="single"/>
              </w:rPr>
              <w:t>Basic fee</w:t>
            </w:r>
          </w:p>
        </w:tc>
        <w:tc>
          <w:tcPr>
            <w:tcW w:w="2182" w:type="dxa"/>
          </w:tcPr>
          <w:p w14:paraId="23BB7B2D" w14:textId="5ED9A4F8" w:rsidR="00267689" w:rsidRDefault="00267689" w:rsidP="00984A0D">
            <w:pPr>
              <w:rPr>
                <w:rFonts w:eastAsia="Times New Roman"/>
                <w:b/>
                <w:bCs/>
                <w:u w:val="single"/>
              </w:rPr>
            </w:pPr>
            <w:r>
              <w:rPr>
                <w:rFonts w:eastAsia="Times New Roman"/>
                <w:b/>
                <w:bCs/>
                <w:u w:val="single"/>
              </w:rPr>
              <w:t>Additional fee based on income</w:t>
            </w:r>
          </w:p>
        </w:tc>
        <w:tc>
          <w:tcPr>
            <w:tcW w:w="1276" w:type="dxa"/>
          </w:tcPr>
          <w:p w14:paraId="6C6992E6" w14:textId="305C3F5A" w:rsidR="00267689" w:rsidRDefault="00267689" w:rsidP="00984A0D">
            <w:pPr>
              <w:rPr>
                <w:rFonts w:eastAsia="Times New Roman"/>
                <w:b/>
                <w:bCs/>
                <w:u w:val="single"/>
              </w:rPr>
            </w:pPr>
            <w:r>
              <w:rPr>
                <w:rFonts w:eastAsia="Times New Roman"/>
                <w:b/>
                <w:bCs/>
                <w:u w:val="single"/>
              </w:rPr>
              <w:t>Total fee</w:t>
            </w:r>
          </w:p>
        </w:tc>
        <w:tc>
          <w:tcPr>
            <w:tcW w:w="2086" w:type="dxa"/>
          </w:tcPr>
          <w:p w14:paraId="71B0CB51" w14:textId="528C2713" w:rsidR="00267689" w:rsidRDefault="00267689" w:rsidP="00984A0D">
            <w:pPr>
              <w:rPr>
                <w:rFonts w:eastAsia="Times New Roman"/>
                <w:b/>
                <w:bCs/>
                <w:u w:val="single"/>
              </w:rPr>
            </w:pPr>
            <w:r>
              <w:rPr>
                <w:rFonts w:eastAsia="Times New Roman"/>
                <w:b/>
                <w:bCs/>
                <w:u w:val="single"/>
              </w:rPr>
              <w:t>Estimated number of members</w:t>
            </w:r>
          </w:p>
        </w:tc>
      </w:tr>
      <w:tr w:rsidR="00267689" w14:paraId="61E1B8A0" w14:textId="2674CC14" w:rsidTr="00267689">
        <w:tc>
          <w:tcPr>
            <w:tcW w:w="2103" w:type="dxa"/>
          </w:tcPr>
          <w:p w14:paraId="157FFCBA" w14:textId="2F8FC091" w:rsidR="00267689" w:rsidRPr="00984A0D" w:rsidRDefault="00267689" w:rsidP="00984A0D">
            <w:pPr>
              <w:rPr>
                <w:rFonts w:eastAsia="Times New Roman"/>
                <w:bCs/>
              </w:rPr>
            </w:pPr>
            <w:r>
              <w:rPr>
                <w:rFonts w:eastAsia="Times New Roman"/>
                <w:bCs/>
              </w:rPr>
              <w:t>0 – 100 000</w:t>
            </w:r>
            <w:r>
              <w:rPr>
                <w:rFonts w:eastAsia="Times New Roman"/>
                <w:lang w:val="fr-BE"/>
              </w:rPr>
              <w:t xml:space="preserve"> euros </w:t>
            </w:r>
          </w:p>
        </w:tc>
        <w:tc>
          <w:tcPr>
            <w:tcW w:w="2089" w:type="dxa"/>
          </w:tcPr>
          <w:p w14:paraId="0DF041B1" w14:textId="7BB494B5" w:rsidR="00267689" w:rsidRDefault="00267689" w:rsidP="00984A0D">
            <w:pPr>
              <w:rPr>
                <w:rFonts w:eastAsia="Times New Roman"/>
                <w:bCs/>
              </w:rPr>
            </w:pPr>
            <w:r>
              <w:rPr>
                <w:rFonts w:eastAsia="Times New Roman"/>
                <w:bCs/>
              </w:rPr>
              <w:t>600</w:t>
            </w:r>
          </w:p>
        </w:tc>
        <w:tc>
          <w:tcPr>
            <w:tcW w:w="2182" w:type="dxa"/>
          </w:tcPr>
          <w:p w14:paraId="6A0F23EA" w14:textId="6B47D548" w:rsidR="00267689" w:rsidRPr="00A94382" w:rsidRDefault="00267689" w:rsidP="00984A0D">
            <w:pPr>
              <w:rPr>
                <w:rFonts w:eastAsia="Times New Roman"/>
                <w:bCs/>
              </w:rPr>
            </w:pPr>
            <w:r>
              <w:rPr>
                <w:rFonts w:eastAsia="Times New Roman"/>
                <w:bCs/>
              </w:rPr>
              <w:t>0</w:t>
            </w:r>
          </w:p>
        </w:tc>
        <w:tc>
          <w:tcPr>
            <w:tcW w:w="1276" w:type="dxa"/>
          </w:tcPr>
          <w:p w14:paraId="03A60DE7" w14:textId="79901039" w:rsidR="00267689" w:rsidRDefault="00267689" w:rsidP="00984A0D">
            <w:pPr>
              <w:rPr>
                <w:rFonts w:eastAsia="Times New Roman"/>
                <w:bCs/>
              </w:rPr>
            </w:pPr>
            <w:r>
              <w:rPr>
                <w:rFonts w:eastAsia="Times New Roman"/>
                <w:bCs/>
              </w:rPr>
              <w:t>600</w:t>
            </w:r>
          </w:p>
        </w:tc>
        <w:tc>
          <w:tcPr>
            <w:tcW w:w="2086" w:type="dxa"/>
          </w:tcPr>
          <w:p w14:paraId="69C5D33C" w14:textId="548F9B82" w:rsidR="00267689" w:rsidRDefault="00267689" w:rsidP="00984A0D">
            <w:pPr>
              <w:rPr>
                <w:rFonts w:eastAsia="Times New Roman"/>
                <w:bCs/>
              </w:rPr>
            </w:pPr>
            <w:r>
              <w:rPr>
                <w:rFonts w:eastAsia="Times New Roman"/>
                <w:bCs/>
              </w:rPr>
              <w:t>23</w:t>
            </w:r>
          </w:p>
        </w:tc>
      </w:tr>
      <w:tr w:rsidR="00267689" w14:paraId="02812A7C" w14:textId="654598EF" w:rsidTr="00267689">
        <w:tc>
          <w:tcPr>
            <w:tcW w:w="2103" w:type="dxa"/>
          </w:tcPr>
          <w:p w14:paraId="2B74AC31" w14:textId="5A59121D" w:rsidR="00267689" w:rsidRDefault="00267689" w:rsidP="00984A0D">
            <w:pPr>
              <w:rPr>
                <w:rFonts w:eastAsia="Times New Roman"/>
                <w:b/>
                <w:bCs/>
                <w:u w:val="single"/>
              </w:rPr>
            </w:pPr>
            <w:r>
              <w:rPr>
                <w:rFonts w:eastAsia="Times New Roman"/>
                <w:lang w:val="fr-BE"/>
              </w:rPr>
              <w:t xml:space="preserve">100 000 – 250 000 </w:t>
            </w:r>
          </w:p>
        </w:tc>
        <w:tc>
          <w:tcPr>
            <w:tcW w:w="2089" w:type="dxa"/>
          </w:tcPr>
          <w:p w14:paraId="1B105E04" w14:textId="2E2C17A4" w:rsidR="00267689" w:rsidRPr="00A94382" w:rsidRDefault="00267689" w:rsidP="00984A0D">
            <w:pPr>
              <w:rPr>
                <w:rFonts w:eastAsia="Times New Roman"/>
                <w:bCs/>
              </w:rPr>
            </w:pPr>
            <w:r>
              <w:rPr>
                <w:rFonts w:eastAsia="Times New Roman"/>
                <w:bCs/>
              </w:rPr>
              <w:t>600</w:t>
            </w:r>
          </w:p>
        </w:tc>
        <w:tc>
          <w:tcPr>
            <w:tcW w:w="2182" w:type="dxa"/>
          </w:tcPr>
          <w:p w14:paraId="35FE9404" w14:textId="04408C97" w:rsidR="00267689" w:rsidRPr="00A94382" w:rsidRDefault="00267689" w:rsidP="00984A0D">
            <w:pPr>
              <w:rPr>
                <w:rFonts w:eastAsia="Times New Roman"/>
                <w:bCs/>
              </w:rPr>
            </w:pPr>
            <w:r>
              <w:rPr>
                <w:rFonts w:eastAsia="Times New Roman"/>
                <w:bCs/>
              </w:rPr>
              <w:t>400</w:t>
            </w:r>
          </w:p>
        </w:tc>
        <w:tc>
          <w:tcPr>
            <w:tcW w:w="1276" w:type="dxa"/>
          </w:tcPr>
          <w:p w14:paraId="278E0A69" w14:textId="3974A2FE" w:rsidR="00267689" w:rsidRPr="00A94382" w:rsidRDefault="00267689" w:rsidP="00984A0D">
            <w:pPr>
              <w:rPr>
                <w:rFonts w:eastAsia="Times New Roman"/>
                <w:bCs/>
              </w:rPr>
            </w:pPr>
            <w:r>
              <w:rPr>
                <w:rFonts w:eastAsia="Times New Roman"/>
                <w:bCs/>
              </w:rPr>
              <w:t>1000</w:t>
            </w:r>
          </w:p>
        </w:tc>
        <w:tc>
          <w:tcPr>
            <w:tcW w:w="2086" w:type="dxa"/>
          </w:tcPr>
          <w:p w14:paraId="3A08F77E" w14:textId="244DA3D8" w:rsidR="00267689" w:rsidRDefault="00267689" w:rsidP="00984A0D">
            <w:pPr>
              <w:rPr>
                <w:rFonts w:eastAsia="Times New Roman"/>
                <w:bCs/>
              </w:rPr>
            </w:pPr>
            <w:r>
              <w:rPr>
                <w:rFonts w:eastAsia="Times New Roman"/>
                <w:bCs/>
              </w:rPr>
              <w:t>9</w:t>
            </w:r>
          </w:p>
        </w:tc>
      </w:tr>
      <w:tr w:rsidR="00267689" w14:paraId="38BD6C65" w14:textId="050B817B" w:rsidTr="00267689">
        <w:tc>
          <w:tcPr>
            <w:tcW w:w="2103" w:type="dxa"/>
          </w:tcPr>
          <w:p w14:paraId="30478009" w14:textId="1A30C452" w:rsidR="00267689" w:rsidRDefault="00267689" w:rsidP="00984A0D">
            <w:pPr>
              <w:rPr>
                <w:rFonts w:eastAsia="Times New Roman"/>
                <w:b/>
                <w:bCs/>
                <w:u w:val="single"/>
              </w:rPr>
            </w:pPr>
            <w:r>
              <w:rPr>
                <w:rFonts w:eastAsia="Times New Roman"/>
                <w:lang w:val="fr-BE"/>
              </w:rPr>
              <w:t>250 000 – 500 000</w:t>
            </w:r>
          </w:p>
        </w:tc>
        <w:tc>
          <w:tcPr>
            <w:tcW w:w="2089" w:type="dxa"/>
          </w:tcPr>
          <w:p w14:paraId="5F36AA03" w14:textId="6F2781D5" w:rsidR="00267689" w:rsidRPr="00A94382" w:rsidRDefault="00267689" w:rsidP="00984A0D">
            <w:pPr>
              <w:rPr>
                <w:rFonts w:eastAsia="Times New Roman"/>
                <w:bCs/>
              </w:rPr>
            </w:pPr>
            <w:r>
              <w:rPr>
                <w:rFonts w:eastAsia="Times New Roman"/>
                <w:bCs/>
              </w:rPr>
              <w:t>600</w:t>
            </w:r>
          </w:p>
        </w:tc>
        <w:tc>
          <w:tcPr>
            <w:tcW w:w="2182" w:type="dxa"/>
          </w:tcPr>
          <w:p w14:paraId="42079A76" w14:textId="753A90A1" w:rsidR="00267689" w:rsidRPr="00A94382" w:rsidRDefault="00267689" w:rsidP="00984A0D">
            <w:pPr>
              <w:rPr>
                <w:rFonts w:eastAsia="Times New Roman"/>
                <w:bCs/>
              </w:rPr>
            </w:pPr>
            <w:r>
              <w:rPr>
                <w:rFonts w:eastAsia="Times New Roman"/>
                <w:bCs/>
              </w:rPr>
              <w:t>1200</w:t>
            </w:r>
          </w:p>
        </w:tc>
        <w:tc>
          <w:tcPr>
            <w:tcW w:w="1276" w:type="dxa"/>
          </w:tcPr>
          <w:p w14:paraId="1286C826" w14:textId="5529D4FE" w:rsidR="00267689" w:rsidRPr="00A94382" w:rsidRDefault="00267689" w:rsidP="00984A0D">
            <w:pPr>
              <w:rPr>
                <w:rFonts w:eastAsia="Times New Roman"/>
                <w:bCs/>
              </w:rPr>
            </w:pPr>
            <w:r>
              <w:rPr>
                <w:rFonts w:eastAsia="Times New Roman"/>
                <w:bCs/>
              </w:rPr>
              <w:t>1800</w:t>
            </w:r>
          </w:p>
        </w:tc>
        <w:tc>
          <w:tcPr>
            <w:tcW w:w="2086" w:type="dxa"/>
          </w:tcPr>
          <w:p w14:paraId="257303F5" w14:textId="1BC6AD8D" w:rsidR="00267689" w:rsidRDefault="00267689" w:rsidP="00984A0D">
            <w:pPr>
              <w:rPr>
                <w:rFonts w:eastAsia="Times New Roman"/>
                <w:bCs/>
              </w:rPr>
            </w:pPr>
            <w:r>
              <w:rPr>
                <w:rFonts w:eastAsia="Times New Roman"/>
                <w:bCs/>
              </w:rPr>
              <w:t>7</w:t>
            </w:r>
          </w:p>
        </w:tc>
      </w:tr>
      <w:tr w:rsidR="00267689" w14:paraId="22FD3269" w14:textId="486B914A" w:rsidTr="00267689">
        <w:tc>
          <w:tcPr>
            <w:tcW w:w="2103" w:type="dxa"/>
          </w:tcPr>
          <w:p w14:paraId="55F43C20" w14:textId="5417C24D" w:rsidR="00267689" w:rsidRDefault="00267689" w:rsidP="00984A0D">
            <w:pPr>
              <w:rPr>
                <w:rFonts w:eastAsia="Times New Roman"/>
                <w:b/>
                <w:bCs/>
                <w:u w:val="single"/>
              </w:rPr>
            </w:pPr>
            <w:r>
              <w:rPr>
                <w:rFonts w:eastAsia="Times New Roman"/>
                <w:lang w:val="fr-BE"/>
              </w:rPr>
              <w:t>500 000 – 1 million</w:t>
            </w:r>
          </w:p>
        </w:tc>
        <w:tc>
          <w:tcPr>
            <w:tcW w:w="2089" w:type="dxa"/>
          </w:tcPr>
          <w:p w14:paraId="5CF1042A" w14:textId="1C3F35A0" w:rsidR="00267689" w:rsidRPr="00A94382" w:rsidRDefault="00267689" w:rsidP="00984A0D">
            <w:pPr>
              <w:rPr>
                <w:rFonts w:eastAsia="Times New Roman"/>
                <w:bCs/>
              </w:rPr>
            </w:pPr>
            <w:r>
              <w:rPr>
                <w:rFonts w:eastAsia="Times New Roman"/>
                <w:bCs/>
              </w:rPr>
              <w:t>600</w:t>
            </w:r>
          </w:p>
        </w:tc>
        <w:tc>
          <w:tcPr>
            <w:tcW w:w="2182" w:type="dxa"/>
          </w:tcPr>
          <w:p w14:paraId="15B384E0" w14:textId="73EFA509" w:rsidR="00267689" w:rsidRPr="00A94382" w:rsidRDefault="00267689" w:rsidP="00984A0D">
            <w:pPr>
              <w:rPr>
                <w:rFonts w:eastAsia="Times New Roman"/>
                <w:bCs/>
              </w:rPr>
            </w:pPr>
            <w:r>
              <w:rPr>
                <w:rFonts w:eastAsia="Times New Roman"/>
                <w:bCs/>
              </w:rPr>
              <w:t>1600</w:t>
            </w:r>
            <w:r w:rsidRPr="00A94382">
              <w:rPr>
                <w:rFonts w:eastAsia="Times New Roman"/>
                <w:bCs/>
              </w:rPr>
              <w:t xml:space="preserve"> </w:t>
            </w:r>
          </w:p>
        </w:tc>
        <w:tc>
          <w:tcPr>
            <w:tcW w:w="1276" w:type="dxa"/>
          </w:tcPr>
          <w:p w14:paraId="70733E02" w14:textId="69C32C36" w:rsidR="00267689" w:rsidRPr="00A94382" w:rsidRDefault="00267689" w:rsidP="00984A0D">
            <w:pPr>
              <w:rPr>
                <w:rFonts w:eastAsia="Times New Roman"/>
                <w:bCs/>
              </w:rPr>
            </w:pPr>
            <w:r>
              <w:rPr>
                <w:rFonts w:eastAsia="Times New Roman"/>
                <w:bCs/>
              </w:rPr>
              <w:t>2200</w:t>
            </w:r>
          </w:p>
        </w:tc>
        <w:tc>
          <w:tcPr>
            <w:tcW w:w="2086" w:type="dxa"/>
          </w:tcPr>
          <w:p w14:paraId="61B1A211" w14:textId="2FFCC753" w:rsidR="00267689" w:rsidRDefault="00267689" w:rsidP="00984A0D">
            <w:pPr>
              <w:rPr>
                <w:rFonts w:eastAsia="Times New Roman"/>
                <w:bCs/>
              </w:rPr>
            </w:pPr>
            <w:r>
              <w:rPr>
                <w:rFonts w:eastAsia="Times New Roman"/>
                <w:bCs/>
              </w:rPr>
              <w:t>?</w:t>
            </w:r>
          </w:p>
        </w:tc>
      </w:tr>
      <w:tr w:rsidR="00267689" w14:paraId="5194B66B" w14:textId="76A34C60" w:rsidTr="00267689">
        <w:tc>
          <w:tcPr>
            <w:tcW w:w="2103" w:type="dxa"/>
          </w:tcPr>
          <w:p w14:paraId="66839FFD" w14:textId="24CF3F5B" w:rsidR="00267689" w:rsidRDefault="00267689" w:rsidP="00984A0D">
            <w:pPr>
              <w:rPr>
                <w:rFonts w:eastAsia="Times New Roman"/>
                <w:b/>
                <w:bCs/>
                <w:u w:val="single"/>
              </w:rPr>
            </w:pPr>
            <w:r>
              <w:rPr>
                <w:rFonts w:eastAsia="Times New Roman"/>
                <w:lang w:val="fr-BE"/>
              </w:rPr>
              <w:t xml:space="preserve">1 million + </w:t>
            </w:r>
          </w:p>
        </w:tc>
        <w:tc>
          <w:tcPr>
            <w:tcW w:w="2089" w:type="dxa"/>
          </w:tcPr>
          <w:p w14:paraId="2FEC4C26" w14:textId="28E652B5" w:rsidR="00267689" w:rsidRPr="00A94382" w:rsidRDefault="00267689" w:rsidP="00984A0D">
            <w:pPr>
              <w:rPr>
                <w:rFonts w:eastAsia="Times New Roman"/>
                <w:bCs/>
              </w:rPr>
            </w:pPr>
            <w:r>
              <w:rPr>
                <w:rFonts w:eastAsia="Times New Roman"/>
                <w:bCs/>
              </w:rPr>
              <w:t>600</w:t>
            </w:r>
          </w:p>
        </w:tc>
        <w:tc>
          <w:tcPr>
            <w:tcW w:w="2182" w:type="dxa"/>
          </w:tcPr>
          <w:p w14:paraId="629D8F70" w14:textId="1C4A5DE3" w:rsidR="00267689" w:rsidRPr="00A94382" w:rsidRDefault="00267689" w:rsidP="00984A0D">
            <w:pPr>
              <w:rPr>
                <w:rFonts w:eastAsia="Times New Roman"/>
                <w:bCs/>
              </w:rPr>
            </w:pPr>
            <w:r>
              <w:rPr>
                <w:rFonts w:eastAsia="Times New Roman"/>
                <w:bCs/>
              </w:rPr>
              <w:t>2200</w:t>
            </w:r>
          </w:p>
        </w:tc>
        <w:tc>
          <w:tcPr>
            <w:tcW w:w="1276" w:type="dxa"/>
          </w:tcPr>
          <w:p w14:paraId="07587FC3" w14:textId="58208DE0" w:rsidR="00267689" w:rsidRPr="00A94382" w:rsidRDefault="00267689" w:rsidP="00984A0D">
            <w:pPr>
              <w:rPr>
                <w:rFonts w:eastAsia="Times New Roman"/>
                <w:bCs/>
              </w:rPr>
            </w:pPr>
            <w:r>
              <w:rPr>
                <w:rFonts w:eastAsia="Times New Roman"/>
                <w:bCs/>
              </w:rPr>
              <w:t>2800</w:t>
            </w:r>
          </w:p>
        </w:tc>
        <w:tc>
          <w:tcPr>
            <w:tcW w:w="2086" w:type="dxa"/>
          </w:tcPr>
          <w:p w14:paraId="71B5F5C9" w14:textId="5193523C" w:rsidR="00267689" w:rsidRDefault="00267689" w:rsidP="00984A0D">
            <w:pPr>
              <w:rPr>
                <w:rFonts w:eastAsia="Times New Roman"/>
                <w:bCs/>
              </w:rPr>
            </w:pPr>
            <w:r>
              <w:rPr>
                <w:rFonts w:eastAsia="Times New Roman"/>
                <w:bCs/>
              </w:rPr>
              <w:t>2</w:t>
            </w:r>
          </w:p>
        </w:tc>
      </w:tr>
    </w:tbl>
    <w:p w14:paraId="279D460F" w14:textId="3B2A629F" w:rsidR="00A94382" w:rsidRDefault="00260B52" w:rsidP="00A94382">
      <w:pPr>
        <w:rPr>
          <w:rFonts w:eastAsia="Times New Roman"/>
          <w:b/>
          <w:bCs/>
          <w:u w:val="single"/>
        </w:rPr>
      </w:pPr>
      <w:r>
        <w:rPr>
          <w:rFonts w:eastAsia="Times New Roman"/>
          <w:b/>
          <w:bCs/>
          <w:u w:val="single"/>
        </w:rPr>
        <w:br/>
      </w:r>
      <w:r w:rsidRPr="00260B52">
        <w:rPr>
          <w:rFonts w:eastAsia="Times New Roman"/>
          <w:b/>
          <w:bCs/>
          <w:u w:val="single"/>
        </w:rPr>
        <w:t>Exceptions</w:t>
      </w:r>
    </w:p>
    <w:p w14:paraId="411D9814" w14:textId="73E6CA39" w:rsidR="005D1233" w:rsidRDefault="00260B52">
      <w:pPr>
        <w:rPr>
          <w:rFonts w:eastAsia="Times New Roman"/>
          <w:bCs/>
        </w:rPr>
      </w:pPr>
      <w:r>
        <w:rPr>
          <w:rFonts w:eastAsia="Times New Roman"/>
          <w:bCs/>
        </w:rPr>
        <w:t xml:space="preserve">The Bureau recognises that some members may want to pay, but simply be unable to do so. This is a different case to members who do not pay and do not communicate that they will not pay. </w:t>
      </w:r>
      <w:r w:rsidR="007B45E9">
        <w:rPr>
          <w:rFonts w:eastAsia="Times New Roman"/>
          <w:bCs/>
        </w:rPr>
        <w:t xml:space="preserve">The </w:t>
      </w:r>
      <w:r>
        <w:rPr>
          <w:rFonts w:eastAsia="Times New Roman"/>
          <w:bCs/>
        </w:rPr>
        <w:t>Bureau will put in place clear criteria and a clear process to deal with situations where members cannot / do not pay.</w:t>
      </w:r>
    </w:p>
    <w:p w14:paraId="67EBC739" w14:textId="77777777" w:rsidR="007B45E9" w:rsidRDefault="007B45E9" w:rsidP="0015504E">
      <w:pPr>
        <w:spacing w:line="240" w:lineRule="auto"/>
        <w:rPr>
          <w:b/>
          <w:bCs/>
          <w:u w:val="single"/>
          <w:lang w:val="en-US"/>
        </w:rPr>
      </w:pPr>
    </w:p>
    <w:p w14:paraId="46F3A40B" w14:textId="77777777" w:rsidR="007B45E9" w:rsidRDefault="007B45E9" w:rsidP="0015504E">
      <w:pPr>
        <w:spacing w:line="240" w:lineRule="auto"/>
        <w:rPr>
          <w:b/>
          <w:bCs/>
          <w:u w:val="single"/>
          <w:lang w:val="en-US"/>
        </w:rPr>
      </w:pPr>
    </w:p>
    <w:p w14:paraId="6A7D323F" w14:textId="5B46D203" w:rsidR="0015504E" w:rsidRPr="0015504E" w:rsidRDefault="007B45E9" w:rsidP="0015504E">
      <w:pPr>
        <w:spacing w:line="240" w:lineRule="auto"/>
        <w:rPr>
          <w:b/>
          <w:bCs/>
          <w:u w:val="single"/>
          <w:lang w:val="en-US"/>
        </w:rPr>
      </w:pPr>
      <w:r>
        <w:rPr>
          <w:b/>
          <w:bCs/>
          <w:u w:val="single"/>
          <w:lang w:val="en-US"/>
        </w:rPr>
        <w:lastRenderedPageBreak/>
        <w:t>P</w:t>
      </w:r>
      <w:r w:rsidR="0015504E" w:rsidRPr="0015504E">
        <w:rPr>
          <w:b/>
          <w:bCs/>
          <w:u w:val="single"/>
          <w:lang w:val="en-US"/>
        </w:rPr>
        <w:t>roposal</w:t>
      </w:r>
      <w:r>
        <w:rPr>
          <w:b/>
          <w:bCs/>
          <w:u w:val="single"/>
          <w:lang w:val="en-US"/>
        </w:rPr>
        <w:t xml:space="preserve"> 2: Symbolism and Solidarity </w:t>
      </w:r>
    </w:p>
    <w:p w14:paraId="2484213C" w14:textId="4B654BD5" w:rsidR="0015504E" w:rsidRDefault="0015504E" w:rsidP="0015504E">
      <w:pPr>
        <w:spacing w:line="240" w:lineRule="auto"/>
        <w:rPr>
          <w:lang w:val="en-US"/>
        </w:rPr>
      </w:pPr>
      <w:r>
        <w:rPr>
          <w:lang w:val="en-US"/>
        </w:rPr>
        <w:t xml:space="preserve">This proposal aims to enable all national networks to pay a symbolic fee, and </w:t>
      </w:r>
      <w:r w:rsidR="003F430B">
        <w:rPr>
          <w:lang w:val="en-US"/>
        </w:rPr>
        <w:t>EO</w:t>
      </w:r>
      <w:r>
        <w:rPr>
          <w:lang w:val="en-US"/>
        </w:rPr>
        <w:t>s to express solidarity by paying more.</w:t>
      </w:r>
      <w:r w:rsidR="00155FA7">
        <w:rPr>
          <w:lang w:val="en-US"/>
        </w:rPr>
        <w:t xml:space="preserve"> All </w:t>
      </w:r>
      <w:r w:rsidR="00B76882" w:rsidRPr="00FF5667">
        <w:rPr>
          <w:b/>
          <w:bCs/>
          <w:lang w:val="en-US"/>
        </w:rPr>
        <w:t>N</w:t>
      </w:r>
      <w:r w:rsidR="00155FA7" w:rsidRPr="00FF5667">
        <w:rPr>
          <w:b/>
          <w:bCs/>
          <w:lang w:val="en-US"/>
        </w:rPr>
        <w:t xml:space="preserve">ational </w:t>
      </w:r>
      <w:r w:rsidR="00B76882" w:rsidRPr="00FF5667">
        <w:rPr>
          <w:b/>
          <w:bCs/>
          <w:lang w:val="en-US"/>
        </w:rPr>
        <w:t>N</w:t>
      </w:r>
      <w:r w:rsidR="00155FA7" w:rsidRPr="00FF5667">
        <w:rPr>
          <w:b/>
          <w:bCs/>
          <w:lang w:val="en-US"/>
        </w:rPr>
        <w:t>etworks</w:t>
      </w:r>
      <w:r w:rsidR="00155FA7">
        <w:rPr>
          <w:lang w:val="en-US"/>
        </w:rPr>
        <w:t xml:space="preserve"> have a membership fee of </w:t>
      </w:r>
      <w:r w:rsidR="00155FA7" w:rsidRPr="00FF5667">
        <w:rPr>
          <w:b/>
          <w:bCs/>
          <w:lang w:val="en-US"/>
        </w:rPr>
        <w:t>300</w:t>
      </w:r>
      <w:r w:rsidR="00B76882" w:rsidRPr="00FF5667">
        <w:rPr>
          <w:b/>
          <w:bCs/>
          <w:lang w:val="en-US"/>
        </w:rPr>
        <w:t xml:space="preserve"> euros</w:t>
      </w:r>
      <w:r w:rsidR="00B76882">
        <w:rPr>
          <w:lang w:val="en-US"/>
        </w:rPr>
        <w:t xml:space="preserve">, therefore, 100 euros per vote. In addition, </w:t>
      </w:r>
      <w:r w:rsidR="003F430B">
        <w:rPr>
          <w:b/>
          <w:bCs/>
          <w:lang w:val="en-US"/>
        </w:rPr>
        <w:t>EO</w:t>
      </w:r>
      <w:r w:rsidR="00B76882" w:rsidRPr="00FF5667">
        <w:rPr>
          <w:b/>
          <w:bCs/>
          <w:lang w:val="en-US"/>
        </w:rPr>
        <w:t>s</w:t>
      </w:r>
      <w:r w:rsidR="00B76882">
        <w:rPr>
          <w:lang w:val="en-US"/>
        </w:rPr>
        <w:t xml:space="preserve"> have a fee of </w:t>
      </w:r>
      <w:r w:rsidR="00B76882" w:rsidRPr="00FF5667">
        <w:rPr>
          <w:b/>
          <w:bCs/>
          <w:lang w:val="en-US"/>
        </w:rPr>
        <w:t>1000 euros</w:t>
      </w:r>
      <w:r w:rsidR="00B76882">
        <w:rPr>
          <w:lang w:val="en-US"/>
        </w:rPr>
        <w:t>.</w:t>
      </w:r>
      <w:r>
        <w:rPr>
          <w:lang w:val="en-US"/>
        </w:rPr>
        <w:t xml:space="preserve"> </w:t>
      </w:r>
      <w:r w:rsidR="00B76882">
        <w:rPr>
          <w:lang w:val="en-US"/>
        </w:rPr>
        <w:t>T</w:t>
      </w:r>
      <w:r>
        <w:rPr>
          <w:lang w:val="en-US"/>
        </w:rPr>
        <w:t xml:space="preserve">he networks that may encounter extreme difficulties may negotiate this participation. </w:t>
      </w:r>
    </w:p>
    <w:p w14:paraId="7B48633C" w14:textId="54E5DCFC" w:rsidR="0015504E" w:rsidRPr="0015504E" w:rsidRDefault="007B45E9" w:rsidP="0015504E">
      <w:pPr>
        <w:spacing w:line="240" w:lineRule="auto"/>
        <w:rPr>
          <w:b/>
          <w:bCs/>
          <w:u w:val="single"/>
          <w:lang w:val="en-US"/>
        </w:rPr>
      </w:pPr>
      <w:r>
        <w:rPr>
          <w:b/>
          <w:bCs/>
          <w:u w:val="single"/>
          <w:lang w:val="en-US"/>
        </w:rPr>
        <w:t>Proposal 3: Baseline and Solidarity</w:t>
      </w:r>
    </w:p>
    <w:p w14:paraId="38945BAA" w14:textId="0F07DAC9" w:rsidR="00FF5667" w:rsidRDefault="0015504E" w:rsidP="0015504E">
      <w:pPr>
        <w:spacing w:line="240" w:lineRule="auto"/>
        <w:rPr>
          <w:lang w:val="en-US"/>
        </w:rPr>
      </w:pPr>
      <w:r>
        <w:rPr>
          <w:lang w:val="en-US"/>
        </w:rPr>
        <w:t xml:space="preserve">This proposal aims to establish a clear baseline fee, to allow the wealthier networks to express their solidarity by paying more, and to keep the </w:t>
      </w:r>
      <w:r w:rsidR="003F430B">
        <w:rPr>
          <w:lang w:val="en-US"/>
        </w:rPr>
        <w:t>EO</w:t>
      </w:r>
      <w:r>
        <w:rPr>
          <w:lang w:val="en-US"/>
        </w:rPr>
        <w:t xml:space="preserve">s onboard by having the same fee as the </w:t>
      </w:r>
      <w:r w:rsidR="005E5EAD">
        <w:rPr>
          <w:lang w:val="en-US"/>
        </w:rPr>
        <w:t>N</w:t>
      </w:r>
      <w:r>
        <w:rPr>
          <w:lang w:val="en-US"/>
        </w:rPr>
        <w:t xml:space="preserve">ational </w:t>
      </w:r>
      <w:r w:rsidR="005E5EAD">
        <w:rPr>
          <w:lang w:val="en-US"/>
        </w:rPr>
        <w:t>N</w:t>
      </w:r>
      <w:r>
        <w:rPr>
          <w:lang w:val="en-US"/>
        </w:rPr>
        <w:t>etworks.</w:t>
      </w:r>
      <w:r w:rsidR="00B76882">
        <w:rPr>
          <w:lang w:val="en-US"/>
        </w:rPr>
        <w:t xml:space="preserve"> </w:t>
      </w:r>
    </w:p>
    <w:p w14:paraId="6C7E649C" w14:textId="2947FD24" w:rsidR="00E432A5" w:rsidRPr="0015504E" w:rsidRDefault="00B76882" w:rsidP="0015504E">
      <w:pPr>
        <w:spacing w:line="240" w:lineRule="auto"/>
        <w:rPr>
          <w:lang w:val="en-US"/>
        </w:rPr>
      </w:pPr>
      <w:r w:rsidRPr="00FF5667">
        <w:rPr>
          <w:b/>
          <w:bCs/>
          <w:lang w:val="en-US"/>
        </w:rPr>
        <w:t xml:space="preserve">National Networks </w:t>
      </w:r>
      <w:r w:rsidRPr="00FF5667">
        <w:rPr>
          <w:lang w:val="en-US"/>
        </w:rPr>
        <w:t>have a basic membership fee of</w:t>
      </w:r>
      <w:r w:rsidRPr="00FF5667">
        <w:rPr>
          <w:b/>
          <w:bCs/>
          <w:lang w:val="en-US"/>
        </w:rPr>
        <w:t xml:space="preserve"> 450 euros,</w:t>
      </w:r>
      <w:r>
        <w:rPr>
          <w:lang w:val="en-US"/>
        </w:rPr>
        <w:t xml:space="preserve"> therefore, 150 euros per vote. </w:t>
      </w:r>
      <w:r w:rsidRPr="00FF5667">
        <w:rPr>
          <w:b/>
          <w:bCs/>
          <w:lang w:val="en-US"/>
        </w:rPr>
        <w:t>A higher fee of 900 euros applies to self-selecting National Networks who say they can pay 900 euros</w:t>
      </w:r>
      <w:r>
        <w:rPr>
          <w:lang w:val="en-US"/>
        </w:rPr>
        <w:t>.</w:t>
      </w:r>
      <w:r w:rsidR="00756DDE">
        <w:rPr>
          <w:lang w:val="en-US"/>
        </w:rPr>
        <w:t xml:space="preserve"> Members who can maintain a higher fee level are encouraged to do so. </w:t>
      </w:r>
      <w:r w:rsidR="00351158">
        <w:rPr>
          <w:lang w:val="en-US"/>
        </w:rPr>
        <w:t xml:space="preserve">In addition, </w:t>
      </w:r>
      <w:r w:rsidR="003F430B">
        <w:rPr>
          <w:b/>
          <w:bCs/>
          <w:lang w:val="en-US"/>
        </w:rPr>
        <w:t>EO</w:t>
      </w:r>
      <w:r w:rsidR="00351158" w:rsidRPr="00FF5667">
        <w:rPr>
          <w:b/>
          <w:bCs/>
          <w:lang w:val="en-US"/>
        </w:rPr>
        <w:t xml:space="preserve">s </w:t>
      </w:r>
      <w:r w:rsidR="00351158" w:rsidRPr="00FF5667">
        <w:rPr>
          <w:lang w:val="en-US"/>
        </w:rPr>
        <w:t>also have a fee</w:t>
      </w:r>
      <w:r w:rsidR="00351158" w:rsidRPr="00FF5667">
        <w:rPr>
          <w:b/>
          <w:bCs/>
          <w:lang w:val="en-US"/>
        </w:rPr>
        <w:t xml:space="preserve"> of 450 euros.</w:t>
      </w:r>
      <w:r w:rsidR="00351158">
        <w:rPr>
          <w:lang w:val="en-US"/>
        </w:rPr>
        <w:t xml:space="preserve"> </w:t>
      </w:r>
      <w:r w:rsidR="0015504E">
        <w:rPr>
          <w:lang w:val="en-US"/>
        </w:rPr>
        <w:t>In the</w:t>
      </w:r>
      <w:r w:rsidR="00756DDE">
        <w:rPr>
          <w:lang w:val="en-US"/>
        </w:rPr>
        <w:t xml:space="preserve"> possible</w:t>
      </w:r>
      <w:r w:rsidR="0015504E">
        <w:rPr>
          <w:lang w:val="en-US"/>
        </w:rPr>
        <w:t xml:space="preserve"> case of </w:t>
      </w:r>
      <w:r w:rsidR="003F430B">
        <w:rPr>
          <w:lang w:val="en-US"/>
        </w:rPr>
        <w:t>EO</w:t>
      </w:r>
      <w:r w:rsidR="0015504E">
        <w:rPr>
          <w:lang w:val="en-US"/>
        </w:rPr>
        <w:t xml:space="preserve">s wanting to pay more, they are more than welcome to. </w:t>
      </w:r>
    </w:p>
    <w:p w14:paraId="6FB578E7" w14:textId="1FEC1993" w:rsidR="0015504E" w:rsidRDefault="00E432A5">
      <w:pPr>
        <w:rPr>
          <w:rFonts w:eastAsia="Times New Roman"/>
          <w:b/>
          <w:u w:val="single"/>
        </w:rPr>
      </w:pPr>
      <w:r w:rsidRPr="00E432A5">
        <w:rPr>
          <w:rFonts w:eastAsia="Times New Roman"/>
          <w:b/>
          <w:u w:val="single"/>
        </w:rPr>
        <w:t xml:space="preserve">Comparing the three proposals </w:t>
      </w:r>
    </w:p>
    <w:tbl>
      <w:tblPr>
        <w:tblStyle w:val="TableGrid"/>
        <w:tblW w:w="10065" w:type="dxa"/>
        <w:tblInd w:w="-5" w:type="dxa"/>
        <w:tblLook w:val="04A0" w:firstRow="1" w:lastRow="0" w:firstColumn="1" w:lastColumn="0" w:noHBand="0" w:noVBand="1"/>
      </w:tblPr>
      <w:tblGrid>
        <w:gridCol w:w="2852"/>
        <w:gridCol w:w="2281"/>
        <w:gridCol w:w="2281"/>
        <w:gridCol w:w="2651"/>
      </w:tblGrid>
      <w:tr w:rsidR="00E432A5" w14:paraId="1E8B42F9" w14:textId="77777777" w:rsidTr="003F430B">
        <w:trPr>
          <w:trHeight w:val="652"/>
        </w:trPr>
        <w:tc>
          <w:tcPr>
            <w:tcW w:w="2852" w:type="dxa"/>
          </w:tcPr>
          <w:p w14:paraId="618D726A" w14:textId="77777777" w:rsidR="00E432A5" w:rsidRDefault="00E432A5" w:rsidP="00602CE3">
            <w:pPr>
              <w:rPr>
                <w:lang w:val="en-US"/>
              </w:rPr>
            </w:pPr>
          </w:p>
        </w:tc>
        <w:tc>
          <w:tcPr>
            <w:tcW w:w="2281" w:type="dxa"/>
            <w:shd w:val="clear" w:color="auto" w:fill="E7E6E6" w:themeFill="background2"/>
          </w:tcPr>
          <w:p w14:paraId="0A6B38C9" w14:textId="77777777" w:rsidR="00E432A5" w:rsidRPr="005C3337" w:rsidRDefault="00E432A5" w:rsidP="00602CE3">
            <w:pPr>
              <w:rPr>
                <w:u w:val="single"/>
                <w:lang w:val="en-US"/>
              </w:rPr>
            </w:pPr>
          </w:p>
          <w:p w14:paraId="4E6E2D31" w14:textId="77777777" w:rsidR="00E432A5" w:rsidRPr="005C3337" w:rsidRDefault="00E432A5" w:rsidP="00602CE3">
            <w:pPr>
              <w:jc w:val="center"/>
              <w:rPr>
                <w:b/>
                <w:bCs/>
                <w:u w:val="single"/>
                <w:lang w:val="en-US"/>
              </w:rPr>
            </w:pPr>
            <w:r w:rsidRPr="005C3337">
              <w:rPr>
                <w:b/>
                <w:bCs/>
                <w:u w:val="single"/>
                <w:lang w:val="en-US"/>
              </w:rPr>
              <w:t>Proposal 1</w:t>
            </w:r>
          </w:p>
        </w:tc>
        <w:tc>
          <w:tcPr>
            <w:tcW w:w="2281" w:type="dxa"/>
            <w:shd w:val="clear" w:color="auto" w:fill="D0CECE" w:themeFill="background2" w:themeFillShade="E6"/>
          </w:tcPr>
          <w:p w14:paraId="73C89726" w14:textId="77777777" w:rsidR="00E432A5" w:rsidRPr="005C3337" w:rsidRDefault="00E432A5" w:rsidP="00602CE3">
            <w:pPr>
              <w:rPr>
                <w:u w:val="single"/>
                <w:lang w:val="en-US"/>
              </w:rPr>
            </w:pPr>
          </w:p>
          <w:p w14:paraId="715B91A6" w14:textId="77777777" w:rsidR="00E432A5" w:rsidRPr="005C3337" w:rsidRDefault="00E432A5" w:rsidP="00602CE3">
            <w:pPr>
              <w:jc w:val="center"/>
              <w:rPr>
                <w:b/>
                <w:bCs/>
                <w:u w:val="single"/>
                <w:lang w:val="en-US"/>
              </w:rPr>
            </w:pPr>
            <w:r w:rsidRPr="005C3337">
              <w:rPr>
                <w:b/>
                <w:bCs/>
                <w:u w:val="single"/>
                <w:lang w:val="en-US"/>
              </w:rPr>
              <w:t>Proposal 2</w:t>
            </w:r>
          </w:p>
        </w:tc>
        <w:tc>
          <w:tcPr>
            <w:tcW w:w="2651" w:type="dxa"/>
            <w:shd w:val="clear" w:color="auto" w:fill="BFBFBF" w:themeFill="background1" w:themeFillShade="BF"/>
          </w:tcPr>
          <w:p w14:paraId="60EF8F74" w14:textId="77777777" w:rsidR="00E432A5" w:rsidRPr="005C3337" w:rsidRDefault="00E432A5" w:rsidP="00602CE3">
            <w:pPr>
              <w:rPr>
                <w:u w:val="single"/>
                <w:lang w:val="en-US"/>
              </w:rPr>
            </w:pPr>
          </w:p>
          <w:p w14:paraId="615F429C" w14:textId="77777777" w:rsidR="00E432A5" w:rsidRPr="005C3337" w:rsidRDefault="00E432A5" w:rsidP="00602CE3">
            <w:pPr>
              <w:jc w:val="center"/>
              <w:rPr>
                <w:b/>
                <w:bCs/>
                <w:u w:val="single"/>
                <w:lang w:val="en-US"/>
              </w:rPr>
            </w:pPr>
            <w:r w:rsidRPr="005C3337">
              <w:rPr>
                <w:b/>
                <w:bCs/>
                <w:u w:val="single"/>
                <w:lang w:val="en-US"/>
              </w:rPr>
              <w:t>Proposal 3</w:t>
            </w:r>
          </w:p>
        </w:tc>
      </w:tr>
      <w:tr w:rsidR="00E432A5" w14:paraId="1B1A692A" w14:textId="77777777" w:rsidTr="003F430B">
        <w:trPr>
          <w:trHeight w:val="615"/>
        </w:trPr>
        <w:tc>
          <w:tcPr>
            <w:tcW w:w="2852" w:type="dxa"/>
            <w:shd w:val="clear" w:color="auto" w:fill="FFFFFF" w:themeFill="background1"/>
          </w:tcPr>
          <w:p w14:paraId="5F951E4D" w14:textId="77777777" w:rsidR="00E432A5" w:rsidRPr="00E57A5F" w:rsidRDefault="00E432A5" w:rsidP="00602CE3">
            <w:pPr>
              <w:rPr>
                <w:b/>
                <w:bCs/>
                <w:lang w:val="en-US"/>
              </w:rPr>
            </w:pPr>
            <w:r w:rsidRPr="00E57A5F">
              <w:rPr>
                <w:b/>
                <w:bCs/>
                <w:lang w:val="en-US"/>
              </w:rPr>
              <w:t>Basic Membership Fee:</w:t>
            </w:r>
          </w:p>
        </w:tc>
        <w:tc>
          <w:tcPr>
            <w:tcW w:w="2281" w:type="dxa"/>
            <w:shd w:val="clear" w:color="auto" w:fill="E7E6E6" w:themeFill="background2"/>
          </w:tcPr>
          <w:p w14:paraId="76B853A0" w14:textId="77777777" w:rsidR="00E432A5" w:rsidRDefault="00E432A5" w:rsidP="00602CE3">
            <w:pPr>
              <w:rPr>
                <w:lang w:val="en-US"/>
              </w:rPr>
            </w:pPr>
            <w:r>
              <w:rPr>
                <w:lang w:val="en-US"/>
              </w:rPr>
              <w:t xml:space="preserve">200 Euros per vote </w:t>
            </w:r>
          </w:p>
          <w:p w14:paraId="186D114C" w14:textId="77777777" w:rsidR="00E432A5" w:rsidRDefault="00E432A5" w:rsidP="00602CE3">
            <w:pPr>
              <w:rPr>
                <w:lang w:val="en-US"/>
              </w:rPr>
            </w:pPr>
            <w:r>
              <w:rPr>
                <w:lang w:val="en-US"/>
              </w:rPr>
              <w:t>(600 Euros total)</w:t>
            </w:r>
          </w:p>
        </w:tc>
        <w:tc>
          <w:tcPr>
            <w:tcW w:w="2281" w:type="dxa"/>
            <w:shd w:val="clear" w:color="auto" w:fill="D0CECE" w:themeFill="background2" w:themeFillShade="E6"/>
          </w:tcPr>
          <w:p w14:paraId="2B3D40F1" w14:textId="77777777" w:rsidR="00E432A5" w:rsidRDefault="00E432A5" w:rsidP="00602CE3">
            <w:pPr>
              <w:rPr>
                <w:lang w:val="en-US"/>
              </w:rPr>
            </w:pPr>
            <w:r>
              <w:rPr>
                <w:lang w:val="en-US"/>
              </w:rPr>
              <w:t xml:space="preserve">100 Euros per vote </w:t>
            </w:r>
          </w:p>
          <w:p w14:paraId="67F11718" w14:textId="77777777" w:rsidR="00E432A5" w:rsidRDefault="00E432A5" w:rsidP="00602CE3">
            <w:pPr>
              <w:rPr>
                <w:lang w:val="en-US"/>
              </w:rPr>
            </w:pPr>
            <w:r>
              <w:rPr>
                <w:lang w:val="en-US"/>
              </w:rPr>
              <w:t>(300 Euros total)</w:t>
            </w:r>
          </w:p>
        </w:tc>
        <w:tc>
          <w:tcPr>
            <w:tcW w:w="2651" w:type="dxa"/>
            <w:shd w:val="clear" w:color="auto" w:fill="BFBFBF" w:themeFill="background1" w:themeFillShade="BF"/>
          </w:tcPr>
          <w:p w14:paraId="270FE0BE" w14:textId="77777777" w:rsidR="00E432A5" w:rsidRDefault="00E432A5" w:rsidP="00602CE3">
            <w:pPr>
              <w:rPr>
                <w:lang w:val="en-US"/>
              </w:rPr>
            </w:pPr>
            <w:r>
              <w:rPr>
                <w:lang w:val="en-US"/>
              </w:rPr>
              <w:t xml:space="preserve">150 Euros per vote </w:t>
            </w:r>
          </w:p>
          <w:p w14:paraId="272D9784" w14:textId="652CDBBC" w:rsidR="00155FA7" w:rsidRPr="004207C9" w:rsidRDefault="00E432A5" w:rsidP="004207C9">
            <w:pPr>
              <w:rPr>
                <w:lang w:val="en-US"/>
              </w:rPr>
            </w:pPr>
            <w:r>
              <w:rPr>
                <w:lang w:val="en-US"/>
              </w:rPr>
              <w:t>(450 Euros total)</w:t>
            </w:r>
          </w:p>
        </w:tc>
      </w:tr>
      <w:tr w:rsidR="00E432A5" w14:paraId="2CD81774" w14:textId="77777777" w:rsidTr="003F430B">
        <w:trPr>
          <w:trHeight w:val="581"/>
        </w:trPr>
        <w:tc>
          <w:tcPr>
            <w:tcW w:w="2852" w:type="dxa"/>
            <w:shd w:val="clear" w:color="auto" w:fill="FFFFFF" w:themeFill="background1"/>
          </w:tcPr>
          <w:p w14:paraId="5F412B4D" w14:textId="65FEC5F4" w:rsidR="00E432A5" w:rsidRPr="00E57A5F" w:rsidRDefault="00155FA7" w:rsidP="00602CE3">
            <w:pPr>
              <w:rPr>
                <w:b/>
                <w:bCs/>
                <w:lang w:val="en-US"/>
              </w:rPr>
            </w:pPr>
            <w:r w:rsidRPr="00E57A5F">
              <w:rPr>
                <w:b/>
                <w:bCs/>
                <w:lang w:val="en-US"/>
              </w:rPr>
              <w:t>Additional Fees:</w:t>
            </w:r>
          </w:p>
        </w:tc>
        <w:tc>
          <w:tcPr>
            <w:tcW w:w="2281" w:type="dxa"/>
            <w:shd w:val="clear" w:color="auto" w:fill="E7E6E6" w:themeFill="background2"/>
          </w:tcPr>
          <w:p w14:paraId="622707E8" w14:textId="38275C05" w:rsidR="00E432A5" w:rsidRDefault="00E432A5" w:rsidP="00602CE3">
            <w:pPr>
              <w:rPr>
                <w:lang w:val="en-US"/>
              </w:rPr>
            </w:pPr>
            <w:r>
              <w:rPr>
                <w:lang w:val="en-US"/>
              </w:rPr>
              <w:t xml:space="preserve">Based on annual income </w:t>
            </w:r>
            <w:r w:rsidR="00155FA7">
              <w:rPr>
                <w:lang w:val="en-US"/>
              </w:rPr>
              <w:t>(see table above)</w:t>
            </w:r>
          </w:p>
        </w:tc>
        <w:tc>
          <w:tcPr>
            <w:tcW w:w="2281" w:type="dxa"/>
            <w:shd w:val="clear" w:color="auto" w:fill="D0CECE" w:themeFill="background2" w:themeFillShade="E6"/>
          </w:tcPr>
          <w:p w14:paraId="7D960473" w14:textId="77777777" w:rsidR="00155FA7" w:rsidRDefault="00155FA7" w:rsidP="00155FA7">
            <w:pPr>
              <w:rPr>
                <w:lang w:val="en-US"/>
              </w:rPr>
            </w:pPr>
          </w:p>
          <w:p w14:paraId="057EB1F7" w14:textId="77777777" w:rsidR="004207C9" w:rsidRDefault="004207C9" w:rsidP="00155FA7">
            <w:pPr>
              <w:jc w:val="center"/>
              <w:rPr>
                <w:lang w:val="en-US"/>
              </w:rPr>
            </w:pPr>
          </w:p>
          <w:p w14:paraId="44CA9E8E" w14:textId="77777777" w:rsidR="004207C9" w:rsidRDefault="004207C9" w:rsidP="00155FA7">
            <w:pPr>
              <w:jc w:val="center"/>
              <w:rPr>
                <w:lang w:val="en-US"/>
              </w:rPr>
            </w:pPr>
          </w:p>
          <w:p w14:paraId="05053CAD" w14:textId="77777777" w:rsidR="004207C9" w:rsidRDefault="004207C9" w:rsidP="00155FA7">
            <w:pPr>
              <w:jc w:val="center"/>
              <w:rPr>
                <w:lang w:val="en-US"/>
              </w:rPr>
            </w:pPr>
          </w:p>
          <w:p w14:paraId="0E672E72" w14:textId="1A76064B" w:rsidR="00E432A5" w:rsidRDefault="004207C9" w:rsidP="004207C9">
            <w:pPr>
              <w:jc w:val="center"/>
              <w:rPr>
                <w:lang w:val="en-US"/>
              </w:rPr>
            </w:pPr>
            <w:r>
              <w:rPr>
                <w:lang w:val="en-US"/>
              </w:rPr>
              <w:t>__</w:t>
            </w:r>
            <w:r w:rsidR="0015504E">
              <w:rPr>
                <w:lang w:val="en-US"/>
              </w:rPr>
              <w:t>_________</w:t>
            </w:r>
          </w:p>
        </w:tc>
        <w:tc>
          <w:tcPr>
            <w:tcW w:w="2651" w:type="dxa"/>
            <w:shd w:val="clear" w:color="auto" w:fill="BFBFBF" w:themeFill="background1" w:themeFillShade="BF"/>
          </w:tcPr>
          <w:p w14:paraId="17768198" w14:textId="77777777" w:rsidR="00E432A5" w:rsidRDefault="00756DDE" w:rsidP="00756DDE">
            <w:pPr>
              <w:rPr>
                <w:lang w:val="en-US"/>
              </w:rPr>
            </w:pPr>
            <w:r>
              <w:rPr>
                <w:lang w:val="en-US"/>
              </w:rPr>
              <w:t xml:space="preserve">900 Euros for national networks who are able to pay more </w:t>
            </w:r>
          </w:p>
          <w:p w14:paraId="276D72C1" w14:textId="069BB16C" w:rsidR="004207C9" w:rsidRPr="004207C9" w:rsidRDefault="004207C9" w:rsidP="004207C9">
            <w:pPr>
              <w:pStyle w:val="ListParagraph"/>
              <w:numPr>
                <w:ilvl w:val="0"/>
                <w:numId w:val="13"/>
              </w:numPr>
              <w:rPr>
                <w:lang w:val="en-US"/>
              </w:rPr>
            </w:pPr>
            <w:r>
              <w:rPr>
                <w:lang w:val="en-US"/>
              </w:rPr>
              <w:t xml:space="preserve">Members who in 2018 are paying a fee more than 900 Euros are invited to keep doing so </w:t>
            </w:r>
          </w:p>
        </w:tc>
      </w:tr>
      <w:tr w:rsidR="00E432A5" w14:paraId="127CE746" w14:textId="77777777" w:rsidTr="003F430B">
        <w:trPr>
          <w:trHeight w:val="541"/>
        </w:trPr>
        <w:tc>
          <w:tcPr>
            <w:tcW w:w="2852" w:type="dxa"/>
            <w:shd w:val="clear" w:color="auto" w:fill="FFFFFF" w:themeFill="background1"/>
          </w:tcPr>
          <w:p w14:paraId="79087F99" w14:textId="77777777" w:rsidR="00E432A5" w:rsidRPr="00E57A5F" w:rsidRDefault="00E432A5" w:rsidP="00602CE3">
            <w:pPr>
              <w:rPr>
                <w:b/>
                <w:bCs/>
                <w:lang w:val="en-US"/>
              </w:rPr>
            </w:pPr>
            <w:r w:rsidRPr="00E57A5F">
              <w:rPr>
                <w:b/>
                <w:bCs/>
                <w:lang w:val="en-US"/>
              </w:rPr>
              <w:t>European Organizations:</w:t>
            </w:r>
          </w:p>
        </w:tc>
        <w:tc>
          <w:tcPr>
            <w:tcW w:w="2281" w:type="dxa"/>
            <w:shd w:val="clear" w:color="auto" w:fill="E7E6E6" w:themeFill="background2"/>
          </w:tcPr>
          <w:p w14:paraId="56141534" w14:textId="5A888580" w:rsidR="00E432A5" w:rsidRDefault="00756DDE" w:rsidP="00756DDE">
            <w:pPr>
              <w:rPr>
                <w:lang w:val="en-US"/>
              </w:rPr>
            </w:pPr>
            <w:r>
              <w:rPr>
                <w:lang w:val="en-US"/>
              </w:rPr>
              <w:t>Based on annual income (see table above)</w:t>
            </w:r>
          </w:p>
        </w:tc>
        <w:tc>
          <w:tcPr>
            <w:tcW w:w="2281" w:type="dxa"/>
            <w:shd w:val="clear" w:color="auto" w:fill="D0CECE" w:themeFill="background2" w:themeFillShade="E6"/>
          </w:tcPr>
          <w:p w14:paraId="5B7E5936" w14:textId="77777777" w:rsidR="00E432A5" w:rsidRDefault="00E432A5" w:rsidP="00602CE3">
            <w:pPr>
              <w:rPr>
                <w:lang w:val="en-US"/>
              </w:rPr>
            </w:pPr>
            <w:r>
              <w:rPr>
                <w:lang w:val="en-US"/>
              </w:rPr>
              <w:t xml:space="preserve">1000 Euros </w:t>
            </w:r>
          </w:p>
        </w:tc>
        <w:tc>
          <w:tcPr>
            <w:tcW w:w="2651" w:type="dxa"/>
            <w:shd w:val="clear" w:color="auto" w:fill="BFBFBF" w:themeFill="background1" w:themeFillShade="BF"/>
          </w:tcPr>
          <w:p w14:paraId="193146FC" w14:textId="77777777" w:rsidR="00E432A5" w:rsidRDefault="00E432A5" w:rsidP="00602CE3">
            <w:pPr>
              <w:rPr>
                <w:lang w:val="en-US"/>
              </w:rPr>
            </w:pPr>
            <w:r>
              <w:rPr>
                <w:lang w:val="en-US"/>
              </w:rPr>
              <w:t>450 Euros</w:t>
            </w:r>
          </w:p>
        </w:tc>
      </w:tr>
      <w:tr w:rsidR="00E432A5" w14:paraId="5F41FA7E" w14:textId="77777777" w:rsidTr="003F430B">
        <w:trPr>
          <w:trHeight w:val="549"/>
        </w:trPr>
        <w:tc>
          <w:tcPr>
            <w:tcW w:w="2852" w:type="dxa"/>
            <w:shd w:val="clear" w:color="auto" w:fill="FFFFFF" w:themeFill="background1"/>
          </w:tcPr>
          <w:p w14:paraId="5CC124F8" w14:textId="77777777" w:rsidR="00E432A5" w:rsidRPr="00E57A5F" w:rsidRDefault="00E432A5" w:rsidP="00602CE3">
            <w:pPr>
              <w:rPr>
                <w:b/>
                <w:bCs/>
                <w:lang w:val="en-US"/>
              </w:rPr>
            </w:pPr>
            <w:r w:rsidRPr="00E57A5F">
              <w:rPr>
                <w:b/>
                <w:bCs/>
                <w:lang w:val="en-US"/>
              </w:rPr>
              <w:t>Total Possible:</w:t>
            </w:r>
          </w:p>
        </w:tc>
        <w:tc>
          <w:tcPr>
            <w:tcW w:w="2281" w:type="dxa"/>
            <w:shd w:val="clear" w:color="auto" w:fill="E7E6E6" w:themeFill="background2"/>
          </w:tcPr>
          <w:p w14:paraId="78B4354D" w14:textId="77777777" w:rsidR="00E432A5" w:rsidRDefault="00E432A5" w:rsidP="00602CE3">
            <w:pPr>
              <w:rPr>
                <w:lang w:val="en-US"/>
              </w:rPr>
            </w:pPr>
            <w:r>
              <w:rPr>
                <w:lang w:val="en-US"/>
              </w:rPr>
              <w:t>Roughly 45 000 Euros</w:t>
            </w:r>
          </w:p>
        </w:tc>
        <w:tc>
          <w:tcPr>
            <w:tcW w:w="2281" w:type="dxa"/>
            <w:shd w:val="clear" w:color="auto" w:fill="D0CECE" w:themeFill="background2" w:themeFillShade="E6"/>
          </w:tcPr>
          <w:p w14:paraId="346DCACD" w14:textId="77777777" w:rsidR="00E432A5" w:rsidRDefault="00E432A5" w:rsidP="00602CE3">
            <w:pPr>
              <w:rPr>
                <w:lang w:val="en-US"/>
              </w:rPr>
            </w:pPr>
            <w:r>
              <w:rPr>
                <w:lang w:val="en-US"/>
              </w:rPr>
              <w:t xml:space="preserve">Roughly 22 600 Euros </w:t>
            </w:r>
          </w:p>
        </w:tc>
        <w:tc>
          <w:tcPr>
            <w:tcW w:w="2651" w:type="dxa"/>
            <w:shd w:val="clear" w:color="auto" w:fill="BFBFBF" w:themeFill="background1" w:themeFillShade="BF"/>
          </w:tcPr>
          <w:p w14:paraId="7309EFD0" w14:textId="77777777" w:rsidR="00E432A5" w:rsidRDefault="00E432A5" w:rsidP="00602CE3">
            <w:pPr>
              <w:rPr>
                <w:lang w:val="en-US"/>
              </w:rPr>
            </w:pPr>
            <w:r>
              <w:rPr>
                <w:lang w:val="en-US"/>
              </w:rPr>
              <w:t>Roughly 30 000 Euros</w:t>
            </w:r>
          </w:p>
        </w:tc>
      </w:tr>
    </w:tbl>
    <w:p w14:paraId="216AA3A6" w14:textId="67754BD2" w:rsidR="00756DDE" w:rsidRDefault="003F430B">
      <w:pPr>
        <w:rPr>
          <w:b/>
          <w:u w:val="single"/>
        </w:rPr>
      </w:pPr>
      <w:r>
        <w:rPr>
          <w:b/>
          <w:u w:val="single"/>
        </w:rPr>
        <w:br/>
      </w:r>
      <w:r w:rsidR="00756DDE">
        <w:rPr>
          <w:b/>
          <w:u w:val="single"/>
        </w:rPr>
        <w:t>Using fees</w:t>
      </w:r>
    </w:p>
    <w:p w14:paraId="620F0B98" w14:textId="1B6E2FCD" w:rsidR="00756DDE" w:rsidRDefault="00756DDE">
      <w:pPr>
        <w:rPr>
          <w:bCs/>
        </w:rPr>
      </w:pPr>
      <w:r>
        <w:rPr>
          <w:bCs/>
        </w:rPr>
        <w:t>Fees will be used according to the reserve</w:t>
      </w:r>
      <w:r w:rsidR="00C34D4B">
        <w:rPr>
          <w:bCs/>
        </w:rPr>
        <w:t>s</w:t>
      </w:r>
      <w:r>
        <w:rPr>
          <w:bCs/>
        </w:rPr>
        <w:t xml:space="preserve"> policy agreed by Ex Co in April 201</w:t>
      </w:r>
      <w:r w:rsidR="00FF5667">
        <w:rPr>
          <w:bCs/>
        </w:rPr>
        <w:t>9</w:t>
      </w:r>
      <w:r>
        <w:rPr>
          <w:bCs/>
        </w:rPr>
        <w:t>.</w:t>
      </w:r>
    </w:p>
    <w:p w14:paraId="349CEDE5" w14:textId="229FD7CB" w:rsidR="003F430B" w:rsidRDefault="003F430B">
      <w:pPr>
        <w:rPr>
          <w:b/>
          <w:u w:val="single"/>
        </w:rPr>
      </w:pPr>
      <w:r>
        <w:rPr>
          <w:b/>
          <w:u w:val="single"/>
        </w:rPr>
        <w:t>A final question to consider</w:t>
      </w:r>
    </w:p>
    <w:p w14:paraId="69264695" w14:textId="6DF313C7" w:rsidR="003F430B" w:rsidRPr="003F430B" w:rsidRDefault="003F430B">
      <w:r w:rsidRPr="003F430B">
        <w:t xml:space="preserve">Membership fees / voluntary contributions cannot </w:t>
      </w:r>
      <w:r>
        <w:t xml:space="preserve">be funded through the EaSI budget – the main budget line of many of our EOs. If we link the fees to participation in the General Assembly, EOs may find it easier to contribute. </w:t>
      </w:r>
      <w:r w:rsidRPr="003F430B">
        <w:t>The disadvantage of this option is that these funds c</w:t>
      </w:r>
      <w:r>
        <w:t xml:space="preserve">ould no longer be used as co-financing, under Commission rules. </w:t>
      </w:r>
    </w:p>
    <w:p w14:paraId="6BFA00DE" w14:textId="035F368C" w:rsidR="00756DDE" w:rsidRPr="004207C9" w:rsidRDefault="00756DDE">
      <w:pPr>
        <w:rPr>
          <w:b/>
          <w:u w:val="single"/>
        </w:rPr>
      </w:pPr>
      <w:r w:rsidRPr="004207C9">
        <w:rPr>
          <w:b/>
          <w:u w:val="single"/>
        </w:rPr>
        <w:t>Moving forward</w:t>
      </w:r>
    </w:p>
    <w:p w14:paraId="29ED2541" w14:textId="0A65F138" w:rsidR="00756DDE" w:rsidRPr="00756DDE" w:rsidRDefault="00756DDE">
      <w:pPr>
        <w:rPr>
          <w:bCs/>
        </w:rPr>
      </w:pPr>
      <w:r>
        <w:rPr>
          <w:bCs/>
        </w:rPr>
        <w:t>The Ex Co is invited to take a decision, by vote if needed, to propose to the General Assembly, following our Statutes, article 7, ‘’The amount is set by the General Ass</w:t>
      </w:r>
      <w:r w:rsidR="004207C9">
        <w:rPr>
          <w:bCs/>
        </w:rPr>
        <w:t>embly on a proposal from the Executive Committee.’’</w:t>
      </w:r>
    </w:p>
    <w:sectPr w:rsidR="00756DDE" w:rsidRPr="00756DDE" w:rsidSect="00260B52">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7FF6B" w14:textId="77777777" w:rsidR="008D4E0E" w:rsidRDefault="008D4E0E" w:rsidP="002A5D31">
      <w:pPr>
        <w:spacing w:after="0" w:line="240" w:lineRule="auto"/>
      </w:pPr>
      <w:r>
        <w:separator/>
      </w:r>
    </w:p>
  </w:endnote>
  <w:endnote w:type="continuationSeparator" w:id="0">
    <w:p w14:paraId="570638F8" w14:textId="77777777" w:rsidR="008D4E0E" w:rsidRDefault="008D4E0E" w:rsidP="002A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72C47" w14:textId="77777777" w:rsidR="008D4E0E" w:rsidRDefault="008D4E0E" w:rsidP="002A5D31">
      <w:pPr>
        <w:spacing w:after="0" w:line="240" w:lineRule="auto"/>
      </w:pPr>
      <w:r>
        <w:separator/>
      </w:r>
    </w:p>
  </w:footnote>
  <w:footnote w:type="continuationSeparator" w:id="0">
    <w:p w14:paraId="2F7353EF" w14:textId="77777777" w:rsidR="008D4E0E" w:rsidRDefault="008D4E0E" w:rsidP="002A5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923515"/>
      <w:docPartObj>
        <w:docPartGallery w:val="Page Numbers (Top of Page)"/>
        <w:docPartUnique/>
      </w:docPartObj>
    </w:sdtPr>
    <w:sdtEndPr>
      <w:rPr>
        <w:noProof/>
      </w:rPr>
    </w:sdtEndPr>
    <w:sdtContent>
      <w:p w14:paraId="40618F9B" w14:textId="17DEBCA2" w:rsidR="002A5D31" w:rsidRDefault="002A5D3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A0E2BF" w14:textId="77777777" w:rsidR="002A5D31" w:rsidRDefault="002A5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361A"/>
    <w:multiLevelType w:val="multilevel"/>
    <w:tmpl w:val="6082D39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5EA7198"/>
    <w:multiLevelType w:val="multilevel"/>
    <w:tmpl w:val="378C48D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9641E1"/>
    <w:multiLevelType w:val="hybridMultilevel"/>
    <w:tmpl w:val="8CDE9EAA"/>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3CA2DE7"/>
    <w:multiLevelType w:val="hybridMultilevel"/>
    <w:tmpl w:val="EF14730E"/>
    <w:lvl w:ilvl="0" w:tplc="986CFD52">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93525"/>
    <w:multiLevelType w:val="hybridMultilevel"/>
    <w:tmpl w:val="BB683560"/>
    <w:lvl w:ilvl="0" w:tplc="9D2E62E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B01CF7"/>
    <w:multiLevelType w:val="hybridMultilevel"/>
    <w:tmpl w:val="BC22EB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F2708D"/>
    <w:multiLevelType w:val="hybridMultilevel"/>
    <w:tmpl w:val="28FCCB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F73589C"/>
    <w:multiLevelType w:val="hybridMultilevel"/>
    <w:tmpl w:val="43E894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2F0BF2"/>
    <w:multiLevelType w:val="hybridMultilevel"/>
    <w:tmpl w:val="7C1A7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C7D3B"/>
    <w:multiLevelType w:val="hybridMultilevel"/>
    <w:tmpl w:val="7C565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061139"/>
    <w:multiLevelType w:val="hybridMultilevel"/>
    <w:tmpl w:val="DA047E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05F46D9"/>
    <w:multiLevelType w:val="hybridMultilevel"/>
    <w:tmpl w:val="8DE4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4F1DAD"/>
    <w:multiLevelType w:val="multilevel"/>
    <w:tmpl w:val="73482B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8"/>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33"/>
    <w:rsid w:val="000D6DD9"/>
    <w:rsid w:val="0015504E"/>
    <w:rsid w:val="00155FA7"/>
    <w:rsid w:val="0018452F"/>
    <w:rsid w:val="00217B36"/>
    <w:rsid w:val="00260B52"/>
    <w:rsid w:val="00267689"/>
    <w:rsid w:val="002A5D31"/>
    <w:rsid w:val="00351158"/>
    <w:rsid w:val="003F430B"/>
    <w:rsid w:val="00415E24"/>
    <w:rsid w:val="004207C9"/>
    <w:rsid w:val="004C18C8"/>
    <w:rsid w:val="005D1233"/>
    <w:rsid w:val="005E5EAD"/>
    <w:rsid w:val="00633AA0"/>
    <w:rsid w:val="006964FD"/>
    <w:rsid w:val="00734333"/>
    <w:rsid w:val="00756DDE"/>
    <w:rsid w:val="007664F5"/>
    <w:rsid w:val="007B45E9"/>
    <w:rsid w:val="00855FD7"/>
    <w:rsid w:val="008D1DF0"/>
    <w:rsid w:val="008D4E0E"/>
    <w:rsid w:val="00982095"/>
    <w:rsid w:val="00984A0D"/>
    <w:rsid w:val="00A94382"/>
    <w:rsid w:val="00B76882"/>
    <w:rsid w:val="00C00C92"/>
    <w:rsid w:val="00C34D4B"/>
    <w:rsid w:val="00CC2163"/>
    <w:rsid w:val="00CE1CF7"/>
    <w:rsid w:val="00D31EF0"/>
    <w:rsid w:val="00E432A5"/>
    <w:rsid w:val="00E57A5F"/>
    <w:rsid w:val="00F431F5"/>
    <w:rsid w:val="00FF5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3303"/>
  <w15:chartTrackingRefBased/>
  <w15:docId w15:val="{E0571BEC-CCEB-4115-8458-A5A93157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233"/>
    <w:pPr>
      <w:spacing w:after="0" w:line="240" w:lineRule="auto"/>
      <w:ind w:left="720"/>
    </w:pPr>
    <w:rPr>
      <w:rFonts w:ascii="Calibri" w:hAnsi="Calibri" w:cs="Calibri"/>
    </w:rPr>
  </w:style>
  <w:style w:type="character" w:customStyle="1" w:styleId="apple-converted-space">
    <w:name w:val="apple-converted-space"/>
    <w:basedOn w:val="DefaultParagraphFont"/>
    <w:rsid w:val="00855FD7"/>
  </w:style>
  <w:style w:type="table" w:styleId="TableGrid">
    <w:name w:val="Table Grid"/>
    <w:basedOn w:val="TableNormal"/>
    <w:uiPriority w:val="39"/>
    <w:rsid w:val="00984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D31"/>
  </w:style>
  <w:style w:type="paragraph" w:styleId="Footer">
    <w:name w:val="footer"/>
    <w:basedOn w:val="Normal"/>
    <w:link w:val="FooterChar"/>
    <w:uiPriority w:val="99"/>
    <w:unhideWhenUsed/>
    <w:rsid w:val="002A5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29319">
      <w:bodyDiv w:val="1"/>
      <w:marLeft w:val="0"/>
      <w:marRight w:val="0"/>
      <w:marTop w:val="0"/>
      <w:marBottom w:val="0"/>
      <w:divBdr>
        <w:top w:val="none" w:sz="0" w:space="0" w:color="auto"/>
        <w:left w:val="none" w:sz="0" w:space="0" w:color="auto"/>
        <w:bottom w:val="none" w:sz="0" w:space="0" w:color="auto"/>
        <w:right w:val="none" w:sz="0" w:space="0" w:color="auto"/>
      </w:divBdr>
    </w:div>
    <w:div w:id="465046752">
      <w:bodyDiv w:val="1"/>
      <w:marLeft w:val="0"/>
      <w:marRight w:val="0"/>
      <w:marTop w:val="0"/>
      <w:marBottom w:val="0"/>
      <w:divBdr>
        <w:top w:val="none" w:sz="0" w:space="0" w:color="auto"/>
        <w:left w:val="none" w:sz="0" w:space="0" w:color="auto"/>
        <w:bottom w:val="none" w:sz="0" w:space="0" w:color="auto"/>
        <w:right w:val="none" w:sz="0" w:space="0" w:color="auto"/>
      </w:divBdr>
    </w:div>
    <w:div w:id="565339884">
      <w:bodyDiv w:val="1"/>
      <w:marLeft w:val="0"/>
      <w:marRight w:val="0"/>
      <w:marTop w:val="0"/>
      <w:marBottom w:val="0"/>
      <w:divBdr>
        <w:top w:val="none" w:sz="0" w:space="0" w:color="auto"/>
        <w:left w:val="none" w:sz="0" w:space="0" w:color="auto"/>
        <w:bottom w:val="none" w:sz="0" w:space="0" w:color="auto"/>
        <w:right w:val="none" w:sz="0" w:space="0" w:color="auto"/>
      </w:divBdr>
    </w:div>
    <w:div w:id="204224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5</cp:revision>
  <cp:lastPrinted>2019-08-30T09:04:00Z</cp:lastPrinted>
  <dcterms:created xsi:type="dcterms:W3CDTF">2019-08-30T09:40:00Z</dcterms:created>
  <dcterms:modified xsi:type="dcterms:W3CDTF">2019-09-02T11:15:00Z</dcterms:modified>
</cp:coreProperties>
</file>