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4DA" w:rsidRDefault="00FC249E" w:rsidP="00E04607">
      <w:pPr>
        <w:jc w:val="center"/>
        <w:rPr>
          <w:b/>
          <w:sz w:val="24"/>
          <w:szCs w:val="24"/>
        </w:rPr>
      </w:pPr>
      <w:r w:rsidRPr="00E04607">
        <w:rPr>
          <w:b/>
          <w:sz w:val="24"/>
          <w:szCs w:val="24"/>
        </w:rPr>
        <w:t xml:space="preserve">EUISG Meeting </w:t>
      </w:r>
      <w:r w:rsidR="00377FB3">
        <w:rPr>
          <w:b/>
          <w:sz w:val="24"/>
          <w:szCs w:val="24"/>
        </w:rPr>
        <w:t>6 and 7 February</w:t>
      </w:r>
      <w:r w:rsidR="001663DA">
        <w:rPr>
          <w:b/>
          <w:sz w:val="24"/>
          <w:szCs w:val="24"/>
        </w:rPr>
        <w:t>201</w:t>
      </w:r>
      <w:r w:rsidR="00377FB3">
        <w:rPr>
          <w:b/>
          <w:sz w:val="24"/>
          <w:szCs w:val="24"/>
        </w:rPr>
        <w:t>5</w:t>
      </w:r>
    </w:p>
    <w:p w:rsidR="00FC249E" w:rsidRDefault="00FC249E" w:rsidP="00E04607">
      <w:pPr>
        <w:jc w:val="center"/>
        <w:rPr>
          <w:b/>
          <w:sz w:val="24"/>
          <w:szCs w:val="24"/>
        </w:rPr>
      </w:pPr>
      <w:r w:rsidRPr="00E04607">
        <w:rPr>
          <w:b/>
          <w:sz w:val="24"/>
          <w:szCs w:val="24"/>
        </w:rPr>
        <w:t xml:space="preserve">Action </w:t>
      </w:r>
      <w:r w:rsidR="00EE42B1">
        <w:rPr>
          <w:b/>
          <w:sz w:val="24"/>
          <w:szCs w:val="24"/>
        </w:rPr>
        <w:t>Points</w:t>
      </w:r>
    </w:p>
    <w:tbl>
      <w:tblPr>
        <w:tblStyle w:val="TableGrid"/>
        <w:tblW w:w="0" w:type="auto"/>
        <w:tblLayout w:type="fixed"/>
        <w:tblLook w:val="04A0"/>
      </w:tblPr>
      <w:tblGrid>
        <w:gridCol w:w="692"/>
        <w:gridCol w:w="1713"/>
        <w:gridCol w:w="3827"/>
        <w:gridCol w:w="3118"/>
      </w:tblGrid>
      <w:tr w:rsidR="00B927AD" w:rsidTr="00511212">
        <w:tc>
          <w:tcPr>
            <w:tcW w:w="692" w:type="dxa"/>
          </w:tcPr>
          <w:p w:rsidR="00B927AD" w:rsidRDefault="00B927AD" w:rsidP="00E04607">
            <w:pPr>
              <w:jc w:val="center"/>
              <w:rPr>
                <w:b/>
                <w:sz w:val="24"/>
                <w:szCs w:val="24"/>
              </w:rPr>
            </w:pPr>
            <w:r>
              <w:rPr>
                <w:b/>
                <w:sz w:val="24"/>
                <w:szCs w:val="24"/>
              </w:rPr>
              <w:t>NO</w:t>
            </w:r>
          </w:p>
        </w:tc>
        <w:tc>
          <w:tcPr>
            <w:tcW w:w="1713" w:type="dxa"/>
          </w:tcPr>
          <w:p w:rsidR="00B927AD" w:rsidRDefault="00B927AD" w:rsidP="003E24B4">
            <w:pPr>
              <w:rPr>
                <w:b/>
                <w:sz w:val="24"/>
                <w:szCs w:val="24"/>
              </w:rPr>
            </w:pPr>
            <w:r>
              <w:rPr>
                <w:b/>
                <w:sz w:val="24"/>
                <w:szCs w:val="24"/>
              </w:rPr>
              <w:t>TOPIC</w:t>
            </w:r>
          </w:p>
        </w:tc>
        <w:tc>
          <w:tcPr>
            <w:tcW w:w="3827" w:type="dxa"/>
          </w:tcPr>
          <w:p w:rsidR="00B927AD" w:rsidRDefault="00B927AD" w:rsidP="003E24B4">
            <w:pPr>
              <w:rPr>
                <w:b/>
                <w:sz w:val="24"/>
                <w:szCs w:val="24"/>
              </w:rPr>
            </w:pPr>
            <w:r>
              <w:rPr>
                <w:b/>
                <w:sz w:val="24"/>
                <w:szCs w:val="24"/>
              </w:rPr>
              <w:t>ACTION</w:t>
            </w:r>
          </w:p>
          <w:p w:rsidR="00B927AD" w:rsidRDefault="003E24B4" w:rsidP="003E24B4">
            <w:pPr>
              <w:rPr>
                <w:b/>
                <w:sz w:val="24"/>
                <w:szCs w:val="24"/>
              </w:rPr>
            </w:pPr>
            <w:r>
              <w:rPr>
                <w:b/>
                <w:sz w:val="24"/>
                <w:szCs w:val="24"/>
              </w:rPr>
              <w:t>Secretariat/Steering Group</w:t>
            </w:r>
          </w:p>
        </w:tc>
        <w:tc>
          <w:tcPr>
            <w:tcW w:w="3118" w:type="dxa"/>
          </w:tcPr>
          <w:p w:rsidR="00B927AD" w:rsidRDefault="00B927AD" w:rsidP="003E24B4">
            <w:pPr>
              <w:rPr>
                <w:b/>
                <w:sz w:val="24"/>
                <w:szCs w:val="24"/>
              </w:rPr>
            </w:pPr>
            <w:r>
              <w:rPr>
                <w:b/>
                <w:sz w:val="24"/>
                <w:szCs w:val="24"/>
              </w:rPr>
              <w:t>ACTION</w:t>
            </w:r>
          </w:p>
          <w:p w:rsidR="00B927AD" w:rsidRDefault="00B927AD" w:rsidP="003E24B4">
            <w:pPr>
              <w:rPr>
                <w:b/>
                <w:sz w:val="24"/>
                <w:szCs w:val="24"/>
              </w:rPr>
            </w:pPr>
            <w:r>
              <w:rPr>
                <w:b/>
                <w:sz w:val="24"/>
                <w:szCs w:val="24"/>
              </w:rPr>
              <w:t>Members</w:t>
            </w:r>
          </w:p>
        </w:tc>
      </w:tr>
      <w:tr w:rsidR="00B927AD" w:rsidTr="00511212">
        <w:tc>
          <w:tcPr>
            <w:tcW w:w="692" w:type="dxa"/>
          </w:tcPr>
          <w:p w:rsidR="00B927AD" w:rsidRDefault="00377FB3" w:rsidP="00E04607">
            <w:pPr>
              <w:jc w:val="center"/>
              <w:rPr>
                <w:b/>
                <w:sz w:val="24"/>
                <w:szCs w:val="24"/>
              </w:rPr>
            </w:pPr>
            <w:r>
              <w:rPr>
                <w:b/>
                <w:sz w:val="24"/>
                <w:szCs w:val="24"/>
              </w:rPr>
              <w:t>2.</w:t>
            </w:r>
          </w:p>
        </w:tc>
        <w:tc>
          <w:tcPr>
            <w:tcW w:w="1713" w:type="dxa"/>
          </w:tcPr>
          <w:p w:rsidR="00B927AD" w:rsidRDefault="00377FB3" w:rsidP="00511212">
            <w:pPr>
              <w:rPr>
                <w:b/>
                <w:sz w:val="24"/>
                <w:szCs w:val="24"/>
              </w:rPr>
            </w:pPr>
            <w:r>
              <w:rPr>
                <w:b/>
                <w:sz w:val="24"/>
                <w:szCs w:val="24"/>
              </w:rPr>
              <w:t xml:space="preserve">2015 EUISG Work </w:t>
            </w:r>
            <w:proofErr w:type="spellStart"/>
            <w:r>
              <w:rPr>
                <w:b/>
                <w:sz w:val="24"/>
                <w:szCs w:val="24"/>
              </w:rPr>
              <w:t>Programme</w:t>
            </w:r>
            <w:proofErr w:type="spellEnd"/>
          </w:p>
        </w:tc>
        <w:tc>
          <w:tcPr>
            <w:tcW w:w="3827" w:type="dxa"/>
          </w:tcPr>
          <w:p w:rsidR="00F56128" w:rsidRPr="00B927AD" w:rsidRDefault="00377FB3" w:rsidP="00377FB3">
            <w:pPr>
              <w:pStyle w:val="ListParagraph"/>
              <w:numPr>
                <w:ilvl w:val="0"/>
                <w:numId w:val="1"/>
              </w:numPr>
              <w:spacing w:after="0" w:line="240" w:lineRule="auto"/>
              <w:jc w:val="both"/>
              <w:rPr>
                <w:sz w:val="24"/>
                <w:szCs w:val="24"/>
              </w:rPr>
            </w:pPr>
            <w:r>
              <w:rPr>
                <w:sz w:val="24"/>
                <w:szCs w:val="24"/>
              </w:rPr>
              <w:t>2015 EUISG Work Programme approved and to be transmitted to EXCO</w:t>
            </w:r>
          </w:p>
        </w:tc>
        <w:tc>
          <w:tcPr>
            <w:tcW w:w="3118" w:type="dxa"/>
          </w:tcPr>
          <w:p w:rsidR="00511212" w:rsidRPr="00377FB3" w:rsidRDefault="00511212" w:rsidP="00377FB3">
            <w:pPr>
              <w:rPr>
                <w:sz w:val="24"/>
                <w:szCs w:val="24"/>
              </w:rPr>
            </w:pPr>
          </w:p>
        </w:tc>
      </w:tr>
      <w:tr w:rsidR="00377FB3" w:rsidTr="00511212">
        <w:tc>
          <w:tcPr>
            <w:tcW w:w="692" w:type="dxa"/>
          </w:tcPr>
          <w:p w:rsidR="00377FB3" w:rsidRDefault="0009668D" w:rsidP="00E04607">
            <w:pPr>
              <w:jc w:val="center"/>
              <w:rPr>
                <w:b/>
                <w:sz w:val="24"/>
                <w:szCs w:val="24"/>
              </w:rPr>
            </w:pPr>
            <w:r>
              <w:rPr>
                <w:b/>
                <w:sz w:val="24"/>
                <w:szCs w:val="24"/>
              </w:rPr>
              <w:t xml:space="preserve">3. </w:t>
            </w:r>
          </w:p>
        </w:tc>
        <w:tc>
          <w:tcPr>
            <w:tcW w:w="1713" w:type="dxa"/>
          </w:tcPr>
          <w:p w:rsidR="00377FB3" w:rsidRDefault="0009668D" w:rsidP="00511212">
            <w:pPr>
              <w:rPr>
                <w:b/>
                <w:sz w:val="24"/>
                <w:szCs w:val="24"/>
              </w:rPr>
            </w:pPr>
            <w:r>
              <w:rPr>
                <w:b/>
                <w:sz w:val="24"/>
                <w:szCs w:val="24"/>
              </w:rPr>
              <w:t>Policy Update and next steps</w:t>
            </w:r>
          </w:p>
        </w:tc>
        <w:tc>
          <w:tcPr>
            <w:tcW w:w="3827" w:type="dxa"/>
          </w:tcPr>
          <w:p w:rsidR="00377FB3" w:rsidRDefault="0009668D" w:rsidP="0009668D">
            <w:pPr>
              <w:pStyle w:val="Default"/>
              <w:numPr>
                <w:ilvl w:val="0"/>
                <w:numId w:val="1"/>
              </w:numPr>
            </w:pPr>
            <w:r>
              <w:rPr>
                <w:rFonts w:asciiTheme="minorHAnsi" w:hAnsiTheme="minorHAnsi"/>
                <w:lang w:val="en-US"/>
              </w:rPr>
              <w:t>The u</w:t>
            </w:r>
            <w:r w:rsidR="00377FB3">
              <w:rPr>
                <w:rFonts w:asciiTheme="minorHAnsi" w:hAnsiTheme="minorHAnsi"/>
                <w:lang w:val="en-US"/>
              </w:rPr>
              <w:t>pdate</w:t>
            </w:r>
            <w:r>
              <w:rPr>
                <w:rFonts w:asciiTheme="minorHAnsi" w:hAnsiTheme="minorHAnsi"/>
                <w:lang w:val="en-US"/>
              </w:rPr>
              <w:t>d</w:t>
            </w:r>
            <w:r w:rsidR="00377FB3">
              <w:rPr>
                <w:rFonts w:asciiTheme="minorHAnsi" w:hAnsiTheme="minorHAnsi"/>
                <w:lang w:val="en-US"/>
              </w:rPr>
              <w:t xml:space="preserve"> Europe 2020/Semester Tool Kit will be finalized by the beginning of March and distributed to members, with updated contacts.</w:t>
            </w:r>
          </w:p>
        </w:tc>
        <w:tc>
          <w:tcPr>
            <w:tcW w:w="3118" w:type="dxa"/>
          </w:tcPr>
          <w:p w:rsidR="00377FB3" w:rsidRPr="0009668D" w:rsidRDefault="0009668D" w:rsidP="0009668D">
            <w:pPr>
              <w:pStyle w:val="ListParagraph"/>
              <w:numPr>
                <w:ilvl w:val="0"/>
                <w:numId w:val="1"/>
              </w:numPr>
              <w:rPr>
                <w:sz w:val="24"/>
                <w:szCs w:val="24"/>
              </w:rPr>
            </w:pPr>
            <w:r>
              <w:rPr>
                <w:rFonts w:asciiTheme="minorHAnsi" w:hAnsiTheme="minorHAnsi"/>
                <w:sz w:val="24"/>
                <w:szCs w:val="24"/>
              </w:rPr>
              <w:t xml:space="preserve">Members should contact </w:t>
            </w:r>
            <w:r w:rsidRPr="0009668D">
              <w:rPr>
                <w:rFonts w:asciiTheme="minorHAnsi" w:hAnsiTheme="minorHAnsi"/>
                <w:sz w:val="24"/>
                <w:szCs w:val="24"/>
              </w:rPr>
              <w:t>their governments to try to engage with the 2015 Semester process -  both the NRPs, any discussion on country reports</w:t>
            </w:r>
            <w:r>
              <w:rPr>
                <w:rFonts w:asciiTheme="minorHAnsi" w:hAnsiTheme="minorHAnsi"/>
                <w:sz w:val="24"/>
                <w:szCs w:val="24"/>
              </w:rPr>
              <w:t>, CSRs and chance to participate in bilateral meetings with the Commission etc.</w:t>
            </w:r>
          </w:p>
        </w:tc>
      </w:tr>
      <w:tr w:rsidR="00B927AD" w:rsidTr="00511212">
        <w:tc>
          <w:tcPr>
            <w:tcW w:w="692" w:type="dxa"/>
          </w:tcPr>
          <w:p w:rsidR="00B927AD" w:rsidRDefault="00377FB3" w:rsidP="00E04607">
            <w:pPr>
              <w:jc w:val="center"/>
              <w:rPr>
                <w:b/>
                <w:sz w:val="24"/>
                <w:szCs w:val="24"/>
              </w:rPr>
            </w:pPr>
            <w:r>
              <w:rPr>
                <w:b/>
                <w:sz w:val="24"/>
                <w:szCs w:val="24"/>
              </w:rPr>
              <w:t>4</w:t>
            </w:r>
            <w:r w:rsidR="00F56128">
              <w:rPr>
                <w:b/>
                <w:sz w:val="24"/>
                <w:szCs w:val="24"/>
              </w:rPr>
              <w:t xml:space="preserve">. </w:t>
            </w:r>
          </w:p>
        </w:tc>
        <w:tc>
          <w:tcPr>
            <w:tcW w:w="1713" w:type="dxa"/>
          </w:tcPr>
          <w:p w:rsidR="00B927AD" w:rsidRDefault="00377FB3" w:rsidP="00511212">
            <w:pPr>
              <w:rPr>
                <w:b/>
                <w:sz w:val="24"/>
                <w:szCs w:val="24"/>
              </w:rPr>
            </w:pPr>
            <w:r>
              <w:rPr>
                <w:b/>
                <w:sz w:val="24"/>
                <w:szCs w:val="24"/>
              </w:rPr>
              <w:t>CSRs and EAPN Proposals</w:t>
            </w:r>
          </w:p>
        </w:tc>
        <w:tc>
          <w:tcPr>
            <w:tcW w:w="3827" w:type="dxa"/>
          </w:tcPr>
          <w:p w:rsidR="00377FB3" w:rsidRDefault="00377FB3" w:rsidP="0013442E">
            <w:pPr>
              <w:pStyle w:val="Default"/>
              <w:numPr>
                <w:ilvl w:val="0"/>
                <w:numId w:val="1"/>
              </w:numPr>
              <w:jc w:val="both"/>
              <w:rPr>
                <w:rFonts w:asciiTheme="minorHAnsi" w:hAnsiTheme="minorHAnsi"/>
                <w:lang w:val="en-US"/>
              </w:rPr>
            </w:pPr>
            <w:r w:rsidRPr="00377FB3">
              <w:rPr>
                <w:rFonts w:asciiTheme="minorHAnsi" w:hAnsiTheme="minorHAnsi"/>
                <w:lang w:val="en-US"/>
              </w:rPr>
              <w:t>Secretariat to draft synthesis report by 6</w:t>
            </w:r>
            <w:r w:rsidRPr="00377FB3">
              <w:rPr>
                <w:rFonts w:asciiTheme="minorHAnsi" w:hAnsiTheme="minorHAnsi"/>
                <w:vertAlign w:val="superscript"/>
                <w:lang w:val="en-US"/>
              </w:rPr>
              <w:t>th</w:t>
            </w:r>
            <w:r w:rsidRPr="00377FB3">
              <w:rPr>
                <w:rFonts w:asciiTheme="minorHAnsi" w:hAnsiTheme="minorHAnsi"/>
                <w:lang w:val="en-US"/>
              </w:rPr>
              <w:t xml:space="preserve"> March to send for comments/additions with responses by the 16</w:t>
            </w:r>
            <w:r w:rsidRPr="00377FB3">
              <w:rPr>
                <w:rFonts w:asciiTheme="minorHAnsi" w:hAnsiTheme="minorHAnsi"/>
                <w:vertAlign w:val="superscript"/>
                <w:lang w:val="en-US"/>
              </w:rPr>
              <w:t>th</w:t>
            </w:r>
            <w:r w:rsidRPr="00377FB3">
              <w:rPr>
                <w:rFonts w:asciiTheme="minorHAnsi" w:hAnsiTheme="minorHAnsi"/>
                <w:lang w:val="en-US"/>
              </w:rPr>
              <w:t xml:space="preserve"> March. </w:t>
            </w:r>
          </w:p>
          <w:p w:rsidR="0009668D" w:rsidRPr="00F56128" w:rsidRDefault="00377FB3" w:rsidP="0013442E">
            <w:pPr>
              <w:pStyle w:val="Default"/>
              <w:numPr>
                <w:ilvl w:val="0"/>
                <w:numId w:val="1"/>
              </w:numPr>
              <w:jc w:val="both"/>
            </w:pPr>
            <w:r w:rsidRPr="00377FB3">
              <w:rPr>
                <w:rFonts w:asciiTheme="minorHAnsi" w:hAnsiTheme="minorHAnsi"/>
                <w:lang w:val="en-US"/>
              </w:rPr>
              <w:t>The finalized report with CSR proposals and annex of country fiches will be sent to the Commission, Council and EP, with other stakeholders in the week of the 23 March.</w:t>
            </w:r>
          </w:p>
        </w:tc>
        <w:tc>
          <w:tcPr>
            <w:tcW w:w="3118" w:type="dxa"/>
          </w:tcPr>
          <w:p w:rsidR="00B927AD" w:rsidRDefault="00377FB3" w:rsidP="00991FB5">
            <w:pPr>
              <w:pStyle w:val="ListParagraph"/>
              <w:numPr>
                <w:ilvl w:val="0"/>
                <w:numId w:val="2"/>
              </w:numPr>
              <w:rPr>
                <w:sz w:val="24"/>
                <w:szCs w:val="24"/>
              </w:rPr>
            </w:pPr>
            <w:r>
              <w:rPr>
                <w:sz w:val="24"/>
                <w:szCs w:val="24"/>
              </w:rPr>
              <w:t>EUISG members to (re) send their completed CSR template by 16 February.</w:t>
            </w:r>
          </w:p>
          <w:p w:rsidR="00377FB3" w:rsidRDefault="00377FB3" w:rsidP="00991FB5">
            <w:pPr>
              <w:pStyle w:val="ListParagraph"/>
              <w:numPr>
                <w:ilvl w:val="0"/>
                <w:numId w:val="2"/>
              </w:numPr>
              <w:rPr>
                <w:sz w:val="24"/>
                <w:szCs w:val="24"/>
              </w:rPr>
            </w:pPr>
            <w:r>
              <w:rPr>
                <w:sz w:val="24"/>
                <w:szCs w:val="24"/>
              </w:rPr>
              <w:t>Send their inputs to their own governments and contacts.</w:t>
            </w:r>
          </w:p>
          <w:p w:rsidR="00377FB3" w:rsidRPr="00F56128" w:rsidRDefault="00377FB3" w:rsidP="00991FB5">
            <w:pPr>
              <w:pStyle w:val="ListParagraph"/>
              <w:numPr>
                <w:ilvl w:val="0"/>
                <w:numId w:val="2"/>
              </w:numPr>
              <w:rPr>
                <w:sz w:val="24"/>
                <w:szCs w:val="24"/>
              </w:rPr>
            </w:pPr>
            <w:r>
              <w:rPr>
                <w:sz w:val="24"/>
                <w:szCs w:val="24"/>
              </w:rPr>
              <w:t>Follow up with Desk Officers and Independent Experts.</w:t>
            </w:r>
          </w:p>
        </w:tc>
      </w:tr>
      <w:tr w:rsidR="00B927AD" w:rsidTr="00511212">
        <w:tc>
          <w:tcPr>
            <w:tcW w:w="692" w:type="dxa"/>
          </w:tcPr>
          <w:p w:rsidR="00B927AD" w:rsidRDefault="0009668D" w:rsidP="00E04607">
            <w:pPr>
              <w:jc w:val="center"/>
              <w:rPr>
                <w:b/>
                <w:sz w:val="24"/>
                <w:szCs w:val="24"/>
              </w:rPr>
            </w:pPr>
            <w:r>
              <w:rPr>
                <w:b/>
                <w:sz w:val="24"/>
                <w:szCs w:val="24"/>
              </w:rPr>
              <w:t>5</w:t>
            </w:r>
            <w:r w:rsidR="00F56128">
              <w:rPr>
                <w:b/>
                <w:sz w:val="24"/>
                <w:szCs w:val="24"/>
              </w:rPr>
              <w:t>.</w:t>
            </w:r>
          </w:p>
        </w:tc>
        <w:tc>
          <w:tcPr>
            <w:tcW w:w="1713" w:type="dxa"/>
          </w:tcPr>
          <w:p w:rsidR="00B927AD" w:rsidRDefault="0009668D" w:rsidP="003E24B4">
            <w:pPr>
              <w:rPr>
                <w:b/>
                <w:sz w:val="24"/>
                <w:szCs w:val="24"/>
              </w:rPr>
            </w:pPr>
            <w:r>
              <w:rPr>
                <w:b/>
                <w:sz w:val="24"/>
                <w:szCs w:val="24"/>
              </w:rPr>
              <w:t>Pilot Actions – Europe 2020</w:t>
            </w:r>
          </w:p>
        </w:tc>
        <w:tc>
          <w:tcPr>
            <w:tcW w:w="3827" w:type="dxa"/>
          </w:tcPr>
          <w:p w:rsidR="00B927AD" w:rsidRDefault="0009668D" w:rsidP="00991FB5">
            <w:pPr>
              <w:pStyle w:val="ListParagraph"/>
              <w:numPr>
                <w:ilvl w:val="0"/>
                <w:numId w:val="3"/>
              </w:numPr>
              <w:rPr>
                <w:sz w:val="24"/>
                <w:szCs w:val="24"/>
              </w:rPr>
            </w:pPr>
            <w:r>
              <w:rPr>
                <w:sz w:val="24"/>
                <w:szCs w:val="24"/>
              </w:rPr>
              <w:t>Decisions on applications on 6.000 Euros will be made on the 19</w:t>
            </w:r>
            <w:r w:rsidRPr="0009668D">
              <w:rPr>
                <w:sz w:val="24"/>
                <w:szCs w:val="24"/>
                <w:vertAlign w:val="superscript"/>
              </w:rPr>
              <w:t>th</w:t>
            </w:r>
            <w:r>
              <w:rPr>
                <w:sz w:val="24"/>
                <w:szCs w:val="24"/>
              </w:rPr>
              <w:t xml:space="preserve"> March by the Steering Group.</w:t>
            </w:r>
          </w:p>
          <w:p w:rsidR="0009668D" w:rsidRPr="00F56128" w:rsidRDefault="0009668D" w:rsidP="00991FB5">
            <w:pPr>
              <w:pStyle w:val="ListParagraph"/>
              <w:numPr>
                <w:ilvl w:val="0"/>
                <w:numId w:val="3"/>
              </w:numPr>
              <w:rPr>
                <w:sz w:val="24"/>
                <w:szCs w:val="24"/>
              </w:rPr>
            </w:pPr>
            <w:r>
              <w:rPr>
                <w:sz w:val="24"/>
                <w:szCs w:val="24"/>
              </w:rPr>
              <w:t>Information on the 1.000 Euro fund will be distributed afterwards.</w:t>
            </w:r>
          </w:p>
        </w:tc>
        <w:tc>
          <w:tcPr>
            <w:tcW w:w="3118" w:type="dxa"/>
          </w:tcPr>
          <w:p w:rsidR="0009668D" w:rsidRPr="00F56128" w:rsidRDefault="0009668D" w:rsidP="0013442E">
            <w:pPr>
              <w:pStyle w:val="Default"/>
              <w:jc w:val="both"/>
            </w:pPr>
            <w:r w:rsidRPr="0009668D">
              <w:rPr>
                <w:rFonts w:asciiTheme="minorHAnsi" w:hAnsiTheme="minorHAnsi"/>
                <w:lang w:val="en-US"/>
              </w:rPr>
              <w:t>EU ISG members to send comments about the draft Terms of Reference and application form by 16 February, after which the timeline will kick in, as detailed above.</w:t>
            </w:r>
          </w:p>
        </w:tc>
      </w:tr>
      <w:tr w:rsidR="00B927AD" w:rsidTr="00511212">
        <w:tc>
          <w:tcPr>
            <w:tcW w:w="692" w:type="dxa"/>
          </w:tcPr>
          <w:p w:rsidR="00B927AD" w:rsidRDefault="0009668D" w:rsidP="00E04607">
            <w:pPr>
              <w:jc w:val="center"/>
              <w:rPr>
                <w:b/>
                <w:sz w:val="24"/>
                <w:szCs w:val="24"/>
              </w:rPr>
            </w:pPr>
            <w:r>
              <w:rPr>
                <w:b/>
                <w:sz w:val="24"/>
                <w:szCs w:val="24"/>
              </w:rPr>
              <w:lastRenderedPageBreak/>
              <w:t>6</w:t>
            </w:r>
            <w:r w:rsidR="00F56128">
              <w:rPr>
                <w:b/>
                <w:sz w:val="24"/>
                <w:szCs w:val="24"/>
              </w:rPr>
              <w:t>.</w:t>
            </w:r>
          </w:p>
        </w:tc>
        <w:tc>
          <w:tcPr>
            <w:tcW w:w="1713" w:type="dxa"/>
          </w:tcPr>
          <w:p w:rsidR="00B927AD" w:rsidRDefault="0009668D" w:rsidP="003E24B4">
            <w:pPr>
              <w:rPr>
                <w:b/>
                <w:sz w:val="24"/>
                <w:szCs w:val="24"/>
              </w:rPr>
            </w:pPr>
            <w:r>
              <w:rPr>
                <w:b/>
                <w:sz w:val="24"/>
                <w:szCs w:val="24"/>
              </w:rPr>
              <w:t>Annual Convention</w:t>
            </w:r>
          </w:p>
        </w:tc>
        <w:tc>
          <w:tcPr>
            <w:tcW w:w="3827" w:type="dxa"/>
          </w:tcPr>
          <w:p w:rsidR="00F56128" w:rsidRPr="0013442E" w:rsidRDefault="0009668D" w:rsidP="0013442E">
            <w:pPr>
              <w:pStyle w:val="ListParagraph"/>
              <w:numPr>
                <w:ilvl w:val="0"/>
                <w:numId w:val="12"/>
              </w:numPr>
              <w:spacing w:after="160" w:line="259" w:lineRule="auto"/>
              <w:rPr>
                <w:sz w:val="24"/>
                <w:szCs w:val="24"/>
              </w:rPr>
            </w:pPr>
            <w:r w:rsidRPr="0013442E">
              <w:rPr>
                <w:sz w:val="24"/>
                <w:szCs w:val="24"/>
              </w:rPr>
              <w:t>The Secretariat will send a short document with p</w:t>
            </w:r>
            <w:r w:rsidR="000265CE" w:rsidRPr="0013442E">
              <w:rPr>
                <w:sz w:val="24"/>
                <w:szCs w:val="24"/>
              </w:rPr>
              <w:t>roposals (positive and negative)</w:t>
            </w:r>
            <w:r w:rsidRPr="0013442E">
              <w:rPr>
                <w:sz w:val="24"/>
                <w:szCs w:val="24"/>
              </w:rPr>
              <w:t xml:space="preserve"> and feed it into the Commission’s stakeholder meetings.</w:t>
            </w:r>
          </w:p>
        </w:tc>
        <w:tc>
          <w:tcPr>
            <w:tcW w:w="3118" w:type="dxa"/>
          </w:tcPr>
          <w:p w:rsidR="00B927AD" w:rsidRPr="00DD1383" w:rsidRDefault="00B927AD" w:rsidP="0009668D">
            <w:pPr>
              <w:spacing w:after="160" w:line="259" w:lineRule="auto"/>
            </w:pPr>
          </w:p>
        </w:tc>
      </w:tr>
      <w:tr w:rsidR="00991FB5" w:rsidTr="00511212">
        <w:tc>
          <w:tcPr>
            <w:tcW w:w="692" w:type="dxa"/>
          </w:tcPr>
          <w:p w:rsidR="00991FB5" w:rsidRDefault="000265CE" w:rsidP="00E04607">
            <w:pPr>
              <w:jc w:val="center"/>
              <w:rPr>
                <w:b/>
                <w:sz w:val="24"/>
                <w:szCs w:val="24"/>
              </w:rPr>
            </w:pPr>
            <w:r>
              <w:rPr>
                <w:b/>
                <w:sz w:val="24"/>
                <w:szCs w:val="24"/>
              </w:rPr>
              <w:t>8.</w:t>
            </w:r>
          </w:p>
        </w:tc>
        <w:tc>
          <w:tcPr>
            <w:tcW w:w="1713" w:type="dxa"/>
          </w:tcPr>
          <w:p w:rsidR="00991FB5" w:rsidRDefault="000265CE" w:rsidP="003E24B4">
            <w:pPr>
              <w:rPr>
                <w:b/>
                <w:sz w:val="24"/>
                <w:szCs w:val="24"/>
              </w:rPr>
            </w:pPr>
            <w:r>
              <w:rPr>
                <w:b/>
                <w:sz w:val="24"/>
                <w:szCs w:val="24"/>
              </w:rPr>
              <w:t>Alliances – Semester Alliance and Investing in Children</w:t>
            </w:r>
          </w:p>
        </w:tc>
        <w:tc>
          <w:tcPr>
            <w:tcW w:w="3827" w:type="dxa"/>
          </w:tcPr>
          <w:p w:rsidR="000265CE" w:rsidRPr="000265CE" w:rsidRDefault="000265CE" w:rsidP="000265CE">
            <w:pPr>
              <w:pStyle w:val="ListParagraph"/>
              <w:numPr>
                <w:ilvl w:val="0"/>
                <w:numId w:val="9"/>
              </w:numPr>
              <w:spacing w:after="0" w:line="240" w:lineRule="auto"/>
              <w:jc w:val="both"/>
              <w:rPr>
                <w:sz w:val="24"/>
                <w:szCs w:val="24"/>
              </w:rPr>
            </w:pPr>
            <w:r w:rsidRPr="000265CE">
              <w:rPr>
                <w:sz w:val="24"/>
                <w:szCs w:val="24"/>
              </w:rPr>
              <w:t>EAPN will continue to work to progress the Semester Alliance and the Investing in Children Alliance at EU and national level, and investigate alternative sources of funding, particularly for national alliances.</w:t>
            </w:r>
          </w:p>
          <w:p w:rsidR="000265CE" w:rsidRPr="000265CE" w:rsidRDefault="000265CE" w:rsidP="0013442E">
            <w:pPr>
              <w:pStyle w:val="ListParagraph"/>
              <w:numPr>
                <w:ilvl w:val="0"/>
                <w:numId w:val="9"/>
              </w:numPr>
              <w:spacing w:after="0" w:line="240" w:lineRule="auto"/>
              <w:jc w:val="both"/>
              <w:rPr>
                <w:sz w:val="24"/>
                <w:szCs w:val="24"/>
              </w:rPr>
            </w:pPr>
            <w:r w:rsidRPr="000265CE">
              <w:rPr>
                <w:sz w:val="24"/>
                <w:szCs w:val="24"/>
              </w:rPr>
              <w:t>A review will be made of results from our engagement in alliances at the end of the year.</w:t>
            </w:r>
          </w:p>
        </w:tc>
        <w:tc>
          <w:tcPr>
            <w:tcW w:w="3118" w:type="dxa"/>
          </w:tcPr>
          <w:p w:rsidR="00991FB5" w:rsidRPr="000265CE" w:rsidRDefault="000265CE" w:rsidP="000265CE">
            <w:pPr>
              <w:pStyle w:val="ListParagraph"/>
              <w:numPr>
                <w:ilvl w:val="0"/>
                <w:numId w:val="7"/>
              </w:numPr>
              <w:spacing w:after="160" w:line="259" w:lineRule="auto"/>
              <w:rPr>
                <w:sz w:val="24"/>
                <w:szCs w:val="24"/>
              </w:rPr>
            </w:pPr>
            <w:r w:rsidRPr="000265CE">
              <w:rPr>
                <w:sz w:val="24"/>
                <w:szCs w:val="24"/>
              </w:rPr>
              <w:t>Members should consider capacity for engaging/developing broader alliances at the national level.</w:t>
            </w:r>
          </w:p>
        </w:tc>
      </w:tr>
      <w:tr w:rsidR="00991FB5" w:rsidTr="00511212">
        <w:tc>
          <w:tcPr>
            <w:tcW w:w="692" w:type="dxa"/>
          </w:tcPr>
          <w:p w:rsidR="00991FB5" w:rsidRDefault="000265CE" w:rsidP="00E04607">
            <w:pPr>
              <w:jc w:val="center"/>
              <w:rPr>
                <w:b/>
                <w:sz w:val="24"/>
                <w:szCs w:val="24"/>
              </w:rPr>
            </w:pPr>
            <w:r>
              <w:rPr>
                <w:b/>
                <w:sz w:val="24"/>
                <w:szCs w:val="24"/>
              </w:rPr>
              <w:t>9.</w:t>
            </w:r>
          </w:p>
        </w:tc>
        <w:tc>
          <w:tcPr>
            <w:tcW w:w="1713" w:type="dxa"/>
          </w:tcPr>
          <w:p w:rsidR="00991FB5" w:rsidRDefault="000265CE" w:rsidP="003E24B4">
            <w:pPr>
              <w:rPr>
                <w:b/>
                <w:sz w:val="24"/>
                <w:szCs w:val="24"/>
              </w:rPr>
            </w:pPr>
            <w:r>
              <w:rPr>
                <w:b/>
                <w:sz w:val="24"/>
                <w:szCs w:val="24"/>
              </w:rPr>
              <w:t>Adequate income through the life cycle</w:t>
            </w:r>
          </w:p>
        </w:tc>
        <w:tc>
          <w:tcPr>
            <w:tcW w:w="3827" w:type="dxa"/>
          </w:tcPr>
          <w:p w:rsidR="0013442E" w:rsidRPr="0013442E" w:rsidRDefault="0013442E" w:rsidP="0013442E">
            <w:pPr>
              <w:pStyle w:val="ListParagraph"/>
              <w:numPr>
                <w:ilvl w:val="0"/>
                <w:numId w:val="7"/>
              </w:numPr>
              <w:spacing w:after="0" w:line="240" w:lineRule="auto"/>
              <w:jc w:val="both"/>
              <w:rPr>
                <w:sz w:val="24"/>
                <w:szCs w:val="24"/>
              </w:rPr>
            </w:pPr>
            <w:r w:rsidRPr="0013442E">
              <w:rPr>
                <w:sz w:val="24"/>
                <w:szCs w:val="24"/>
              </w:rPr>
              <w:t xml:space="preserve">EAPN will present the final version of the EU road map next week. </w:t>
            </w:r>
          </w:p>
          <w:p w:rsidR="0013442E" w:rsidRPr="0013442E" w:rsidRDefault="0013442E" w:rsidP="0013442E">
            <w:pPr>
              <w:pStyle w:val="ListParagraph"/>
              <w:numPr>
                <w:ilvl w:val="0"/>
                <w:numId w:val="7"/>
              </w:numPr>
              <w:spacing w:after="0" w:line="240" w:lineRule="auto"/>
              <w:jc w:val="both"/>
              <w:rPr>
                <w:sz w:val="24"/>
                <w:szCs w:val="24"/>
              </w:rPr>
            </w:pPr>
            <w:r w:rsidRPr="0013442E">
              <w:rPr>
                <w:sz w:val="24"/>
                <w:szCs w:val="24"/>
              </w:rPr>
              <w:t xml:space="preserve">Fintan will follow up with the EP new funding proposal, and EAPN will present an application for the new funding round, with the intention of involving all networks. </w:t>
            </w:r>
          </w:p>
          <w:p w:rsidR="00991FB5" w:rsidRPr="000265CE" w:rsidRDefault="0013442E" w:rsidP="0013442E">
            <w:pPr>
              <w:pStyle w:val="ListParagraph"/>
              <w:numPr>
                <w:ilvl w:val="0"/>
                <w:numId w:val="7"/>
              </w:numPr>
              <w:spacing w:after="160" w:line="259" w:lineRule="auto"/>
              <w:jc w:val="both"/>
              <w:rPr>
                <w:sz w:val="24"/>
                <w:szCs w:val="24"/>
              </w:rPr>
            </w:pPr>
            <w:r w:rsidRPr="0013442E">
              <w:rPr>
                <w:sz w:val="24"/>
                <w:szCs w:val="24"/>
              </w:rPr>
              <w:t xml:space="preserve">Fintan will send information </w:t>
            </w:r>
            <w:r>
              <w:rPr>
                <w:sz w:val="24"/>
                <w:szCs w:val="24"/>
              </w:rPr>
              <w:t xml:space="preserve">to members </w:t>
            </w:r>
            <w:r w:rsidRPr="0013442E">
              <w:rPr>
                <w:sz w:val="24"/>
                <w:szCs w:val="24"/>
              </w:rPr>
              <w:t>about the stakeholder group meetings in the reference budgets projects and follow up with the organizers.</w:t>
            </w:r>
          </w:p>
        </w:tc>
        <w:tc>
          <w:tcPr>
            <w:tcW w:w="3118" w:type="dxa"/>
          </w:tcPr>
          <w:p w:rsidR="00991FB5" w:rsidRPr="00991FB5" w:rsidRDefault="0013442E" w:rsidP="0013442E">
            <w:pPr>
              <w:pStyle w:val="ListParagraph"/>
              <w:numPr>
                <w:ilvl w:val="0"/>
                <w:numId w:val="10"/>
              </w:numPr>
              <w:spacing w:after="0" w:line="240" w:lineRule="auto"/>
              <w:jc w:val="both"/>
            </w:pPr>
            <w:r w:rsidRPr="0013442E">
              <w:rPr>
                <w:sz w:val="24"/>
                <w:szCs w:val="24"/>
              </w:rPr>
              <w:t>EUISG members to email Amana by mid-March about what they are doing on quality employment and adequate wages, and if they are interested in using common tools (logo, website).</w:t>
            </w:r>
          </w:p>
        </w:tc>
      </w:tr>
      <w:tr w:rsidR="00991FB5" w:rsidTr="00511212">
        <w:tc>
          <w:tcPr>
            <w:tcW w:w="692" w:type="dxa"/>
          </w:tcPr>
          <w:p w:rsidR="00991FB5" w:rsidRDefault="0013442E" w:rsidP="00E04607">
            <w:pPr>
              <w:jc w:val="center"/>
              <w:rPr>
                <w:b/>
                <w:sz w:val="24"/>
                <w:szCs w:val="24"/>
              </w:rPr>
            </w:pPr>
            <w:r>
              <w:rPr>
                <w:b/>
                <w:sz w:val="24"/>
                <w:szCs w:val="24"/>
              </w:rPr>
              <w:t>10.</w:t>
            </w:r>
          </w:p>
        </w:tc>
        <w:tc>
          <w:tcPr>
            <w:tcW w:w="1713" w:type="dxa"/>
          </w:tcPr>
          <w:p w:rsidR="00991FB5" w:rsidRDefault="0013442E" w:rsidP="003E24B4">
            <w:pPr>
              <w:rPr>
                <w:b/>
                <w:sz w:val="24"/>
                <w:szCs w:val="24"/>
              </w:rPr>
            </w:pPr>
            <w:r>
              <w:rPr>
                <w:b/>
                <w:sz w:val="24"/>
                <w:szCs w:val="24"/>
              </w:rPr>
              <w:t>Policy Task Forces</w:t>
            </w:r>
          </w:p>
        </w:tc>
        <w:tc>
          <w:tcPr>
            <w:tcW w:w="3827" w:type="dxa"/>
          </w:tcPr>
          <w:p w:rsidR="0013442E" w:rsidRPr="0013442E" w:rsidRDefault="0013442E" w:rsidP="0013442E">
            <w:pPr>
              <w:pStyle w:val="ListParagraph"/>
              <w:numPr>
                <w:ilvl w:val="0"/>
                <w:numId w:val="10"/>
              </w:numPr>
              <w:spacing w:after="0" w:line="240" w:lineRule="auto"/>
              <w:jc w:val="both"/>
              <w:rPr>
                <w:sz w:val="24"/>
                <w:szCs w:val="24"/>
              </w:rPr>
            </w:pPr>
            <w:r w:rsidRPr="0013442E">
              <w:rPr>
                <w:sz w:val="24"/>
                <w:szCs w:val="24"/>
              </w:rPr>
              <w:t>The Secretariat will then send out the Application Form, with the deadline on 6 February.</w:t>
            </w:r>
          </w:p>
          <w:p w:rsidR="0013442E" w:rsidRPr="0013442E" w:rsidRDefault="0013442E" w:rsidP="0013442E">
            <w:pPr>
              <w:pStyle w:val="ListParagraph"/>
              <w:numPr>
                <w:ilvl w:val="0"/>
                <w:numId w:val="10"/>
              </w:numPr>
              <w:spacing w:after="0" w:line="240" w:lineRule="auto"/>
              <w:jc w:val="both"/>
              <w:rPr>
                <w:sz w:val="24"/>
                <w:szCs w:val="24"/>
              </w:rPr>
            </w:pPr>
            <w:r w:rsidRPr="0013442E">
              <w:rPr>
                <w:sz w:val="24"/>
                <w:szCs w:val="24"/>
              </w:rPr>
              <w:t>The selection will be made by the Steering Group and the Bureau on March 19.</w:t>
            </w:r>
          </w:p>
          <w:p w:rsidR="0013442E" w:rsidRPr="0013442E" w:rsidRDefault="0013442E" w:rsidP="0013442E">
            <w:pPr>
              <w:pStyle w:val="ListParagraph"/>
              <w:numPr>
                <w:ilvl w:val="0"/>
                <w:numId w:val="10"/>
              </w:numPr>
              <w:spacing w:after="0" w:line="240" w:lineRule="auto"/>
              <w:jc w:val="both"/>
              <w:rPr>
                <w:sz w:val="24"/>
                <w:szCs w:val="24"/>
              </w:rPr>
            </w:pPr>
            <w:r w:rsidRPr="0013442E">
              <w:rPr>
                <w:sz w:val="24"/>
                <w:szCs w:val="24"/>
              </w:rPr>
              <w:t>First meeting of the Task Forces – end of April 2015.</w:t>
            </w:r>
          </w:p>
          <w:p w:rsidR="00991FB5" w:rsidRPr="00991FB5" w:rsidRDefault="00991FB5" w:rsidP="0013442E">
            <w:pPr>
              <w:spacing w:after="0" w:line="240" w:lineRule="auto"/>
              <w:jc w:val="both"/>
              <w:rPr>
                <w:sz w:val="24"/>
                <w:szCs w:val="24"/>
              </w:rPr>
            </w:pPr>
          </w:p>
        </w:tc>
        <w:tc>
          <w:tcPr>
            <w:tcW w:w="3118" w:type="dxa"/>
          </w:tcPr>
          <w:p w:rsidR="0013442E" w:rsidRPr="0013442E" w:rsidRDefault="0013442E" w:rsidP="0013442E">
            <w:pPr>
              <w:pStyle w:val="ListParagraph"/>
              <w:numPr>
                <w:ilvl w:val="0"/>
                <w:numId w:val="10"/>
              </w:numPr>
              <w:spacing w:after="0" w:line="240" w:lineRule="auto"/>
              <w:jc w:val="both"/>
              <w:rPr>
                <w:sz w:val="24"/>
                <w:szCs w:val="24"/>
              </w:rPr>
            </w:pPr>
            <w:r w:rsidRPr="0013442E">
              <w:rPr>
                <w:sz w:val="24"/>
                <w:szCs w:val="24"/>
              </w:rPr>
              <w:t>Send amendments to the Terms of Reference for both Task Force by Friday, 13 February</w:t>
            </w:r>
          </w:p>
          <w:p w:rsidR="00991FB5" w:rsidRPr="00991FB5" w:rsidRDefault="0013442E" w:rsidP="0013442E">
            <w:pPr>
              <w:pStyle w:val="ListParagraph"/>
              <w:numPr>
                <w:ilvl w:val="0"/>
                <w:numId w:val="10"/>
              </w:numPr>
              <w:spacing w:after="0" w:line="240" w:lineRule="auto"/>
              <w:jc w:val="both"/>
            </w:pPr>
            <w:r w:rsidRPr="0013442E">
              <w:rPr>
                <w:sz w:val="24"/>
                <w:szCs w:val="24"/>
              </w:rPr>
              <w:t>Members to respond to e-mail from Ombudsman if have examples of use of SF violating fundamental rights.</w:t>
            </w:r>
          </w:p>
        </w:tc>
      </w:tr>
      <w:tr w:rsidR="0013442E" w:rsidTr="00511212">
        <w:tc>
          <w:tcPr>
            <w:tcW w:w="692" w:type="dxa"/>
          </w:tcPr>
          <w:p w:rsidR="0013442E" w:rsidRDefault="0013442E" w:rsidP="00E04607">
            <w:pPr>
              <w:jc w:val="center"/>
              <w:rPr>
                <w:b/>
                <w:sz w:val="24"/>
                <w:szCs w:val="24"/>
              </w:rPr>
            </w:pPr>
            <w:r>
              <w:rPr>
                <w:b/>
                <w:sz w:val="24"/>
                <w:szCs w:val="24"/>
              </w:rPr>
              <w:t>11.</w:t>
            </w:r>
          </w:p>
        </w:tc>
        <w:tc>
          <w:tcPr>
            <w:tcW w:w="1713" w:type="dxa"/>
          </w:tcPr>
          <w:p w:rsidR="0013442E" w:rsidRDefault="0013442E" w:rsidP="003E24B4">
            <w:pPr>
              <w:rPr>
                <w:b/>
                <w:sz w:val="24"/>
                <w:szCs w:val="24"/>
              </w:rPr>
            </w:pPr>
            <w:r>
              <w:rPr>
                <w:b/>
                <w:sz w:val="24"/>
                <w:szCs w:val="24"/>
              </w:rPr>
              <w:t xml:space="preserve">European </w:t>
            </w:r>
            <w:proofErr w:type="spellStart"/>
            <w:r>
              <w:rPr>
                <w:b/>
                <w:sz w:val="24"/>
                <w:szCs w:val="24"/>
              </w:rPr>
              <w:t>Organisations</w:t>
            </w:r>
            <w:proofErr w:type="spellEnd"/>
          </w:p>
        </w:tc>
        <w:tc>
          <w:tcPr>
            <w:tcW w:w="3827" w:type="dxa"/>
          </w:tcPr>
          <w:p w:rsidR="0013442E" w:rsidRPr="0013442E" w:rsidRDefault="0013442E" w:rsidP="0013442E">
            <w:pPr>
              <w:pStyle w:val="ListParagraph"/>
              <w:numPr>
                <w:ilvl w:val="0"/>
                <w:numId w:val="10"/>
              </w:numPr>
              <w:spacing w:after="0" w:line="240" w:lineRule="auto"/>
              <w:jc w:val="both"/>
              <w:rPr>
                <w:sz w:val="24"/>
                <w:szCs w:val="24"/>
              </w:rPr>
            </w:pPr>
          </w:p>
        </w:tc>
        <w:tc>
          <w:tcPr>
            <w:tcW w:w="3118" w:type="dxa"/>
          </w:tcPr>
          <w:p w:rsidR="0013442E" w:rsidRPr="0013442E" w:rsidRDefault="0013442E" w:rsidP="0013442E">
            <w:pPr>
              <w:pStyle w:val="ListParagraph"/>
              <w:numPr>
                <w:ilvl w:val="0"/>
                <w:numId w:val="11"/>
              </w:numPr>
              <w:spacing w:after="0" w:line="240" w:lineRule="auto"/>
              <w:jc w:val="both"/>
              <w:rPr>
                <w:sz w:val="24"/>
                <w:szCs w:val="24"/>
              </w:rPr>
            </w:pPr>
            <w:r w:rsidRPr="0013442E">
              <w:rPr>
                <w:sz w:val="24"/>
                <w:szCs w:val="24"/>
              </w:rPr>
              <w:t xml:space="preserve">European Organizations to follow up on discussion with their members on </w:t>
            </w:r>
            <w:r w:rsidRPr="0013442E">
              <w:rPr>
                <w:sz w:val="24"/>
                <w:szCs w:val="24"/>
              </w:rPr>
              <w:lastRenderedPageBreak/>
              <w:t>their role in the EUISG and to consider proposal for place on the new Steering Group.</w:t>
            </w:r>
          </w:p>
          <w:p w:rsidR="0013442E" w:rsidRPr="0013442E" w:rsidRDefault="0013442E" w:rsidP="0013442E">
            <w:pPr>
              <w:pStyle w:val="ListParagraph"/>
              <w:spacing w:after="0" w:line="240" w:lineRule="auto"/>
              <w:ind w:left="360"/>
              <w:jc w:val="both"/>
              <w:rPr>
                <w:sz w:val="24"/>
                <w:szCs w:val="24"/>
              </w:rPr>
            </w:pPr>
          </w:p>
        </w:tc>
      </w:tr>
      <w:tr w:rsidR="00AB4136" w:rsidTr="00511212">
        <w:tc>
          <w:tcPr>
            <w:tcW w:w="692" w:type="dxa"/>
          </w:tcPr>
          <w:p w:rsidR="00AB4136" w:rsidRDefault="00AB4136" w:rsidP="00E04607">
            <w:pPr>
              <w:jc w:val="center"/>
              <w:rPr>
                <w:b/>
                <w:sz w:val="24"/>
                <w:szCs w:val="24"/>
              </w:rPr>
            </w:pPr>
            <w:r>
              <w:rPr>
                <w:b/>
                <w:sz w:val="24"/>
                <w:szCs w:val="24"/>
              </w:rPr>
              <w:lastRenderedPageBreak/>
              <w:t>12.</w:t>
            </w:r>
          </w:p>
        </w:tc>
        <w:tc>
          <w:tcPr>
            <w:tcW w:w="1713" w:type="dxa"/>
          </w:tcPr>
          <w:p w:rsidR="00AB4136" w:rsidRDefault="00AB4136" w:rsidP="003E24B4">
            <w:pPr>
              <w:rPr>
                <w:b/>
                <w:sz w:val="24"/>
                <w:szCs w:val="24"/>
              </w:rPr>
            </w:pPr>
            <w:r>
              <w:rPr>
                <w:b/>
                <w:sz w:val="24"/>
                <w:szCs w:val="24"/>
              </w:rPr>
              <w:t>Next Meetings</w:t>
            </w:r>
          </w:p>
        </w:tc>
        <w:tc>
          <w:tcPr>
            <w:tcW w:w="3827" w:type="dxa"/>
          </w:tcPr>
          <w:p w:rsidR="00AB4136" w:rsidRDefault="00AB4136" w:rsidP="00AB4136">
            <w:pPr>
              <w:spacing w:after="0" w:line="240" w:lineRule="auto"/>
              <w:jc w:val="both"/>
              <w:rPr>
                <w:sz w:val="24"/>
                <w:szCs w:val="24"/>
              </w:rPr>
            </w:pPr>
            <w:r>
              <w:rPr>
                <w:sz w:val="24"/>
                <w:szCs w:val="24"/>
              </w:rPr>
              <w:t>2 July (change of date!)</w:t>
            </w:r>
          </w:p>
          <w:p w:rsidR="00AB4136" w:rsidRPr="00AB4136" w:rsidRDefault="000628E9" w:rsidP="00AB4136">
            <w:pPr>
              <w:spacing w:after="0" w:line="240" w:lineRule="auto"/>
              <w:jc w:val="both"/>
              <w:rPr>
                <w:sz w:val="24"/>
                <w:szCs w:val="24"/>
              </w:rPr>
            </w:pPr>
            <w:r>
              <w:rPr>
                <w:sz w:val="24"/>
                <w:szCs w:val="24"/>
              </w:rPr>
              <w:t>9</w:t>
            </w:r>
            <w:r w:rsidR="00AB4136">
              <w:rPr>
                <w:sz w:val="24"/>
                <w:szCs w:val="24"/>
              </w:rPr>
              <w:t>-10</w:t>
            </w:r>
            <w:r w:rsidR="00AB4136" w:rsidRPr="00AB4136">
              <w:rPr>
                <w:sz w:val="24"/>
                <w:szCs w:val="24"/>
                <w:vertAlign w:val="superscript"/>
              </w:rPr>
              <w:t>th</w:t>
            </w:r>
            <w:r w:rsidR="00AB4136">
              <w:rPr>
                <w:sz w:val="24"/>
                <w:szCs w:val="24"/>
              </w:rPr>
              <w:t xml:space="preserve"> October with Policy Conference (provisional to be confirmed).</w:t>
            </w:r>
            <w:bookmarkStart w:id="0" w:name="_GoBack"/>
            <w:bookmarkEnd w:id="0"/>
          </w:p>
        </w:tc>
        <w:tc>
          <w:tcPr>
            <w:tcW w:w="3118" w:type="dxa"/>
          </w:tcPr>
          <w:p w:rsidR="00AB4136" w:rsidRPr="0013442E" w:rsidRDefault="00AB4136" w:rsidP="00AB4136">
            <w:pPr>
              <w:pStyle w:val="ListParagraph"/>
              <w:spacing w:after="0" w:line="240" w:lineRule="auto"/>
              <w:ind w:left="360"/>
              <w:jc w:val="both"/>
              <w:rPr>
                <w:sz w:val="24"/>
                <w:szCs w:val="24"/>
              </w:rPr>
            </w:pPr>
          </w:p>
        </w:tc>
      </w:tr>
    </w:tbl>
    <w:p w:rsidR="00B927AD" w:rsidRDefault="00B927AD" w:rsidP="00E04607">
      <w:pPr>
        <w:jc w:val="center"/>
        <w:rPr>
          <w:b/>
          <w:sz w:val="24"/>
          <w:szCs w:val="24"/>
        </w:rPr>
      </w:pPr>
    </w:p>
    <w:p w:rsidR="00FC249E" w:rsidRPr="005E3E55" w:rsidRDefault="00FC249E" w:rsidP="00E04607">
      <w:pPr>
        <w:jc w:val="center"/>
        <w:rPr>
          <w:b/>
        </w:rPr>
      </w:pPr>
    </w:p>
    <w:sectPr w:rsidR="00FC249E" w:rsidRPr="005E3E55" w:rsidSect="00441AF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3EB6" w:rsidRDefault="004C3EB6" w:rsidP="00D84C95">
      <w:pPr>
        <w:spacing w:after="0" w:line="240" w:lineRule="auto"/>
      </w:pPr>
      <w:r>
        <w:separator/>
      </w:r>
    </w:p>
  </w:endnote>
  <w:endnote w:type="continuationSeparator" w:id="1">
    <w:p w:rsidR="004C3EB6" w:rsidRDefault="004C3EB6" w:rsidP="00D84C95">
      <w:pPr>
        <w:spacing w:after="0" w:line="240" w:lineRule="auto"/>
      </w:pPr>
      <w:r>
        <w:continuationSeparator/>
      </w:r>
    </w:p>
  </w:endnote>
  <w:endnote w:type="continuationNotice" w:id="2">
    <w:p w:rsidR="004C3EB6" w:rsidRDefault="004C3EB6">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A74" w:rsidRDefault="00DC4FD5">
    <w:pPr>
      <w:pStyle w:val="Footer"/>
      <w:jc w:val="right"/>
    </w:pPr>
    <w:r>
      <w:fldChar w:fldCharType="begin"/>
    </w:r>
    <w:r w:rsidR="007B0A74">
      <w:instrText xml:space="preserve"> PAGE   \* MERGEFORMAT </w:instrText>
    </w:r>
    <w:r>
      <w:fldChar w:fldCharType="separate"/>
    </w:r>
    <w:r w:rsidR="000628E9">
      <w:rPr>
        <w:noProof/>
      </w:rPr>
      <w:t>3</w:t>
    </w:r>
    <w:r>
      <w:rPr>
        <w:noProof/>
      </w:rPr>
      <w:fldChar w:fldCharType="end"/>
    </w:r>
  </w:p>
  <w:p w:rsidR="007B0A74" w:rsidRDefault="007B0A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3EB6" w:rsidRDefault="004C3EB6" w:rsidP="00D84C95">
      <w:pPr>
        <w:spacing w:after="0" w:line="240" w:lineRule="auto"/>
      </w:pPr>
      <w:r>
        <w:separator/>
      </w:r>
    </w:p>
  </w:footnote>
  <w:footnote w:type="continuationSeparator" w:id="1">
    <w:p w:rsidR="004C3EB6" w:rsidRDefault="004C3EB6" w:rsidP="00D84C95">
      <w:pPr>
        <w:spacing w:after="0" w:line="240" w:lineRule="auto"/>
      </w:pPr>
      <w:r>
        <w:continuationSeparator/>
      </w:r>
    </w:p>
  </w:footnote>
  <w:footnote w:type="continuationNotice" w:id="2">
    <w:p w:rsidR="004C3EB6" w:rsidRDefault="004C3EB6">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EE6" w:rsidRPr="0059192C" w:rsidRDefault="008E2EE6" w:rsidP="00991FB5">
    <w:pPr>
      <w:pStyle w:val="Header"/>
      <w:tabs>
        <w:tab w:val="clear" w:pos="9360"/>
      </w:tabs>
      <w:ind w:right="-705"/>
      <w:jc w:val="center"/>
      <w:rPr>
        <w:b/>
        <w:sz w:val="32"/>
        <w:szCs w:val="32"/>
      </w:rPr>
    </w:pPr>
  </w:p>
  <w:p w:rsidR="0059192C" w:rsidRDefault="005919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C5234"/>
    <w:multiLevelType w:val="hybridMultilevel"/>
    <w:tmpl w:val="F7202B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AE8659B"/>
    <w:multiLevelType w:val="hybridMultilevel"/>
    <w:tmpl w:val="61FA38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EBA548C"/>
    <w:multiLevelType w:val="hybridMultilevel"/>
    <w:tmpl w:val="7E8ADA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E325450"/>
    <w:multiLevelType w:val="hybridMultilevel"/>
    <w:tmpl w:val="9EACA4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6F43C05"/>
    <w:multiLevelType w:val="hybridMultilevel"/>
    <w:tmpl w:val="B2E45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B722101"/>
    <w:multiLevelType w:val="hybridMultilevel"/>
    <w:tmpl w:val="67A494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24E41D9"/>
    <w:multiLevelType w:val="hybridMultilevel"/>
    <w:tmpl w:val="D20CA0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2E26F36"/>
    <w:multiLevelType w:val="hybridMultilevel"/>
    <w:tmpl w:val="6D2A7B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AB80BAE"/>
    <w:multiLevelType w:val="hybridMultilevel"/>
    <w:tmpl w:val="4D9CC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C643843"/>
    <w:multiLevelType w:val="hybridMultilevel"/>
    <w:tmpl w:val="597A3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BCD62E1"/>
    <w:multiLevelType w:val="hybridMultilevel"/>
    <w:tmpl w:val="21480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DD829A8"/>
    <w:multiLevelType w:val="hybridMultilevel"/>
    <w:tmpl w:val="18DCF7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1"/>
  </w:num>
  <w:num w:numId="3">
    <w:abstractNumId w:val="5"/>
  </w:num>
  <w:num w:numId="4">
    <w:abstractNumId w:val="6"/>
  </w:num>
  <w:num w:numId="5">
    <w:abstractNumId w:val="3"/>
  </w:num>
  <w:num w:numId="6">
    <w:abstractNumId w:val="9"/>
  </w:num>
  <w:num w:numId="7">
    <w:abstractNumId w:val="7"/>
  </w:num>
  <w:num w:numId="8">
    <w:abstractNumId w:val="10"/>
  </w:num>
  <w:num w:numId="9">
    <w:abstractNumId w:val="0"/>
  </w:num>
  <w:num w:numId="10">
    <w:abstractNumId w:val="2"/>
  </w:num>
  <w:num w:numId="11">
    <w:abstractNumId w:val="4"/>
  </w:num>
  <w:num w:numId="12">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hyphenationZone w:val="425"/>
  <w:characterSpacingControl w:val="doNotCompress"/>
  <w:footnotePr>
    <w:footnote w:id="0"/>
    <w:footnote w:id="1"/>
    <w:footnote w:id="2"/>
  </w:footnotePr>
  <w:endnotePr>
    <w:endnote w:id="0"/>
    <w:endnote w:id="1"/>
    <w:endnote w:id="2"/>
  </w:endnotePr>
  <w:compat/>
  <w:rsids>
    <w:rsidRoot w:val="00E04607"/>
    <w:rsid w:val="00024FAB"/>
    <w:rsid w:val="000265CE"/>
    <w:rsid w:val="00033C58"/>
    <w:rsid w:val="000628E9"/>
    <w:rsid w:val="0009668D"/>
    <w:rsid w:val="000F1C66"/>
    <w:rsid w:val="0012552E"/>
    <w:rsid w:val="0013442E"/>
    <w:rsid w:val="001663DA"/>
    <w:rsid w:val="002A118F"/>
    <w:rsid w:val="00306F8C"/>
    <w:rsid w:val="0033403D"/>
    <w:rsid w:val="00351C85"/>
    <w:rsid w:val="00377FB3"/>
    <w:rsid w:val="003A2959"/>
    <w:rsid w:val="003C225A"/>
    <w:rsid w:val="003E24B4"/>
    <w:rsid w:val="00405541"/>
    <w:rsid w:val="00433489"/>
    <w:rsid w:val="00441AFF"/>
    <w:rsid w:val="004C3EB6"/>
    <w:rsid w:val="004D3BC8"/>
    <w:rsid w:val="004F3C36"/>
    <w:rsid w:val="00511212"/>
    <w:rsid w:val="005466F2"/>
    <w:rsid w:val="005502EE"/>
    <w:rsid w:val="005725C4"/>
    <w:rsid w:val="00581109"/>
    <w:rsid w:val="0059192C"/>
    <w:rsid w:val="005B4373"/>
    <w:rsid w:val="005C790D"/>
    <w:rsid w:val="005E3E55"/>
    <w:rsid w:val="00651646"/>
    <w:rsid w:val="00664B72"/>
    <w:rsid w:val="00666E6E"/>
    <w:rsid w:val="006750A6"/>
    <w:rsid w:val="006D24F9"/>
    <w:rsid w:val="007B0A74"/>
    <w:rsid w:val="00804754"/>
    <w:rsid w:val="008132FB"/>
    <w:rsid w:val="00855E1E"/>
    <w:rsid w:val="008658EC"/>
    <w:rsid w:val="00873EE6"/>
    <w:rsid w:val="008E2EE6"/>
    <w:rsid w:val="0092710B"/>
    <w:rsid w:val="0099082C"/>
    <w:rsid w:val="00991FB5"/>
    <w:rsid w:val="009C7D5A"/>
    <w:rsid w:val="00A21AB2"/>
    <w:rsid w:val="00A252A2"/>
    <w:rsid w:val="00A67466"/>
    <w:rsid w:val="00A85D50"/>
    <w:rsid w:val="00AB4136"/>
    <w:rsid w:val="00B4077E"/>
    <w:rsid w:val="00B87D4D"/>
    <w:rsid w:val="00B927AD"/>
    <w:rsid w:val="00C42339"/>
    <w:rsid w:val="00CE2359"/>
    <w:rsid w:val="00D84C95"/>
    <w:rsid w:val="00DA029F"/>
    <w:rsid w:val="00DC199C"/>
    <w:rsid w:val="00DC4FD5"/>
    <w:rsid w:val="00DD1383"/>
    <w:rsid w:val="00DE2290"/>
    <w:rsid w:val="00E0418D"/>
    <w:rsid w:val="00E04607"/>
    <w:rsid w:val="00E17438"/>
    <w:rsid w:val="00E43F9F"/>
    <w:rsid w:val="00EE42B1"/>
    <w:rsid w:val="00F56128"/>
    <w:rsid w:val="00F60E03"/>
    <w:rsid w:val="00F824DA"/>
    <w:rsid w:val="00FC249E"/>
    <w:rsid w:val="00FE1724"/>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AFF"/>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046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502EE"/>
    <w:pPr>
      <w:ind w:left="720"/>
      <w:contextualSpacing/>
    </w:pPr>
    <w:rPr>
      <w:lang w:val="en-GB"/>
    </w:rPr>
  </w:style>
  <w:style w:type="paragraph" w:styleId="Header">
    <w:name w:val="header"/>
    <w:basedOn w:val="Normal"/>
    <w:link w:val="HeaderChar"/>
    <w:uiPriority w:val="99"/>
    <w:unhideWhenUsed/>
    <w:rsid w:val="00A21AB2"/>
    <w:pPr>
      <w:tabs>
        <w:tab w:val="center" w:pos="4680"/>
        <w:tab w:val="right" w:pos="9360"/>
      </w:tabs>
      <w:spacing w:after="0" w:line="240" w:lineRule="auto"/>
    </w:pPr>
    <w:rPr>
      <w:sz w:val="20"/>
      <w:szCs w:val="20"/>
      <w:lang w:val="en-GB"/>
    </w:rPr>
  </w:style>
  <w:style w:type="character" w:customStyle="1" w:styleId="HeaderChar">
    <w:name w:val="Header Char"/>
    <w:link w:val="Header"/>
    <w:uiPriority w:val="99"/>
    <w:rsid w:val="00A21AB2"/>
    <w:rPr>
      <w:lang w:val="en-GB"/>
    </w:rPr>
  </w:style>
  <w:style w:type="paragraph" w:styleId="Footer">
    <w:name w:val="footer"/>
    <w:basedOn w:val="Normal"/>
    <w:link w:val="FooterChar"/>
    <w:uiPriority w:val="99"/>
    <w:unhideWhenUsed/>
    <w:rsid w:val="00D84C95"/>
    <w:pPr>
      <w:tabs>
        <w:tab w:val="center" w:pos="4680"/>
        <w:tab w:val="right" w:pos="9360"/>
      </w:tabs>
    </w:pPr>
    <w:rPr>
      <w:lang/>
    </w:rPr>
  </w:style>
  <w:style w:type="character" w:customStyle="1" w:styleId="FooterChar">
    <w:name w:val="Footer Char"/>
    <w:link w:val="Footer"/>
    <w:uiPriority w:val="99"/>
    <w:rsid w:val="00D84C95"/>
    <w:rPr>
      <w:sz w:val="22"/>
      <w:szCs w:val="22"/>
    </w:rPr>
  </w:style>
  <w:style w:type="paragraph" w:customStyle="1" w:styleId="Default">
    <w:name w:val="Default"/>
    <w:rsid w:val="00377FB3"/>
    <w:pPr>
      <w:autoSpaceDE w:val="0"/>
      <w:autoSpaceDN w:val="0"/>
      <w:adjustRightInd w:val="0"/>
    </w:pPr>
    <w:rPr>
      <w:rFonts w:ascii="Symbol" w:eastAsiaTheme="minorHAnsi" w:hAnsi="Symbol" w:cs="Symbol"/>
      <w:color w:val="000000"/>
      <w:sz w:val="24"/>
      <w:szCs w:val="24"/>
      <w:lang w:val="it-IT"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D8200-7061-4C65-BE8C-E3B80E23C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524</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 Jones</dc:creator>
  <cp:lastModifiedBy>Vincent Caron</cp:lastModifiedBy>
  <cp:revision>2</cp:revision>
  <dcterms:created xsi:type="dcterms:W3CDTF">2015-06-09T12:49:00Z</dcterms:created>
  <dcterms:modified xsi:type="dcterms:W3CDTF">2015-06-09T12:49:00Z</dcterms:modified>
</cp:coreProperties>
</file>