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diagrams/data1.xml" ContentType="application/vnd.openxmlformats-officedocument.drawingml.diagramData+xml"/>
  <Default Extension="jpeg" ContentType="image/jpeg"/>
  <Override PartName="/word/theme/themeOverride1.xml" ContentType="application/vnd.openxmlformats-officedocument.themeOverride+xml"/>
  <Default Extension="emf" ContentType="image/x-emf"/>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drawings/drawing1.xml" ContentType="application/vnd.openxmlformats-officedocument.drawingml.chartshapes+xml"/>
  <Override PartName="/word/header20.xml" ContentType="application/vnd.openxmlformats-officedocument.wordprocessingml.head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Default Extension="png" ContentType="image/png"/>
  <Override PartName="/word/header19.xml" ContentType="application/vnd.openxmlformats-officedocument.wordprocessingml.header+xml"/>
  <Override PartName="/word/diagrams/quickStyle1.xml" ContentType="application/vnd.openxmlformats-officedocument.drawingml.diagramStyle+xml"/>
  <Override PartName="/word/theme/themeOverride2.xml" ContentType="application/vnd.openxmlformats-officedocument.themeOverride+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en-US"/>
        </w:rPr>
        <w:id w:val="372785"/>
        <w:docPartObj>
          <w:docPartGallery w:val="Cover Pages"/>
          <w:docPartUnique/>
        </w:docPartObj>
      </w:sdtPr>
      <w:sdtEndPr>
        <w:rPr>
          <w:rFonts w:ascii="Calibri" w:eastAsia="Calibri" w:hAnsi="Calibri" w:cs="Times New Roman"/>
          <w:b/>
          <w:bCs/>
          <w:sz w:val="22"/>
          <w:szCs w:val="22"/>
          <w:lang w:val="el-GR"/>
        </w:rPr>
      </w:sdtEndPr>
      <w:sdtContent>
        <w:p w:rsidR="0015121E" w:rsidRPr="007A7801" w:rsidRDefault="0015121E" w:rsidP="0015121E">
          <w:pPr>
            <w:pStyle w:val="NoSpacing"/>
            <w:jc w:val="center"/>
            <w:rPr>
              <w:rFonts w:ascii="Times New Roman" w:eastAsiaTheme="majorEastAsia" w:hAnsi="Times New Roman"/>
              <w:sz w:val="72"/>
              <w:szCs w:val="72"/>
              <w:lang w:val="en-US"/>
            </w:rPr>
          </w:pPr>
        </w:p>
        <w:p w:rsidR="0015121E" w:rsidRPr="007A7801" w:rsidRDefault="0015121E" w:rsidP="0015121E">
          <w:pPr>
            <w:rPr>
              <w:b/>
              <w:sz w:val="72"/>
              <w:szCs w:val="72"/>
              <w:lang w:val="en-GB"/>
            </w:rPr>
          </w:pPr>
        </w:p>
        <w:p w:rsidR="0015121E" w:rsidRPr="007A7801" w:rsidRDefault="0015121E" w:rsidP="0015121E">
          <w:pPr>
            <w:rPr>
              <w:b/>
              <w:color w:val="17365D" w:themeColor="text2" w:themeShade="BF"/>
              <w:sz w:val="64"/>
              <w:szCs w:val="64"/>
              <w:lang w:val="en-GB"/>
            </w:rPr>
          </w:pPr>
          <w:r w:rsidRPr="007A7801">
            <w:rPr>
              <w:noProof/>
            </w:rPr>
            <w:drawing>
              <wp:inline distT="0" distB="0" distL="0" distR="0">
                <wp:extent cx="655155" cy="666750"/>
                <wp:effectExtent l="19050" t="0" r="0" b="0"/>
                <wp:docPr id="7" name="Picture 1" descr="cid:image001.jpg@01CAE54B.CABCA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E54B.CABCA8F0"/>
                        <pic:cNvPicPr>
                          <a:picLocks noChangeAspect="1" noChangeArrowheads="1"/>
                        </pic:cNvPicPr>
                      </pic:nvPicPr>
                      <pic:blipFill>
                        <a:blip r:embed="rId8" r:link="rId9" cstate="print"/>
                        <a:srcRect/>
                        <a:stretch>
                          <a:fillRect/>
                        </a:stretch>
                      </pic:blipFill>
                      <pic:spPr bwMode="auto">
                        <a:xfrm>
                          <a:off x="0" y="0"/>
                          <a:ext cx="655155" cy="666750"/>
                        </a:xfrm>
                        <a:prstGeom prst="rect">
                          <a:avLst/>
                        </a:prstGeom>
                        <a:gradFill>
                          <a:gsLst>
                            <a:gs pos="0">
                              <a:schemeClr val="accent6">
                                <a:lumMod val="60000"/>
                                <a:lumOff val="4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p w:rsidR="0015121E" w:rsidRPr="007A7801" w:rsidRDefault="0015121E" w:rsidP="0015121E">
          <w:pPr>
            <w:tabs>
              <w:tab w:val="left" w:pos="6225"/>
            </w:tabs>
            <w:rPr>
              <w:b/>
              <w:color w:val="17365D" w:themeColor="text2" w:themeShade="BF"/>
              <w:sz w:val="64"/>
              <w:szCs w:val="64"/>
              <w:lang w:val="en-GB"/>
            </w:rPr>
          </w:pPr>
          <w:r>
            <w:rPr>
              <w:b/>
              <w:color w:val="17365D" w:themeColor="text2" w:themeShade="BF"/>
              <w:sz w:val="64"/>
              <w:szCs w:val="64"/>
              <w:lang w:val="en-GB"/>
            </w:rPr>
            <w:tab/>
          </w:r>
        </w:p>
        <w:p w:rsidR="0015121E" w:rsidRPr="009D4D7F" w:rsidRDefault="0015121E" w:rsidP="0015121E">
          <w:pPr>
            <w:ind w:left="-426"/>
            <w:rPr>
              <w:b/>
              <w:color w:val="4F81BD" w:themeColor="accent1"/>
              <w:sz w:val="36"/>
              <w:szCs w:val="36"/>
              <w:lang w:val="en-GB"/>
            </w:rPr>
          </w:pPr>
          <w:r w:rsidRPr="009D4D7F">
            <w:rPr>
              <w:b/>
              <w:color w:val="4F81BD" w:themeColor="accent1"/>
              <w:sz w:val="36"/>
              <w:szCs w:val="36"/>
              <w:lang w:val="en-GB"/>
            </w:rPr>
            <w:t>Cyprus National Reform Programme</w:t>
          </w:r>
          <w:r w:rsidR="000B2496" w:rsidRPr="000B2496">
            <w:rPr>
              <w:rFonts w:eastAsiaTheme="majorEastAsia"/>
              <w:noProof/>
              <w:color w:val="4F81BD" w:themeColor="accent1"/>
              <w:sz w:val="36"/>
              <w:szCs w:val="36"/>
            </w:rPr>
            <w:pict>
              <v:rect id="_x0000_s1147" style="position:absolute;left:0;text-align:left;margin-left:0;margin-top:0;width:638.55pt;height:65.2pt;z-index:251671552;mso-width-percent:1050;mso-height-percent:900;mso-position-horizontal:center;mso-position-horizontal-relative:page;mso-position-vertical:bottom;mso-position-vertical-relative:page;mso-width-percent:1050;mso-height-percent:900;mso-height-relative:top-margin-area" o:allowincell="f" fillcolor="#4f81bd [3204]" strokecolor="#f2f2f2 [3041]" strokeweight="3pt">
                <v:shadow on="t" type="perspective" color="#243f60 [1604]" opacity=".5" offset="1pt" offset2="-1pt"/>
                <w10:wrap anchorx="page" anchory="page"/>
              </v:rect>
            </w:pict>
          </w:r>
          <w:r w:rsidR="000B2496" w:rsidRPr="000B2496">
            <w:rPr>
              <w:rFonts w:eastAsiaTheme="majorEastAsia"/>
              <w:noProof/>
              <w:color w:val="4F81BD" w:themeColor="accent1"/>
              <w:sz w:val="36"/>
              <w:szCs w:val="36"/>
            </w:rPr>
            <w:pict>
              <v:rect id="_x0000_s1150" style="position:absolute;left:0;text-align:left;margin-left:0;margin-top:0;width:7.15pt;height:830.8pt;z-index:251674624;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0B2496" w:rsidRPr="000B2496">
            <w:rPr>
              <w:rFonts w:eastAsiaTheme="majorEastAsia"/>
              <w:noProof/>
              <w:color w:val="4F81BD" w:themeColor="accent1"/>
              <w:sz w:val="36"/>
              <w:szCs w:val="36"/>
            </w:rPr>
            <w:pict>
              <v:rect id="_x0000_s1149" style="position:absolute;left:0;text-align:left;margin-left:0;margin-top:0;width:7.15pt;height:830.8pt;z-index:25167360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000B2496" w:rsidRPr="000B2496">
            <w:rPr>
              <w:rFonts w:eastAsiaTheme="majorEastAsia"/>
              <w:noProof/>
              <w:color w:val="4F81BD" w:themeColor="accent1"/>
              <w:sz w:val="36"/>
              <w:szCs w:val="36"/>
            </w:rPr>
            <w:pict>
              <v:rect id="_x0000_s1148" style="position:absolute;left:0;text-align:left;margin-left:0;margin-top:0;width:638.55pt;height:65.2pt;z-index:251672576;mso-width-percent:1050;mso-height-percent:900;mso-position-horizontal:center;mso-position-horizontal-relative:page;mso-position-vertical:top;mso-position-vertical-relative:top-margin-area;mso-width-percent:1050;mso-height-percent:900;mso-height-relative:top-margin-area" o:allowincell="f" fillcolor="#4f81bd [3204]" strokecolor="#f2f2f2 [3041]" strokeweight="3pt">
                <v:shadow on="t" type="perspective" color="#243f60 [1604]" opacity=".5" offset="1pt" offset2="-1pt"/>
                <w10:wrap anchorx="page" anchory="margin"/>
              </v:rect>
            </w:pict>
          </w:r>
          <w:r w:rsidRPr="009D4D7F">
            <w:rPr>
              <w:b/>
              <w:color w:val="4F81BD" w:themeColor="accent1"/>
              <w:sz w:val="36"/>
              <w:szCs w:val="36"/>
              <w:lang w:val="en-GB"/>
            </w:rPr>
            <w:t xml:space="preserve"> 2011</w:t>
          </w:r>
        </w:p>
        <w:p w:rsidR="0015121E" w:rsidRPr="009D4D7F" w:rsidRDefault="0015121E" w:rsidP="0015121E">
          <w:pPr>
            <w:ind w:left="-426" w:right="-421"/>
            <w:rPr>
              <w:b/>
              <w:color w:val="17365D" w:themeColor="text2" w:themeShade="BF"/>
              <w:sz w:val="32"/>
              <w:szCs w:val="32"/>
              <w:lang w:val="en-GB"/>
            </w:rPr>
          </w:pPr>
        </w:p>
        <w:p w:rsidR="0015121E" w:rsidRPr="009D4D7F" w:rsidRDefault="0015121E" w:rsidP="0015121E">
          <w:pPr>
            <w:ind w:left="-426" w:right="-421"/>
            <w:rPr>
              <w:b/>
              <w:color w:val="4F81BD" w:themeColor="accent1"/>
              <w:sz w:val="44"/>
              <w:szCs w:val="44"/>
              <w:lang w:val="en-GB"/>
            </w:rPr>
          </w:pPr>
        </w:p>
        <w:p w:rsidR="0015121E" w:rsidRPr="009D4D7F" w:rsidRDefault="0015121E" w:rsidP="0015121E">
          <w:pPr>
            <w:ind w:left="-426" w:right="-421"/>
            <w:rPr>
              <w:b/>
              <w:color w:val="4F81BD" w:themeColor="accent1"/>
              <w:sz w:val="44"/>
              <w:szCs w:val="44"/>
              <w:lang w:val="en-GB"/>
            </w:rPr>
          </w:pPr>
        </w:p>
        <w:p w:rsidR="0015121E" w:rsidRPr="009D4D7F" w:rsidRDefault="0015121E" w:rsidP="0015121E">
          <w:pPr>
            <w:ind w:left="-426" w:right="-421"/>
            <w:rPr>
              <w:b/>
              <w:color w:val="4F81BD" w:themeColor="accent1"/>
              <w:sz w:val="52"/>
              <w:szCs w:val="52"/>
              <w:lang w:val="en-GB"/>
            </w:rPr>
          </w:pPr>
          <w:r w:rsidRPr="009D4D7F">
            <w:rPr>
              <w:b/>
              <w:color w:val="4F81BD" w:themeColor="accent1"/>
              <w:sz w:val="52"/>
              <w:szCs w:val="52"/>
              <w:lang w:val="en-GB"/>
            </w:rPr>
            <w:t>Europe 2020 Strategy for:</w:t>
          </w:r>
        </w:p>
        <w:p w:rsidR="0015121E" w:rsidRPr="009D4D7F" w:rsidRDefault="0015121E" w:rsidP="0015121E">
          <w:pPr>
            <w:ind w:left="-426" w:right="-421"/>
            <w:rPr>
              <w:b/>
              <w:color w:val="4F81BD" w:themeColor="accent1"/>
              <w:sz w:val="52"/>
              <w:szCs w:val="52"/>
              <w:lang w:val="en-GB"/>
            </w:rPr>
          </w:pPr>
          <w:r w:rsidRPr="009D4D7F">
            <w:rPr>
              <w:b/>
              <w:color w:val="4F81BD" w:themeColor="accent1"/>
              <w:sz w:val="52"/>
              <w:szCs w:val="52"/>
              <w:lang w:val="en-GB"/>
            </w:rPr>
            <w:t>Smart, Sustainable and Inclusive Growth</w:t>
          </w:r>
        </w:p>
        <w:p w:rsidR="0015121E" w:rsidRPr="009D4D7F" w:rsidRDefault="0015121E" w:rsidP="0015121E">
          <w:pPr>
            <w:jc w:val="center"/>
            <w:rPr>
              <w:b/>
              <w:color w:val="4F81BD" w:themeColor="accent1"/>
              <w:sz w:val="52"/>
              <w:szCs w:val="52"/>
              <w:lang w:val="en-GB"/>
            </w:rPr>
          </w:pPr>
        </w:p>
        <w:p w:rsidR="0015121E" w:rsidRPr="007A7801" w:rsidRDefault="0015121E" w:rsidP="0015121E">
          <w:pPr>
            <w:jc w:val="center"/>
            <w:rPr>
              <w:b/>
              <w:color w:val="17365D" w:themeColor="text2" w:themeShade="BF"/>
              <w:sz w:val="44"/>
              <w:szCs w:val="44"/>
              <w:lang w:val="en-GB"/>
            </w:rPr>
          </w:pPr>
        </w:p>
        <w:p w:rsidR="0015121E" w:rsidRDefault="0015121E" w:rsidP="0015121E">
          <w:pPr>
            <w:pStyle w:val="NoSpacing"/>
            <w:tabs>
              <w:tab w:val="left" w:pos="1701"/>
            </w:tabs>
            <w:rPr>
              <w:lang w:val="en-US"/>
            </w:rPr>
          </w:pPr>
          <w:r w:rsidRPr="00E95A21">
            <w:rPr>
              <w:lang w:val="en-US"/>
            </w:rPr>
            <w:tab/>
          </w:r>
        </w:p>
        <w:p w:rsidR="0015121E" w:rsidRDefault="0015121E" w:rsidP="0015121E">
          <w:pPr>
            <w:pStyle w:val="NoSpacing"/>
            <w:tabs>
              <w:tab w:val="left" w:pos="1701"/>
            </w:tabs>
            <w:rPr>
              <w:lang w:val="en-US"/>
            </w:rPr>
          </w:pPr>
        </w:p>
        <w:p w:rsidR="0015121E" w:rsidRDefault="0015121E" w:rsidP="0015121E">
          <w:pPr>
            <w:pStyle w:val="NoSpacing"/>
            <w:tabs>
              <w:tab w:val="left" w:pos="1701"/>
            </w:tabs>
            <w:rPr>
              <w:lang w:val="en-US"/>
            </w:rPr>
          </w:pPr>
        </w:p>
        <w:p w:rsidR="0015121E" w:rsidRDefault="0015121E" w:rsidP="0015121E">
          <w:pPr>
            <w:pStyle w:val="NoSpacing"/>
            <w:tabs>
              <w:tab w:val="left" w:pos="1701"/>
            </w:tabs>
            <w:rPr>
              <w:lang w:val="en-US"/>
            </w:rPr>
          </w:pPr>
        </w:p>
        <w:p w:rsidR="0015121E" w:rsidRDefault="0015121E" w:rsidP="0015121E">
          <w:pPr>
            <w:pStyle w:val="NoSpacing"/>
            <w:jc w:val="center"/>
            <w:rPr>
              <w:b/>
              <w:bCs/>
              <w:sz w:val="16"/>
              <w:szCs w:val="16"/>
              <w:lang w:val="en-US"/>
            </w:rPr>
          </w:pPr>
        </w:p>
        <w:p w:rsidR="0015121E" w:rsidRDefault="0015121E" w:rsidP="0015121E">
          <w:pPr>
            <w:pStyle w:val="NoSpacing"/>
            <w:jc w:val="center"/>
            <w:rPr>
              <w:b/>
              <w:bCs/>
              <w:sz w:val="16"/>
              <w:szCs w:val="16"/>
              <w:lang w:val="en-US"/>
            </w:rPr>
          </w:pPr>
        </w:p>
        <w:p w:rsidR="0015121E" w:rsidRDefault="0015121E" w:rsidP="0015121E">
          <w:pPr>
            <w:pStyle w:val="NoSpacing"/>
            <w:jc w:val="center"/>
            <w:rPr>
              <w:b/>
              <w:bCs/>
              <w:sz w:val="16"/>
              <w:szCs w:val="16"/>
              <w:lang w:val="en-US"/>
            </w:rPr>
          </w:pPr>
        </w:p>
        <w:p w:rsidR="0015121E" w:rsidRDefault="0015121E" w:rsidP="0015121E">
          <w:pPr>
            <w:pStyle w:val="NoSpacing"/>
            <w:jc w:val="center"/>
            <w:rPr>
              <w:b/>
              <w:bCs/>
              <w:sz w:val="16"/>
              <w:szCs w:val="16"/>
              <w:lang w:val="en-US"/>
            </w:rPr>
          </w:pPr>
        </w:p>
        <w:p w:rsidR="0015121E" w:rsidRDefault="000B2496" w:rsidP="0015121E">
          <w:pPr>
            <w:pStyle w:val="NoSpacing"/>
            <w:jc w:val="center"/>
            <w:rPr>
              <w:b/>
              <w:bCs/>
              <w:sz w:val="16"/>
              <w:szCs w:val="16"/>
              <w:lang w:val="en-US"/>
            </w:rPr>
          </w:pPr>
          <w:r w:rsidRPr="000B2496">
            <w:rPr>
              <w:b/>
              <w:noProof/>
              <w:color w:val="17365D" w:themeColor="text2" w:themeShade="BF"/>
              <w:sz w:val="44"/>
              <w:szCs w:val="44"/>
              <w:lang w:eastAsia="el-GR"/>
            </w:rPr>
            <w:pict>
              <v:group id="_x0000_s1151" style="position:absolute;left:0;text-align:left;margin-left:402.35pt;margin-top:2pt;width:62.65pt;height:51.3pt;z-index:251675648" coordorigin="2904,1554" coordsize="520,362" o:userdrawn="t">
                <v:group id="_x0000_s1152" style="position:absolute;left:2994;top:1610;width:395;height:288" coordorigin="3488,1613" coordsize="395,288" o:userdrawn="t">
                  <v:rect id="_x0000_s1153" style="position:absolute;left:3488;top:1613;width:91;height:91;v-text-anchor:middle" o:userdrawn="t" fillcolor="#39f" stroked="f">
                    <v:fill opacity="39322f" color2="fill darken(118)" rotate="t" angle="-135" method="linear sigma" type="gradient"/>
                  </v:rect>
                  <v:rect id="_x0000_s1154" style="position:absolute;left:3589;top:1613;width:91;height:91;v-text-anchor:middle" o:userdrawn="t" fillcolor="#39f" stroked="f">
                    <v:fill opacity="39322f" color2="fill darken(118)" rotate="t" angle="-135" method="linear sigma" type="gradient"/>
                  </v:rect>
                  <v:rect id="_x0000_s1155" style="position:absolute;left:3694;top:1613;width:91;height:91;v-text-anchor:middle" o:userdrawn="t" fillcolor="#39f" stroked="f">
                    <v:fill opacity="39322f" color2="fill darken(118)" o:opacity2="46531f" rotate="t" angle="-135" method="linear sigma" type="gradient"/>
                  </v:rect>
                  <v:rect id="_x0000_s1156" style="position:absolute;left:3792;top:1613;width:91;height:91;v-text-anchor:middle" o:userdrawn="t" fillcolor="#39f" stroked="f">
                    <v:fill opacity="39322f" color2="fill darken(118)" o:opacity2="38666f" rotate="t" angle="-135" method="linear sigma" type="gradient"/>
                  </v:rect>
                  <v:rect id="_x0000_s1157" style="position:absolute;left:3488;top:1712;width:91;height:91;v-text-anchor:middle" o:userdrawn="t" fillcolor="#39f" stroked="f">
                    <v:fill opacity="39322f" color2="fill darken(118)" rotate="t" angle="-135" method="linear sigma" type="gradient"/>
                  </v:rect>
                  <v:rect id="_x0000_s1158" style="position:absolute;left:3589;top:1712;width:91;height:91;v-text-anchor:middle" o:userdrawn="t" fillcolor="#39f" stroked="f">
                    <v:fill opacity="39322f" color2="fill darken(118)" o:opacity2="46531f" rotate="t" angle="-135" method="linear sigma" type="gradient"/>
                  </v:rect>
                  <v:rect id="_x0000_s1159" style="position:absolute;left:3694;top:1712;width:91;height:91;v-text-anchor:middle" o:userdrawn="t" fillcolor="#39f" stroked="f">
                    <v:fill opacity="39322f" color2="fill darken(118)" o:opacity2="38666f" rotate="t" angle="-135" method="linear sigma" type="gradient"/>
                  </v:rect>
                  <v:rect id="_x0000_s1160" style="position:absolute;left:3792;top:1712;width:91;height:91;v-text-anchor:middle" o:userdrawn="t" fillcolor="#39f" stroked="f">
                    <v:fill opacity="39322f" color2="fill darken(118)" o:opacity2="25559f" rotate="t" angle="-135" method="linear sigma" type="gradient"/>
                  </v:rect>
                  <v:rect id="_x0000_s1161" style="position:absolute;left:3488;top:1810;width:91;height:91;v-text-anchor:middle" o:userdrawn="t" fillcolor="#39f" stroked="f">
                    <v:fill opacity="39322f" color2="fill darken(118)" o:opacity2="46531f" rotate="t" angle="-135" method="linear sigma" type="gradient"/>
                  </v:rect>
                  <v:rect id="_x0000_s1162" style="position:absolute;left:3589;top:1810;width:91;height:91;v-text-anchor:middle" o:userdrawn="t" fillcolor="#39f" stroked="f">
                    <v:fill opacity="39322f" color2="fill darken(118)" o:opacity2="38666f" rotate="t" angle="-135" method="linear sigma" type="gradient"/>
                  </v:rect>
                  <v:rect id="_x0000_s1163" style="position:absolute;left:3694;top:1810;width:91;height:91;v-text-anchor:middle" o:userdrawn="t" fillcolor="#39f" stroked="f">
                    <v:fill opacity="39322f" color2="fill darken(118)" o:opacity2="25559f" rotate="t" angle="-135" method="linear sigma" type="gradient"/>
                  </v:rect>
                  <v:rect id="_x0000_s1164" style="position:absolute;left:3792;top:1810;width:91;height:91;v-text-anchor:middle" o:userdrawn="t" fillcolor="#39f" stroked="f">
                    <v:fill opacity="39322f" color2="fill darken(118)" o:opacity2="14418f" rotate="t" angle="-135" method="linear sigma" type="gradient"/>
                  </v:rect>
                </v:group>
                <v:group id="_x0000_s1165" style="position:absolute;left:2904;top:1554;width:520;height:362" coordorigin="2817,1474" coordsize="520,362" o:userdrawn="t">
                  <v:shape id="_x0000_s1166" style="position:absolute;left:2821;top:1477;width:516;height:359" coordsize="516,359" o:userdrawn="t" path="m,359l203,186r60,l366,93r53,l516,e" filled="f" fillcolor="#0c9" strokecolor="#669" strokeweight="3pt">
                    <v:path arrowok="t"/>
                  </v:shape>
                  <v:shape id="_x0000_s1167" style="position:absolute;left:2817;top:1474;width:516;height:359" coordsize="516,359" o:userdrawn="t" path="m,359l203,186r60,l366,93r53,l516,e" filled="f" fillcolor="#0c9" strokecolor="#036" strokeweight="3pt">
                    <v:path arrowok="t"/>
                  </v:shape>
                </v:group>
              </v:group>
            </w:pict>
          </w:r>
        </w:p>
        <w:p w:rsidR="0015121E" w:rsidRDefault="0015121E" w:rsidP="0015121E">
          <w:pPr>
            <w:pStyle w:val="NoSpacing"/>
            <w:jc w:val="center"/>
            <w:rPr>
              <w:b/>
              <w:bCs/>
              <w:sz w:val="16"/>
              <w:szCs w:val="16"/>
              <w:lang w:val="en-US"/>
            </w:rPr>
          </w:pPr>
        </w:p>
        <w:p w:rsidR="0015121E" w:rsidRDefault="0015121E" w:rsidP="0015121E">
          <w:pPr>
            <w:pStyle w:val="NoSpacing"/>
            <w:jc w:val="center"/>
            <w:rPr>
              <w:b/>
              <w:bCs/>
              <w:sz w:val="16"/>
              <w:szCs w:val="16"/>
              <w:lang w:val="en-US"/>
            </w:rPr>
          </w:pPr>
        </w:p>
        <w:p w:rsidR="0015121E" w:rsidRDefault="0015121E" w:rsidP="0015121E">
          <w:pPr>
            <w:pStyle w:val="NoSpacing"/>
            <w:jc w:val="center"/>
            <w:rPr>
              <w:b/>
              <w:bCs/>
              <w:sz w:val="16"/>
              <w:szCs w:val="16"/>
              <w:lang w:val="en-US"/>
            </w:rPr>
          </w:pPr>
        </w:p>
        <w:p w:rsidR="0015121E" w:rsidRDefault="0015121E" w:rsidP="0015121E">
          <w:pPr>
            <w:pStyle w:val="NoSpacing"/>
            <w:jc w:val="center"/>
            <w:rPr>
              <w:b/>
              <w:bCs/>
              <w:sz w:val="16"/>
              <w:szCs w:val="16"/>
              <w:lang w:val="en-US"/>
            </w:rPr>
          </w:pPr>
        </w:p>
        <w:p w:rsidR="0015121E" w:rsidRDefault="0015121E" w:rsidP="0015121E">
          <w:pPr>
            <w:pStyle w:val="NoSpacing"/>
            <w:jc w:val="center"/>
            <w:rPr>
              <w:b/>
              <w:bCs/>
              <w:sz w:val="16"/>
              <w:szCs w:val="16"/>
              <w:lang w:val="en-US"/>
            </w:rPr>
          </w:pPr>
        </w:p>
        <w:p w:rsidR="0015121E" w:rsidRDefault="0015121E" w:rsidP="0015121E">
          <w:pPr>
            <w:pStyle w:val="NoSpacing"/>
            <w:jc w:val="center"/>
            <w:rPr>
              <w:b/>
              <w:bCs/>
              <w:sz w:val="16"/>
              <w:szCs w:val="16"/>
              <w:lang w:val="en-US"/>
            </w:rPr>
          </w:pPr>
        </w:p>
        <w:p w:rsidR="0015121E" w:rsidRPr="00E95A21" w:rsidRDefault="0015121E" w:rsidP="0015121E">
          <w:pPr>
            <w:pStyle w:val="NoSpacing"/>
            <w:jc w:val="right"/>
            <w:rPr>
              <w:b/>
              <w:bCs/>
              <w:sz w:val="16"/>
              <w:szCs w:val="16"/>
              <w:lang w:val="en-US"/>
            </w:rPr>
          </w:pPr>
          <w:r w:rsidRPr="00E95A21">
            <w:rPr>
              <w:b/>
              <w:bCs/>
              <w:sz w:val="16"/>
              <w:szCs w:val="16"/>
              <w:lang w:val="en-US"/>
            </w:rPr>
            <w:t>PLANNING BUREAU</w:t>
          </w:r>
        </w:p>
      </w:sdtContent>
    </w:sdt>
    <w:p w:rsidR="0015121E" w:rsidRDefault="0015121E" w:rsidP="0015121E">
      <w:pPr>
        <w:jc w:val="center"/>
        <w:rPr>
          <w:b/>
        </w:rPr>
      </w:pPr>
    </w:p>
    <w:p w:rsidR="0015121E" w:rsidRDefault="0015121E" w:rsidP="0015121E">
      <w:pPr>
        <w:jc w:val="center"/>
        <w:rPr>
          <w:b/>
        </w:rPr>
      </w:pPr>
    </w:p>
    <w:p w:rsidR="0015121E" w:rsidRPr="00E95A21" w:rsidRDefault="0015121E" w:rsidP="0015121E">
      <w:pPr>
        <w:jc w:val="center"/>
        <w:rPr>
          <w:b/>
        </w:rPr>
      </w:pPr>
      <w:r w:rsidRPr="00E95A21">
        <w:rPr>
          <w:b/>
        </w:rPr>
        <w:t>APRIL 2011</w:t>
      </w:r>
    </w:p>
    <w:sdt>
      <w:sdtPr>
        <w:rPr>
          <w:rFonts w:eastAsia="Times New Roman" w:cs="Times New Roman"/>
          <w:b w:val="0"/>
          <w:bCs w:val="0"/>
          <w:color w:val="auto"/>
          <w:sz w:val="24"/>
          <w:szCs w:val="24"/>
        </w:rPr>
        <w:id w:val="877194"/>
        <w:docPartObj>
          <w:docPartGallery w:val="Table of Contents"/>
          <w:docPartUnique/>
        </w:docPartObj>
      </w:sdtPr>
      <w:sdtContent>
        <w:p w:rsidR="0050232A" w:rsidRPr="00A25748" w:rsidRDefault="0050232A" w:rsidP="0050232A">
          <w:pPr>
            <w:pStyle w:val="TOCHeading"/>
            <w:rPr>
              <w:rFonts w:cs="Times New Roman"/>
            </w:rPr>
          </w:pPr>
          <w:r w:rsidRPr="00A25748">
            <w:rPr>
              <w:rFonts w:cs="Times New Roman"/>
            </w:rPr>
            <w:t>TABLE OF CONTENTS</w:t>
          </w:r>
        </w:p>
        <w:p w:rsidR="00AD5978" w:rsidRPr="00A25748" w:rsidRDefault="00AD5978" w:rsidP="000B2496">
          <w:pPr>
            <w:spacing w:afterLines="20"/>
            <w:rPr>
              <w:color w:val="548DD4" w:themeColor="text2" w:themeTint="99"/>
            </w:rPr>
          </w:pPr>
        </w:p>
        <w:p w:rsidR="00292ADE" w:rsidRDefault="000B2496">
          <w:pPr>
            <w:pStyle w:val="TOC1"/>
            <w:rPr>
              <w:rFonts w:asciiTheme="minorHAnsi" w:eastAsiaTheme="minorEastAsia" w:hAnsiTheme="minorHAnsi" w:cstheme="minorBidi"/>
              <w:noProof/>
              <w:sz w:val="22"/>
              <w:szCs w:val="22"/>
              <w:lang w:val="el-GR" w:eastAsia="el-GR"/>
            </w:rPr>
          </w:pPr>
          <w:r w:rsidRPr="00A25748">
            <w:rPr>
              <w:color w:val="548DD4" w:themeColor="text2" w:themeTint="99"/>
            </w:rPr>
            <w:fldChar w:fldCharType="begin"/>
          </w:r>
          <w:r w:rsidR="0050232A" w:rsidRPr="00A25748">
            <w:rPr>
              <w:color w:val="548DD4" w:themeColor="text2" w:themeTint="99"/>
            </w:rPr>
            <w:instrText xml:space="preserve"> TOC \o "1-3" \h \z \u </w:instrText>
          </w:r>
          <w:r w:rsidRPr="00A25748">
            <w:rPr>
              <w:color w:val="548DD4" w:themeColor="text2" w:themeTint="99"/>
            </w:rPr>
            <w:fldChar w:fldCharType="separate"/>
          </w:r>
          <w:hyperlink w:anchor="_Toc292454613" w:history="1">
            <w:r w:rsidR="00292ADE" w:rsidRPr="007C7F51">
              <w:rPr>
                <w:rStyle w:val="Hyperlink"/>
                <w:noProof/>
              </w:rPr>
              <w:t>1. INTRODUCTION</w:t>
            </w:r>
            <w:r w:rsidR="00292ADE">
              <w:rPr>
                <w:noProof/>
                <w:webHidden/>
              </w:rPr>
              <w:tab/>
            </w:r>
            <w:r>
              <w:rPr>
                <w:noProof/>
                <w:webHidden/>
              </w:rPr>
              <w:fldChar w:fldCharType="begin"/>
            </w:r>
            <w:r w:rsidR="00292ADE">
              <w:rPr>
                <w:noProof/>
                <w:webHidden/>
              </w:rPr>
              <w:instrText xml:space="preserve"> PAGEREF _Toc292454613 \h </w:instrText>
            </w:r>
            <w:r>
              <w:rPr>
                <w:noProof/>
                <w:webHidden/>
              </w:rPr>
            </w:r>
            <w:r>
              <w:rPr>
                <w:noProof/>
                <w:webHidden/>
              </w:rPr>
              <w:fldChar w:fldCharType="separate"/>
            </w:r>
            <w:r w:rsidR="009B5382">
              <w:rPr>
                <w:noProof/>
                <w:webHidden/>
              </w:rPr>
              <w:t>3</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14" w:history="1">
            <w:r w:rsidR="00292ADE" w:rsidRPr="007C7F51">
              <w:rPr>
                <w:rStyle w:val="Hyperlink"/>
                <w:noProof/>
                <w:lang w:val="en-GB"/>
              </w:rPr>
              <w:t>MEASURES UNDER THE EURO PLUS PACT</w:t>
            </w:r>
            <w:r w:rsidR="00292ADE">
              <w:rPr>
                <w:noProof/>
                <w:webHidden/>
              </w:rPr>
              <w:tab/>
            </w:r>
            <w:r>
              <w:rPr>
                <w:noProof/>
                <w:webHidden/>
              </w:rPr>
              <w:fldChar w:fldCharType="begin"/>
            </w:r>
            <w:r w:rsidR="00292ADE">
              <w:rPr>
                <w:noProof/>
                <w:webHidden/>
              </w:rPr>
              <w:instrText xml:space="preserve"> PAGEREF _Toc292454614 \h </w:instrText>
            </w:r>
            <w:r>
              <w:rPr>
                <w:noProof/>
                <w:webHidden/>
              </w:rPr>
            </w:r>
            <w:r>
              <w:rPr>
                <w:noProof/>
                <w:webHidden/>
              </w:rPr>
              <w:fldChar w:fldCharType="separate"/>
            </w:r>
            <w:r w:rsidR="009B5382">
              <w:rPr>
                <w:noProof/>
                <w:webHidden/>
              </w:rPr>
              <w:t>5</w:t>
            </w:r>
            <w:r>
              <w:rPr>
                <w:noProof/>
                <w:webHidden/>
              </w:rPr>
              <w:fldChar w:fldCharType="end"/>
            </w:r>
          </w:hyperlink>
        </w:p>
        <w:p w:rsidR="00292ADE" w:rsidRDefault="000B2496">
          <w:pPr>
            <w:pStyle w:val="TOC1"/>
            <w:rPr>
              <w:rFonts w:asciiTheme="minorHAnsi" w:eastAsiaTheme="minorEastAsia" w:hAnsiTheme="minorHAnsi" w:cstheme="minorBidi"/>
              <w:noProof/>
              <w:sz w:val="22"/>
              <w:szCs w:val="22"/>
              <w:lang w:val="el-GR" w:eastAsia="el-GR"/>
            </w:rPr>
          </w:pPr>
          <w:hyperlink w:anchor="_Toc292454615" w:history="1">
            <w:r w:rsidR="00292ADE" w:rsidRPr="007C7F51">
              <w:rPr>
                <w:rStyle w:val="Hyperlink"/>
                <w:noProof/>
              </w:rPr>
              <w:t xml:space="preserve">2. </w:t>
            </w:r>
            <w:r w:rsidR="00292ADE" w:rsidRPr="007C7F51">
              <w:rPr>
                <w:rStyle w:val="Hyperlink"/>
                <w:noProof/>
                <w:lang w:val="en-GB"/>
              </w:rPr>
              <w:t>MACROECONOMIC SCENARIO</w:t>
            </w:r>
            <w:r w:rsidR="00292ADE">
              <w:rPr>
                <w:noProof/>
                <w:webHidden/>
              </w:rPr>
              <w:tab/>
            </w:r>
            <w:r>
              <w:rPr>
                <w:noProof/>
                <w:webHidden/>
              </w:rPr>
              <w:fldChar w:fldCharType="begin"/>
            </w:r>
            <w:r w:rsidR="00292ADE">
              <w:rPr>
                <w:noProof/>
                <w:webHidden/>
              </w:rPr>
              <w:instrText xml:space="preserve"> PAGEREF _Toc292454615 \h </w:instrText>
            </w:r>
            <w:r>
              <w:rPr>
                <w:noProof/>
                <w:webHidden/>
              </w:rPr>
            </w:r>
            <w:r>
              <w:rPr>
                <w:noProof/>
                <w:webHidden/>
              </w:rPr>
              <w:fldChar w:fldCharType="separate"/>
            </w:r>
            <w:r w:rsidR="009B5382">
              <w:rPr>
                <w:noProof/>
                <w:webHidden/>
              </w:rPr>
              <w:t>8</w:t>
            </w:r>
            <w:r>
              <w:rPr>
                <w:noProof/>
                <w:webHidden/>
              </w:rPr>
              <w:fldChar w:fldCharType="end"/>
            </w:r>
          </w:hyperlink>
        </w:p>
        <w:p w:rsidR="00292ADE" w:rsidRDefault="000B2496">
          <w:pPr>
            <w:pStyle w:val="TOC1"/>
            <w:rPr>
              <w:rFonts w:asciiTheme="minorHAnsi" w:eastAsiaTheme="minorEastAsia" w:hAnsiTheme="minorHAnsi" w:cstheme="minorBidi"/>
              <w:noProof/>
              <w:sz w:val="22"/>
              <w:szCs w:val="22"/>
              <w:lang w:val="el-GR" w:eastAsia="el-GR"/>
            </w:rPr>
          </w:pPr>
          <w:hyperlink w:anchor="_Toc292454616" w:history="1">
            <w:r w:rsidR="00292ADE" w:rsidRPr="007C7F51">
              <w:rPr>
                <w:rStyle w:val="Hyperlink"/>
                <w:noProof/>
              </w:rPr>
              <w:t>3. MACROECONOMIC SURVEILLANCE</w:t>
            </w:r>
            <w:r w:rsidR="00292ADE">
              <w:rPr>
                <w:noProof/>
                <w:webHidden/>
              </w:rPr>
              <w:tab/>
            </w:r>
            <w:r>
              <w:rPr>
                <w:noProof/>
                <w:webHidden/>
              </w:rPr>
              <w:fldChar w:fldCharType="begin"/>
            </w:r>
            <w:r w:rsidR="00292ADE">
              <w:rPr>
                <w:noProof/>
                <w:webHidden/>
              </w:rPr>
              <w:instrText xml:space="preserve"> PAGEREF _Toc292454616 \h </w:instrText>
            </w:r>
            <w:r>
              <w:rPr>
                <w:noProof/>
                <w:webHidden/>
              </w:rPr>
            </w:r>
            <w:r>
              <w:rPr>
                <w:noProof/>
                <w:webHidden/>
              </w:rPr>
              <w:fldChar w:fldCharType="separate"/>
            </w:r>
            <w:r w:rsidR="009B5382">
              <w:rPr>
                <w:noProof/>
                <w:webHidden/>
              </w:rPr>
              <w:t>11</w:t>
            </w:r>
            <w:r>
              <w:rPr>
                <w:noProof/>
                <w:webHidden/>
              </w:rPr>
              <w:fldChar w:fldCharType="end"/>
            </w:r>
          </w:hyperlink>
        </w:p>
        <w:p w:rsidR="00292ADE" w:rsidRDefault="000B2496">
          <w:pPr>
            <w:pStyle w:val="TOC1"/>
            <w:rPr>
              <w:rFonts w:asciiTheme="minorHAnsi" w:eastAsiaTheme="minorEastAsia" w:hAnsiTheme="minorHAnsi" w:cstheme="minorBidi"/>
              <w:noProof/>
              <w:sz w:val="22"/>
              <w:szCs w:val="22"/>
              <w:lang w:val="el-GR" w:eastAsia="el-GR"/>
            </w:rPr>
          </w:pPr>
          <w:hyperlink w:anchor="_Toc292454617" w:history="1">
            <w:r w:rsidR="00292ADE" w:rsidRPr="007C7F51">
              <w:rPr>
                <w:rStyle w:val="Hyperlink"/>
                <w:noProof/>
                <w:lang w:val="en-GB"/>
              </w:rPr>
              <w:t>4. INNOVATION</w:t>
            </w:r>
            <w:r w:rsidR="00292ADE">
              <w:rPr>
                <w:noProof/>
                <w:webHidden/>
              </w:rPr>
              <w:tab/>
            </w:r>
            <w:r>
              <w:rPr>
                <w:noProof/>
                <w:webHidden/>
              </w:rPr>
              <w:fldChar w:fldCharType="begin"/>
            </w:r>
            <w:r w:rsidR="00292ADE">
              <w:rPr>
                <w:noProof/>
                <w:webHidden/>
              </w:rPr>
              <w:instrText xml:space="preserve"> PAGEREF _Toc292454617 \h </w:instrText>
            </w:r>
            <w:r>
              <w:rPr>
                <w:noProof/>
                <w:webHidden/>
              </w:rPr>
            </w:r>
            <w:r>
              <w:rPr>
                <w:noProof/>
                <w:webHidden/>
              </w:rPr>
              <w:fldChar w:fldCharType="separate"/>
            </w:r>
            <w:r w:rsidR="009B5382">
              <w:rPr>
                <w:noProof/>
                <w:webHidden/>
              </w:rPr>
              <w:t>19</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18" w:history="1">
            <w:r w:rsidR="00292ADE" w:rsidRPr="007C7F51">
              <w:rPr>
                <w:rStyle w:val="Hyperlink"/>
                <w:noProof/>
                <w:lang w:val="en-GB"/>
              </w:rPr>
              <w:t>C</w:t>
            </w:r>
            <w:r w:rsidR="00C53527" w:rsidRPr="007C7F51">
              <w:rPr>
                <w:rStyle w:val="Hyperlink"/>
                <w:noProof/>
                <w:lang w:val="en-GB"/>
              </w:rPr>
              <w:t>urrent situation</w:t>
            </w:r>
            <w:r w:rsidR="00292ADE">
              <w:rPr>
                <w:noProof/>
                <w:webHidden/>
              </w:rPr>
              <w:tab/>
            </w:r>
            <w:r>
              <w:rPr>
                <w:noProof/>
                <w:webHidden/>
              </w:rPr>
              <w:fldChar w:fldCharType="begin"/>
            </w:r>
            <w:r w:rsidR="00292ADE">
              <w:rPr>
                <w:noProof/>
                <w:webHidden/>
              </w:rPr>
              <w:instrText xml:space="preserve"> PAGEREF _Toc292454618 \h </w:instrText>
            </w:r>
            <w:r>
              <w:rPr>
                <w:noProof/>
                <w:webHidden/>
              </w:rPr>
            </w:r>
            <w:r>
              <w:rPr>
                <w:noProof/>
                <w:webHidden/>
              </w:rPr>
              <w:fldChar w:fldCharType="separate"/>
            </w:r>
            <w:r w:rsidR="009B5382">
              <w:rPr>
                <w:noProof/>
                <w:webHidden/>
              </w:rPr>
              <w:t>19</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19" w:history="1">
            <w:r w:rsidR="00292ADE" w:rsidRPr="007C7F51">
              <w:rPr>
                <w:rStyle w:val="Hyperlink"/>
                <w:noProof/>
                <w:lang w:val="en-GB"/>
              </w:rPr>
              <w:t>N</w:t>
            </w:r>
            <w:r w:rsidR="00C53527" w:rsidRPr="007C7F51">
              <w:rPr>
                <w:rStyle w:val="Hyperlink"/>
                <w:noProof/>
                <w:lang w:val="en-GB"/>
              </w:rPr>
              <w:t>ational target</w:t>
            </w:r>
            <w:r w:rsidR="00292ADE">
              <w:rPr>
                <w:noProof/>
                <w:webHidden/>
              </w:rPr>
              <w:tab/>
            </w:r>
            <w:r>
              <w:rPr>
                <w:noProof/>
                <w:webHidden/>
              </w:rPr>
              <w:fldChar w:fldCharType="begin"/>
            </w:r>
            <w:r w:rsidR="00292ADE">
              <w:rPr>
                <w:noProof/>
                <w:webHidden/>
              </w:rPr>
              <w:instrText xml:space="preserve"> PAGEREF _Toc292454619 \h </w:instrText>
            </w:r>
            <w:r>
              <w:rPr>
                <w:noProof/>
                <w:webHidden/>
              </w:rPr>
            </w:r>
            <w:r>
              <w:rPr>
                <w:noProof/>
                <w:webHidden/>
              </w:rPr>
              <w:fldChar w:fldCharType="separate"/>
            </w:r>
            <w:r w:rsidR="009B5382">
              <w:rPr>
                <w:noProof/>
                <w:webHidden/>
              </w:rPr>
              <w:t>21</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20" w:history="1">
            <w:r w:rsidR="00292ADE" w:rsidRPr="007C7F51">
              <w:rPr>
                <w:rStyle w:val="Hyperlink"/>
                <w:noProof/>
                <w:lang w:val="en-GB"/>
              </w:rPr>
              <w:t>K</w:t>
            </w:r>
            <w:r w:rsidR="00C53527" w:rsidRPr="007C7F51">
              <w:rPr>
                <w:rStyle w:val="Hyperlink"/>
                <w:noProof/>
                <w:lang w:val="en-GB"/>
              </w:rPr>
              <w:t>ey measures to reach target and tackle bottlenecks</w:t>
            </w:r>
            <w:r w:rsidR="00292ADE">
              <w:rPr>
                <w:noProof/>
                <w:webHidden/>
              </w:rPr>
              <w:tab/>
            </w:r>
            <w:r>
              <w:rPr>
                <w:noProof/>
                <w:webHidden/>
              </w:rPr>
              <w:fldChar w:fldCharType="begin"/>
            </w:r>
            <w:r w:rsidR="00292ADE">
              <w:rPr>
                <w:noProof/>
                <w:webHidden/>
              </w:rPr>
              <w:instrText xml:space="preserve"> PAGEREF _Toc292454620 \h </w:instrText>
            </w:r>
            <w:r>
              <w:rPr>
                <w:noProof/>
                <w:webHidden/>
              </w:rPr>
            </w:r>
            <w:r>
              <w:rPr>
                <w:noProof/>
                <w:webHidden/>
              </w:rPr>
              <w:fldChar w:fldCharType="separate"/>
            </w:r>
            <w:r w:rsidR="009B5382">
              <w:rPr>
                <w:noProof/>
                <w:webHidden/>
              </w:rPr>
              <w:t>21</w:t>
            </w:r>
            <w:r>
              <w:rPr>
                <w:noProof/>
                <w:webHidden/>
              </w:rPr>
              <w:fldChar w:fldCharType="end"/>
            </w:r>
          </w:hyperlink>
        </w:p>
        <w:p w:rsidR="00292ADE" w:rsidRDefault="000B2496">
          <w:pPr>
            <w:pStyle w:val="TOC1"/>
            <w:rPr>
              <w:rFonts w:asciiTheme="minorHAnsi" w:eastAsiaTheme="minorEastAsia" w:hAnsiTheme="minorHAnsi" w:cstheme="minorBidi"/>
              <w:noProof/>
              <w:sz w:val="22"/>
              <w:szCs w:val="22"/>
              <w:lang w:val="el-GR" w:eastAsia="el-GR"/>
            </w:rPr>
          </w:pPr>
          <w:hyperlink w:anchor="_Toc292454621" w:history="1">
            <w:r w:rsidR="00292ADE" w:rsidRPr="007C7F51">
              <w:rPr>
                <w:rStyle w:val="Hyperlink"/>
                <w:rFonts w:eastAsia="Calibri"/>
                <w:noProof/>
              </w:rPr>
              <w:t>5. EDUCATION</w:t>
            </w:r>
            <w:r w:rsidR="00292ADE">
              <w:rPr>
                <w:noProof/>
                <w:webHidden/>
              </w:rPr>
              <w:tab/>
            </w:r>
            <w:r>
              <w:rPr>
                <w:noProof/>
                <w:webHidden/>
              </w:rPr>
              <w:fldChar w:fldCharType="begin"/>
            </w:r>
            <w:r w:rsidR="00292ADE">
              <w:rPr>
                <w:noProof/>
                <w:webHidden/>
              </w:rPr>
              <w:instrText xml:space="preserve"> PAGEREF _Toc292454621 \h </w:instrText>
            </w:r>
            <w:r>
              <w:rPr>
                <w:noProof/>
                <w:webHidden/>
              </w:rPr>
            </w:r>
            <w:r>
              <w:rPr>
                <w:noProof/>
                <w:webHidden/>
              </w:rPr>
              <w:fldChar w:fldCharType="separate"/>
            </w:r>
            <w:r w:rsidR="009B5382">
              <w:rPr>
                <w:noProof/>
                <w:webHidden/>
              </w:rPr>
              <w:t>24</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22" w:history="1">
            <w:r w:rsidR="00292ADE" w:rsidRPr="007C7F51">
              <w:rPr>
                <w:rStyle w:val="Hyperlink"/>
                <w:noProof/>
              </w:rPr>
              <w:t>C</w:t>
            </w:r>
            <w:r w:rsidR="00C53527" w:rsidRPr="007C7F51">
              <w:rPr>
                <w:rStyle w:val="Hyperlink"/>
                <w:noProof/>
              </w:rPr>
              <w:t>urrent situation</w:t>
            </w:r>
            <w:r w:rsidR="00292ADE">
              <w:rPr>
                <w:noProof/>
                <w:webHidden/>
              </w:rPr>
              <w:tab/>
            </w:r>
            <w:r>
              <w:rPr>
                <w:noProof/>
                <w:webHidden/>
              </w:rPr>
              <w:fldChar w:fldCharType="begin"/>
            </w:r>
            <w:r w:rsidR="00292ADE">
              <w:rPr>
                <w:noProof/>
                <w:webHidden/>
              </w:rPr>
              <w:instrText xml:space="preserve"> PAGEREF _Toc292454622 \h </w:instrText>
            </w:r>
            <w:r>
              <w:rPr>
                <w:noProof/>
                <w:webHidden/>
              </w:rPr>
            </w:r>
            <w:r>
              <w:rPr>
                <w:noProof/>
                <w:webHidden/>
              </w:rPr>
              <w:fldChar w:fldCharType="separate"/>
            </w:r>
            <w:r w:rsidR="009B5382">
              <w:rPr>
                <w:noProof/>
                <w:webHidden/>
              </w:rPr>
              <w:t>24</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23" w:history="1">
            <w:r w:rsidR="00C53527">
              <w:rPr>
                <w:rStyle w:val="Hyperlink"/>
                <w:noProof/>
                <w:lang w:val="en-GB"/>
              </w:rPr>
              <w:t>Ke</w:t>
            </w:r>
            <w:r w:rsidR="00C53527" w:rsidRPr="007C7F51">
              <w:rPr>
                <w:rStyle w:val="Hyperlink"/>
                <w:noProof/>
                <w:lang w:val="en-GB"/>
              </w:rPr>
              <w:t>y measures to reach targets</w:t>
            </w:r>
            <w:r w:rsidR="00292ADE">
              <w:rPr>
                <w:noProof/>
                <w:webHidden/>
              </w:rPr>
              <w:tab/>
            </w:r>
            <w:r>
              <w:rPr>
                <w:noProof/>
                <w:webHidden/>
              </w:rPr>
              <w:fldChar w:fldCharType="begin"/>
            </w:r>
            <w:r w:rsidR="00292ADE">
              <w:rPr>
                <w:noProof/>
                <w:webHidden/>
              </w:rPr>
              <w:instrText xml:space="preserve"> PAGEREF _Toc292454623 \h </w:instrText>
            </w:r>
            <w:r>
              <w:rPr>
                <w:noProof/>
                <w:webHidden/>
              </w:rPr>
            </w:r>
            <w:r>
              <w:rPr>
                <w:noProof/>
                <w:webHidden/>
              </w:rPr>
              <w:fldChar w:fldCharType="separate"/>
            </w:r>
            <w:r w:rsidR="009B5382">
              <w:rPr>
                <w:noProof/>
                <w:webHidden/>
              </w:rPr>
              <w:t>25</w:t>
            </w:r>
            <w:r>
              <w:rPr>
                <w:noProof/>
                <w:webHidden/>
              </w:rPr>
              <w:fldChar w:fldCharType="end"/>
            </w:r>
          </w:hyperlink>
        </w:p>
        <w:p w:rsidR="00292ADE" w:rsidRDefault="000B2496">
          <w:pPr>
            <w:pStyle w:val="TOC1"/>
            <w:rPr>
              <w:rFonts w:asciiTheme="minorHAnsi" w:eastAsiaTheme="minorEastAsia" w:hAnsiTheme="minorHAnsi" w:cstheme="minorBidi"/>
              <w:noProof/>
              <w:sz w:val="22"/>
              <w:szCs w:val="22"/>
              <w:lang w:val="el-GR" w:eastAsia="el-GR"/>
            </w:rPr>
          </w:pPr>
          <w:hyperlink w:anchor="_Toc292454624" w:history="1">
            <w:r w:rsidR="00292ADE" w:rsidRPr="007C7F51">
              <w:rPr>
                <w:rStyle w:val="Hyperlink"/>
                <w:rFonts w:eastAsia="Calibri"/>
                <w:noProof/>
              </w:rPr>
              <w:t>6. DIGITAL SOCIETY</w:t>
            </w:r>
            <w:r w:rsidR="00292ADE">
              <w:rPr>
                <w:noProof/>
                <w:webHidden/>
              </w:rPr>
              <w:tab/>
            </w:r>
            <w:r>
              <w:rPr>
                <w:noProof/>
                <w:webHidden/>
              </w:rPr>
              <w:fldChar w:fldCharType="begin"/>
            </w:r>
            <w:r w:rsidR="00292ADE">
              <w:rPr>
                <w:noProof/>
                <w:webHidden/>
              </w:rPr>
              <w:instrText xml:space="preserve"> PAGEREF _Toc292454624 \h </w:instrText>
            </w:r>
            <w:r>
              <w:rPr>
                <w:noProof/>
                <w:webHidden/>
              </w:rPr>
            </w:r>
            <w:r>
              <w:rPr>
                <w:noProof/>
                <w:webHidden/>
              </w:rPr>
              <w:fldChar w:fldCharType="separate"/>
            </w:r>
            <w:r w:rsidR="009B5382">
              <w:rPr>
                <w:noProof/>
                <w:webHidden/>
              </w:rPr>
              <w:t>29</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25" w:history="1">
            <w:r w:rsidR="00292ADE" w:rsidRPr="007C7F51">
              <w:rPr>
                <w:rStyle w:val="Hyperlink"/>
                <w:rFonts w:eastAsia="Calibri"/>
                <w:noProof/>
              </w:rPr>
              <w:t>C</w:t>
            </w:r>
            <w:r w:rsidR="00C53527" w:rsidRPr="007C7F51">
              <w:rPr>
                <w:rStyle w:val="Hyperlink"/>
                <w:rFonts w:eastAsia="Calibri"/>
                <w:noProof/>
              </w:rPr>
              <w:t>urrent situation</w:t>
            </w:r>
            <w:r w:rsidR="00292ADE">
              <w:rPr>
                <w:noProof/>
                <w:webHidden/>
              </w:rPr>
              <w:tab/>
            </w:r>
            <w:r>
              <w:rPr>
                <w:noProof/>
                <w:webHidden/>
              </w:rPr>
              <w:fldChar w:fldCharType="begin"/>
            </w:r>
            <w:r w:rsidR="00292ADE">
              <w:rPr>
                <w:noProof/>
                <w:webHidden/>
              </w:rPr>
              <w:instrText xml:space="preserve"> PAGEREF _Toc292454625 \h </w:instrText>
            </w:r>
            <w:r>
              <w:rPr>
                <w:noProof/>
                <w:webHidden/>
              </w:rPr>
            </w:r>
            <w:r>
              <w:rPr>
                <w:noProof/>
                <w:webHidden/>
              </w:rPr>
              <w:fldChar w:fldCharType="separate"/>
            </w:r>
            <w:r w:rsidR="009B5382">
              <w:rPr>
                <w:noProof/>
                <w:webHidden/>
              </w:rPr>
              <w:t>29</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26" w:history="1">
            <w:r w:rsidR="00292ADE" w:rsidRPr="007C7F51">
              <w:rPr>
                <w:rStyle w:val="Hyperlink"/>
                <w:rFonts w:eastAsia="Calibri"/>
                <w:noProof/>
              </w:rPr>
              <w:t>N</w:t>
            </w:r>
            <w:r w:rsidR="00C53527" w:rsidRPr="007C7F51">
              <w:rPr>
                <w:rStyle w:val="Hyperlink"/>
                <w:rFonts w:eastAsia="Calibri"/>
                <w:noProof/>
              </w:rPr>
              <w:t>ational priorities</w:t>
            </w:r>
            <w:r w:rsidR="00C53527" w:rsidRPr="007C7F51">
              <w:rPr>
                <w:rStyle w:val="Hyperlink"/>
                <w:noProof/>
                <w:lang w:val="en-GB"/>
              </w:rPr>
              <w:t xml:space="preserve"> and key measures</w:t>
            </w:r>
            <w:r w:rsidR="00292ADE">
              <w:rPr>
                <w:noProof/>
                <w:webHidden/>
              </w:rPr>
              <w:tab/>
            </w:r>
            <w:r>
              <w:rPr>
                <w:noProof/>
                <w:webHidden/>
              </w:rPr>
              <w:fldChar w:fldCharType="begin"/>
            </w:r>
            <w:r w:rsidR="00292ADE">
              <w:rPr>
                <w:noProof/>
                <w:webHidden/>
              </w:rPr>
              <w:instrText xml:space="preserve"> PAGEREF _Toc292454626 \h </w:instrText>
            </w:r>
            <w:r>
              <w:rPr>
                <w:noProof/>
                <w:webHidden/>
              </w:rPr>
            </w:r>
            <w:r>
              <w:rPr>
                <w:noProof/>
                <w:webHidden/>
              </w:rPr>
              <w:fldChar w:fldCharType="separate"/>
            </w:r>
            <w:r w:rsidR="009B5382">
              <w:rPr>
                <w:noProof/>
                <w:webHidden/>
              </w:rPr>
              <w:t>32</w:t>
            </w:r>
            <w:r>
              <w:rPr>
                <w:noProof/>
                <w:webHidden/>
              </w:rPr>
              <w:fldChar w:fldCharType="end"/>
            </w:r>
          </w:hyperlink>
        </w:p>
        <w:p w:rsidR="00292ADE" w:rsidRDefault="000B2496">
          <w:pPr>
            <w:pStyle w:val="TOC1"/>
            <w:rPr>
              <w:rFonts w:asciiTheme="minorHAnsi" w:eastAsiaTheme="minorEastAsia" w:hAnsiTheme="minorHAnsi" w:cstheme="minorBidi"/>
              <w:noProof/>
              <w:sz w:val="22"/>
              <w:szCs w:val="22"/>
              <w:lang w:val="el-GR" w:eastAsia="el-GR"/>
            </w:rPr>
          </w:pPr>
          <w:hyperlink w:anchor="_Toc292454627" w:history="1">
            <w:r w:rsidR="00292ADE" w:rsidRPr="007C7F51">
              <w:rPr>
                <w:rStyle w:val="Hyperlink"/>
                <w:noProof/>
              </w:rPr>
              <w:t>7. CLIMATE, ENERGY AND MOBILITY</w:t>
            </w:r>
            <w:r w:rsidR="00292ADE">
              <w:rPr>
                <w:noProof/>
                <w:webHidden/>
              </w:rPr>
              <w:tab/>
            </w:r>
            <w:r>
              <w:rPr>
                <w:noProof/>
                <w:webHidden/>
              </w:rPr>
              <w:fldChar w:fldCharType="begin"/>
            </w:r>
            <w:r w:rsidR="00292ADE">
              <w:rPr>
                <w:noProof/>
                <w:webHidden/>
              </w:rPr>
              <w:instrText xml:space="preserve"> PAGEREF _Toc292454627 \h </w:instrText>
            </w:r>
            <w:r>
              <w:rPr>
                <w:noProof/>
                <w:webHidden/>
              </w:rPr>
            </w:r>
            <w:r>
              <w:rPr>
                <w:noProof/>
                <w:webHidden/>
              </w:rPr>
              <w:fldChar w:fldCharType="separate"/>
            </w:r>
            <w:r w:rsidR="009B5382">
              <w:rPr>
                <w:noProof/>
                <w:webHidden/>
              </w:rPr>
              <w:t>39</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28" w:history="1">
            <w:r w:rsidR="00292ADE" w:rsidRPr="007C7F51">
              <w:rPr>
                <w:rStyle w:val="Hyperlink"/>
                <w:noProof/>
                <w:lang w:val="en-GB"/>
              </w:rPr>
              <w:t>C</w:t>
            </w:r>
            <w:r w:rsidR="00C53527" w:rsidRPr="007C7F51">
              <w:rPr>
                <w:rStyle w:val="Hyperlink"/>
                <w:noProof/>
                <w:lang w:val="en-GB"/>
              </w:rPr>
              <w:t>urrent situation</w:t>
            </w:r>
            <w:r w:rsidR="00292ADE">
              <w:rPr>
                <w:noProof/>
                <w:webHidden/>
              </w:rPr>
              <w:tab/>
            </w:r>
            <w:r>
              <w:rPr>
                <w:noProof/>
                <w:webHidden/>
              </w:rPr>
              <w:fldChar w:fldCharType="begin"/>
            </w:r>
            <w:r w:rsidR="00292ADE">
              <w:rPr>
                <w:noProof/>
                <w:webHidden/>
              </w:rPr>
              <w:instrText xml:space="preserve"> PAGEREF _Toc292454628 \h </w:instrText>
            </w:r>
            <w:r>
              <w:rPr>
                <w:noProof/>
                <w:webHidden/>
              </w:rPr>
            </w:r>
            <w:r>
              <w:rPr>
                <w:noProof/>
                <w:webHidden/>
              </w:rPr>
              <w:fldChar w:fldCharType="separate"/>
            </w:r>
            <w:r w:rsidR="009B5382">
              <w:rPr>
                <w:noProof/>
                <w:webHidden/>
              </w:rPr>
              <w:t>39</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29" w:history="1">
            <w:r w:rsidR="00292ADE" w:rsidRPr="007C7F51">
              <w:rPr>
                <w:rStyle w:val="Hyperlink"/>
                <w:noProof/>
              </w:rPr>
              <w:t>K</w:t>
            </w:r>
            <w:r w:rsidR="00C53527" w:rsidRPr="007C7F51">
              <w:rPr>
                <w:rStyle w:val="Hyperlink"/>
                <w:noProof/>
              </w:rPr>
              <w:t>ey measures</w:t>
            </w:r>
            <w:r w:rsidR="00292ADE">
              <w:rPr>
                <w:noProof/>
                <w:webHidden/>
              </w:rPr>
              <w:tab/>
            </w:r>
            <w:r>
              <w:rPr>
                <w:noProof/>
                <w:webHidden/>
              </w:rPr>
              <w:fldChar w:fldCharType="begin"/>
            </w:r>
            <w:r w:rsidR="00292ADE">
              <w:rPr>
                <w:noProof/>
                <w:webHidden/>
              </w:rPr>
              <w:instrText xml:space="preserve"> PAGEREF _Toc292454629 \h </w:instrText>
            </w:r>
            <w:r>
              <w:rPr>
                <w:noProof/>
                <w:webHidden/>
              </w:rPr>
            </w:r>
            <w:r>
              <w:rPr>
                <w:noProof/>
                <w:webHidden/>
              </w:rPr>
              <w:fldChar w:fldCharType="separate"/>
            </w:r>
            <w:r w:rsidR="009B5382">
              <w:rPr>
                <w:noProof/>
                <w:webHidden/>
              </w:rPr>
              <w:t>42</w:t>
            </w:r>
            <w:r>
              <w:rPr>
                <w:noProof/>
                <w:webHidden/>
              </w:rPr>
              <w:fldChar w:fldCharType="end"/>
            </w:r>
          </w:hyperlink>
        </w:p>
        <w:p w:rsidR="00292ADE" w:rsidRDefault="000B2496">
          <w:pPr>
            <w:pStyle w:val="TOC1"/>
            <w:rPr>
              <w:rFonts w:asciiTheme="minorHAnsi" w:eastAsiaTheme="minorEastAsia" w:hAnsiTheme="minorHAnsi" w:cstheme="minorBidi"/>
              <w:noProof/>
              <w:sz w:val="22"/>
              <w:szCs w:val="22"/>
              <w:lang w:val="el-GR" w:eastAsia="el-GR"/>
            </w:rPr>
          </w:pPr>
          <w:hyperlink w:anchor="_Toc292454630" w:history="1">
            <w:r w:rsidR="00292ADE" w:rsidRPr="007C7F51">
              <w:rPr>
                <w:rStyle w:val="Hyperlink"/>
                <w:noProof/>
              </w:rPr>
              <w:t>8. COMPETITIVENESS</w:t>
            </w:r>
            <w:r w:rsidR="00292ADE">
              <w:rPr>
                <w:noProof/>
                <w:webHidden/>
              </w:rPr>
              <w:tab/>
            </w:r>
            <w:r>
              <w:rPr>
                <w:noProof/>
                <w:webHidden/>
              </w:rPr>
              <w:fldChar w:fldCharType="begin"/>
            </w:r>
            <w:r w:rsidR="00292ADE">
              <w:rPr>
                <w:noProof/>
                <w:webHidden/>
              </w:rPr>
              <w:instrText xml:space="preserve"> PAGEREF _Toc292454630 \h </w:instrText>
            </w:r>
            <w:r>
              <w:rPr>
                <w:noProof/>
                <w:webHidden/>
              </w:rPr>
            </w:r>
            <w:r>
              <w:rPr>
                <w:noProof/>
                <w:webHidden/>
              </w:rPr>
              <w:fldChar w:fldCharType="separate"/>
            </w:r>
            <w:r w:rsidR="009B5382">
              <w:rPr>
                <w:noProof/>
                <w:webHidden/>
              </w:rPr>
              <w:t>47</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31" w:history="1">
            <w:r w:rsidR="00292ADE" w:rsidRPr="007C7F51">
              <w:rPr>
                <w:rStyle w:val="Hyperlink"/>
                <w:rFonts w:eastAsia="Arial Unicode MS"/>
                <w:noProof/>
              </w:rPr>
              <w:t>C</w:t>
            </w:r>
            <w:r w:rsidR="00C53527" w:rsidRPr="007C7F51">
              <w:rPr>
                <w:rStyle w:val="Hyperlink"/>
                <w:rFonts w:eastAsia="Arial Unicode MS"/>
                <w:noProof/>
              </w:rPr>
              <w:t>urrent situation</w:t>
            </w:r>
            <w:r w:rsidR="00292ADE">
              <w:rPr>
                <w:noProof/>
                <w:webHidden/>
              </w:rPr>
              <w:tab/>
            </w:r>
            <w:r>
              <w:rPr>
                <w:noProof/>
                <w:webHidden/>
              </w:rPr>
              <w:fldChar w:fldCharType="begin"/>
            </w:r>
            <w:r w:rsidR="00292ADE">
              <w:rPr>
                <w:noProof/>
                <w:webHidden/>
              </w:rPr>
              <w:instrText xml:space="preserve"> PAGEREF _Toc292454631 \h </w:instrText>
            </w:r>
            <w:r>
              <w:rPr>
                <w:noProof/>
                <w:webHidden/>
              </w:rPr>
            </w:r>
            <w:r>
              <w:rPr>
                <w:noProof/>
                <w:webHidden/>
              </w:rPr>
              <w:fldChar w:fldCharType="separate"/>
            </w:r>
            <w:r w:rsidR="009B5382">
              <w:rPr>
                <w:noProof/>
                <w:webHidden/>
              </w:rPr>
              <w:t>47</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32" w:history="1">
            <w:r w:rsidR="00292ADE" w:rsidRPr="007C7F51">
              <w:rPr>
                <w:rStyle w:val="Hyperlink"/>
                <w:rFonts w:eastAsia="Arial Unicode MS"/>
                <w:noProof/>
              </w:rPr>
              <w:t>K</w:t>
            </w:r>
            <w:r w:rsidR="00C53527" w:rsidRPr="007C7F51">
              <w:rPr>
                <w:rStyle w:val="Hyperlink"/>
                <w:rFonts w:eastAsia="Arial Unicode MS"/>
                <w:noProof/>
              </w:rPr>
              <w:t>ey measures to tackle bottleneck</w:t>
            </w:r>
            <w:r w:rsidR="00C53527">
              <w:rPr>
                <w:rStyle w:val="Hyperlink"/>
                <w:rFonts w:eastAsia="Arial Unicode MS"/>
                <w:noProof/>
              </w:rPr>
              <w:t>s</w:t>
            </w:r>
            <w:r w:rsidR="00292ADE">
              <w:rPr>
                <w:noProof/>
                <w:webHidden/>
              </w:rPr>
              <w:tab/>
            </w:r>
            <w:r>
              <w:rPr>
                <w:noProof/>
                <w:webHidden/>
              </w:rPr>
              <w:fldChar w:fldCharType="begin"/>
            </w:r>
            <w:r w:rsidR="00292ADE">
              <w:rPr>
                <w:noProof/>
                <w:webHidden/>
              </w:rPr>
              <w:instrText xml:space="preserve"> PAGEREF _Toc292454632 \h </w:instrText>
            </w:r>
            <w:r>
              <w:rPr>
                <w:noProof/>
                <w:webHidden/>
              </w:rPr>
            </w:r>
            <w:r>
              <w:rPr>
                <w:noProof/>
                <w:webHidden/>
              </w:rPr>
              <w:fldChar w:fldCharType="separate"/>
            </w:r>
            <w:r w:rsidR="009B5382">
              <w:rPr>
                <w:noProof/>
                <w:webHidden/>
              </w:rPr>
              <w:t>49</w:t>
            </w:r>
            <w:r>
              <w:rPr>
                <w:noProof/>
                <w:webHidden/>
              </w:rPr>
              <w:fldChar w:fldCharType="end"/>
            </w:r>
          </w:hyperlink>
        </w:p>
        <w:p w:rsidR="00292ADE" w:rsidRDefault="000B2496">
          <w:pPr>
            <w:pStyle w:val="TOC1"/>
            <w:rPr>
              <w:rFonts w:asciiTheme="minorHAnsi" w:eastAsiaTheme="minorEastAsia" w:hAnsiTheme="minorHAnsi" w:cstheme="minorBidi"/>
              <w:noProof/>
              <w:sz w:val="22"/>
              <w:szCs w:val="22"/>
              <w:lang w:val="el-GR" w:eastAsia="el-GR"/>
            </w:rPr>
          </w:pPr>
          <w:hyperlink w:anchor="_Toc292454633" w:history="1">
            <w:r w:rsidR="00292ADE" w:rsidRPr="007C7F51">
              <w:rPr>
                <w:rStyle w:val="Hyperlink"/>
                <w:noProof/>
              </w:rPr>
              <w:t>9.   EMPLOYMENT AND SKILLS</w:t>
            </w:r>
            <w:r w:rsidR="00292ADE">
              <w:rPr>
                <w:noProof/>
                <w:webHidden/>
              </w:rPr>
              <w:tab/>
            </w:r>
            <w:r>
              <w:rPr>
                <w:noProof/>
                <w:webHidden/>
              </w:rPr>
              <w:fldChar w:fldCharType="begin"/>
            </w:r>
            <w:r w:rsidR="00292ADE">
              <w:rPr>
                <w:noProof/>
                <w:webHidden/>
              </w:rPr>
              <w:instrText xml:space="preserve"> PAGEREF _Toc292454633 \h </w:instrText>
            </w:r>
            <w:r>
              <w:rPr>
                <w:noProof/>
                <w:webHidden/>
              </w:rPr>
            </w:r>
            <w:r>
              <w:rPr>
                <w:noProof/>
                <w:webHidden/>
              </w:rPr>
              <w:fldChar w:fldCharType="separate"/>
            </w:r>
            <w:r w:rsidR="009B5382">
              <w:rPr>
                <w:noProof/>
                <w:webHidden/>
              </w:rPr>
              <w:t>53</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34" w:history="1">
            <w:r w:rsidR="00292ADE" w:rsidRPr="007C7F51">
              <w:rPr>
                <w:rStyle w:val="Hyperlink"/>
                <w:noProof/>
                <w:lang w:val="en-GB"/>
              </w:rPr>
              <w:t>C</w:t>
            </w:r>
            <w:r w:rsidR="00C53527" w:rsidRPr="007C7F51">
              <w:rPr>
                <w:rStyle w:val="Hyperlink"/>
                <w:noProof/>
                <w:lang w:val="en-GB"/>
              </w:rPr>
              <w:t>urrent situation</w:t>
            </w:r>
            <w:r w:rsidR="00292ADE">
              <w:rPr>
                <w:noProof/>
                <w:webHidden/>
              </w:rPr>
              <w:tab/>
            </w:r>
            <w:r>
              <w:rPr>
                <w:noProof/>
                <w:webHidden/>
              </w:rPr>
              <w:fldChar w:fldCharType="begin"/>
            </w:r>
            <w:r w:rsidR="00292ADE">
              <w:rPr>
                <w:noProof/>
                <w:webHidden/>
              </w:rPr>
              <w:instrText xml:space="preserve"> PAGEREF _Toc292454634 \h </w:instrText>
            </w:r>
            <w:r>
              <w:rPr>
                <w:noProof/>
                <w:webHidden/>
              </w:rPr>
            </w:r>
            <w:r>
              <w:rPr>
                <w:noProof/>
                <w:webHidden/>
              </w:rPr>
              <w:fldChar w:fldCharType="separate"/>
            </w:r>
            <w:r w:rsidR="009B5382">
              <w:rPr>
                <w:noProof/>
                <w:webHidden/>
              </w:rPr>
              <w:t>53</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35" w:history="1">
            <w:r w:rsidR="00292ADE" w:rsidRPr="007C7F51">
              <w:rPr>
                <w:rStyle w:val="Hyperlink"/>
                <w:noProof/>
              </w:rPr>
              <w:t>K</w:t>
            </w:r>
            <w:r w:rsidR="00C53527" w:rsidRPr="007C7F51">
              <w:rPr>
                <w:rStyle w:val="Hyperlink"/>
                <w:noProof/>
              </w:rPr>
              <w:t>ey policy areas to tackle bottlenecks</w:t>
            </w:r>
            <w:r w:rsidR="00292ADE">
              <w:rPr>
                <w:noProof/>
                <w:webHidden/>
              </w:rPr>
              <w:tab/>
            </w:r>
            <w:r>
              <w:rPr>
                <w:noProof/>
                <w:webHidden/>
              </w:rPr>
              <w:fldChar w:fldCharType="begin"/>
            </w:r>
            <w:r w:rsidR="00292ADE">
              <w:rPr>
                <w:noProof/>
                <w:webHidden/>
              </w:rPr>
              <w:instrText xml:space="preserve"> PAGEREF _Toc292454635 \h </w:instrText>
            </w:r>
            <w:r>
              <w:rPr>
                <w:noProof/>
                <w:webHidden/>
              </w:rPr>
            </w:r>
            <w:r>
              <w:rPr>
                <w:noProof/>
                <w:webHidden/>
              </w:rPr>
              <w:fldChar w:fldCharType="separate"/>
            </w:r>
            <w:r w:rsidR="009B5382">
              <w:rPr>
                <w:noProof/>
                <w:webHidden/>
              </w:rPr>
              <w:t>56</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36" w:history="1">
            <w:r w:rsidR="00292ADE" w:rsidRPr="007C7F51">
              <w:rPr>
                <w:rStyle w:val="Hyperlink"/>
                <w:noProof/>
                <w:lang w:val="en-GB"/>
              </w:rPr>
              <w:t>K</w:t>
            </w:r>
            <w:r w:rsidR="00C53527">
              <w:rPr>
                <w:rStyle w:val="Hyperlink"/>
                <w:noProof/>
                <w:lang w:val="en-GB"/>
              </w:rPr>
              <w:t>e</w:t>
            </w:r>
            <w:r w:rsidR="00C53527" w:rsidRPr="007C7F51">
              <w:rPr>
                <w:rStyle w:val="Hyperlink"/>
                <w:noProof/>
                <w:lang w:val="en-GB"/>
              </w:rPr>
              <w:t>y measures to reach target and tackle bottlenecks</w:t>
            </w:r>
            <w:r w:rsidR="00292ADE">
              <w:rPr>
                <w:noProof/>
                <w:webHidden/>
              </w:rPr>
              <w:tab/>
            </w:r>
            <w:r>
              <w:rPr>
                <w:noProof/>
                <w:webHidden/>
              </w:rPr>
              <w:fldChar w:fldCharType="begin"/>
            </w:r>
            <w:r w:rsidR="00292ADE">
              <w:rPr>
                <w:noProof/>
                <w:webHidden/>
              </w:rPr>
              <w:instrText xml:space="preserve"> PAGEREF _Toc292454636 \h </w:instrText>
            </w:r>
            <w:r>
              <w:rPr>
                <w:noProof/>
                <w:webHidden/>
              </w:rPr>
            </w:r>
            <w:r>
              <w:rPr>
                <w:noProof/>
                <w:webHidden/>
              </w:rPr>
              <w:fldChar w:fldCharType="separate"/>
            </w:r>
            <w:r w:rsidR="009B5382">
              <w:rPr>
                <w:noProof/>
                <w:webHidden/>
              </w:rPr>
              <w:t>57</w:t>
            </w:r>
            <w:r>
              <w:rPr>
                <w:noProof/>
                <w:webHidden/>
              </w:rPr>
              <w:fldChar w:fldCharType="end"/>
            </w:r>
          </w:hyperlink>
        </w:p>
        <w:p w:rsidR="00292ADE" w:rsidRDefault="000B2496">
          <w:pPr>
            <w:pStyle w:val="TOC1"/>
            <w:rPr>
              <w:rFonts w:asciiTheme="minorHAnsi" w:eastAsiaTheme="minorEastAsia" w:hAnsiTheme="minorHAnsi" w:cstheme="minorBidi"/>
              <w:noProof/>
              <w:sz w:val="22"/>
              <w:szCs w:val="22"/>
              <w:lang w:val="el-GR" w:eastAsia="el-GR"/>
            </w:rPr>
          </w:pPr>
          <w:hyperlink w:anchor="_Toc292454637" w:history="1">
            <w:r w:rsidR="00292ADE" w:rsidRPr="007C7F51">
              <w:rPr>
                <w:rStyle w:val="Hyperlink"/>
                <w:noProof/>
              </w:rPr>
              <w:t>10. FIGHTING POVERTY</w:t>
            </w:r>
            <w:r w:rsidR="00292ADE">
              <w:rPr>
                <w:noProof/>
                <w:webHidden/>
              </w:rPr>
              <w:tab/>
            </w:r>
            <w:r>
              <w:rPr>
                <w:noProof/>
                <w:webHidden/>
              </w:rPr>
              <w:fldChar w:fldCharType="begin"/>
            </w:r>
            <w:r w:rsidR="00292ADE">
              <w:rPr>
                <w:noProof/>
                <w:webHidden/>
              </w:rPr>
              <w:instrText xml:space="preserve"> PAGEREF _Toc292454637 \h </w:instrText>
            </w:r>
            <w:r>
              <w:rPr>
                <w:noProof/>
                <w:webHidden/>
              </w:rPr>
            </w:r>
            <w:r>
              <w:rPr>
                <w:noProof/>
                <w:webHidden/>
              </w:rPr>
              <w:fldChar w:fldCharType="separate"/>
            </w:r>
            <w:r w:rsidR="009B5382">
              <w:rPr>
                <w:noProof/>
                <w:webHidden/>
              </w:rPr>
              <w:t>75</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38" w:history="1">
            <w:r w:rsidR="00292ADE" w:rsidRPr="007C7F51">
              <w:rPr>
                <w:rStyle w:val="Hyperlink"/>
                <w:noProof/>
              </w:rPr>
              <w:t>C</w:t>
            </w:r>
            <w:r w:rsidR="00C53527" w:rsidRPr="007C7F51">
              <w:rPr>
                <w:rStyle w:val="Hyperlink"/>
                <w:noProof/>
              </w:rPr>
              <w:t>urrent situation</w:t>
            </w:r>
            <w:r w:rsidR="00292ADE">
              <w:rPr>
                <w:noProof/>
                <w:webHidden/>
              </w:rPr>
              <w:tab/>
            </w:r>
            <w:r>
              <w:rPr>
                <w:noProof/>
                <w:webHidden/>
              </w:rPr>
              <w:fldChar w:fldCharType="begin"/>
            </w:r>
            <w:r w:rsidR="00292ADE">
              <w:rPr>
                <w:noProof/>
                <w:webHidden/>
              </w:rPr>
              <w:instrText xml:space="preserve"> PAGEREF _Toc292454638 \h </w:instrText>
            </w:r>
            <w:r>
              <w:rPr>
                <w:noProof/>
                <w:webHidden/>
              </w:rPr>
            </w:r>
            <w:r>
              <w:rPr>
                <w:noProof/>
                <w:webHidden/>
              </w:rPr>
              <w:fldChar w:fldCharType="separate"/>
            </w:r>
            <w:r w:rsidR="009B5382">
              <w:rPr>
                <w:noProof/>
                <w:webHidden/>
              </w:rPr>
              <w:t>75</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39" w:history="1">
            <w:r w:rsidR="00292ADE" w:rsidRPr="007C7F51">
              <w:rPr>
                <w:rStyle w:val="Hyperlink"/>
                <w:noProof/>
                <w:lang w:val="en-GB"/>
              </w:rPr>
              <w:t>N</w:t>
            </w:r>
            <w:r w:rsidR="00C53527" w:rsidRPr="007C7F51">
              <w:rPr>
                <w:rStyle w:val="Hyperlink"/>
                <w:noProof/>
                <w:lang w:val="en-GB"/>
              </w:rPr>
              <w:t>ational targets</w:t>
            </w:r>
            <w:r w:rsidR="00292ADE">
              <w:rPr>
                <w:noProof/>
                <w:webHidden/>
              </w:rPr>
              <w:tab/>
            </w:r>
            <w:r>
              <w:rPr>
                <w:noProof/>
                <w:webHidden/>
              </w:rPr>
              <w:fldChar w:fldCharType="begin"/>
            </w:r>
            <w:r w:rsidR="00292ADE">
              <w:rPr>
                <w:noProof/>
                <w:webHidden/>
              </w:rPr>
              <w:instrText xml:space="preserve"> PAGEREF _Toc292454639 \h </w:instrText>
            </w:r>
            <w:r>
              <w:rPr>
                <w:noProof/>
                <w:webHidden/>
              </w:rPr>
            </w:r>
            <w:r>
              <w:rPr>
                <w:noProof/>
                <w:webHidden/>
              </w:rPr>
              <w:fldChar w:fldCharType="separate"/>
            </w:r>
            <w:r w:rsidR="009B5382">
              <w:rPr>
                <w:noProof/>
                <w:webHidden/>
              </w:rPr>
              <w:t>76</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40" w:history="1">
            <w:r w:rsidR="00292ADE" w:rsidRPr="007C7F51">
              <w:rPr>
                <w:rStyle w:val="Hyperlink"/>
                <w:noProof/>
                <w:lang w:val="en-GB"/>
              </w:rPr>
              <w:t>K</w:t>
            </w:r>
            <w:r w:rsidR="00C53527" w:rsidRPr="007C7F51">
              <w:rPr>
                <w:rStyle w:val="Hyperlink"/>
                <w:noProof/>
                <w:lang w:val="en-GB"/>
              </w:rPr>
              <w:t>ey measures to reach target and tackle bottlenecks</w:t>
            </w:r>
            <w:r w:rsidR="00292ADE">
              <w:rPr>
                <w:noProof/>
                <w:webHidden/>
              </w:rPr>
              <w:tab/>
            </w:r>
            <w:r>
              <w:rPr>
                <w:noProof/>
                <w:webHidden/>
              </w:rPr>
              <w:fldChar w:fldCharType="begin"/>
            </w:r>
            <w:r w:rsidR="00292ADE">
              <w:rPr>
                <w:noProof/>
                <w:webHidden/>
              </w:rPr>
              <w:instrText xml:space="preserve"> PAGEREF _Toc292454640 \h </w:instrText>
            </w:r>
            <w:r>
              <w:rPr>
                <w:noProof/>
                <w:webHidden/>
              </w:rPr>
            </w:r>
            <w:r>
              <w:rPr>
                <w:noProof/>
                <w:webHidden/>
              </w:rPr>
              <w:fldChar w:fldCharType="separate"/>
            </w:r>
            <w:r w:rsidR="009B5382">
              <w:rPr>
                <w:noProof/>
                <w:webHidden/>
              </w:rPr>
              <w:t>77</w:t>
            </w:r>
            <w:r>
              <w:rPr>
                <w:noProof/>
                <w:webHidden/>
              </w:rPr>
              <w:fldChar w:fldCharType="end"/>
            </w:r>
          </w:hyperlink>
        </w:p>
        <w:p w:rsidR="00292ADE" w:rsidRDefault="000B2496">
          <w:pPr>
            <w:pStyle w:val="TOC1"/>
            <w:rPr>
              <w:rFonts w:asciiTheme="minorHAnsi" w:eastAsiaTheme="minorEastAsia" w:hAnsiTheme="minorHAnsi" w:cstheme="minorBidi"/>
              <w:noProof/>
              <w:sz w:val="22"/>
              <w:szCs w:val="22"/>
              <w:lang w:val="el-GR" w:eastAsia="el-GR"/>
            </w:rPr>
          </w:pPr>
          <w:hyperlink w:anchor="_Toc292454641" w:history="1">
            <w:r w:rsidR="00292ADE" w:rsidRPr="007C7F51">
              <w:rPr>
                <w:rStyle w:val="Hyperlink"/>
                <w:noProof/>
              </w:rPr>
              <w:t>11. HORIZONTAL AND METHODOLOGICAL ISSUES</w:t>
            </w:r>
            <w:r w:rsidR="00292ADE">
              <w:rPr>
                <w:noProof/>
                <w:webHidden/>
              </w:rPr>
              <w:tab/>
            </w:r>
            <w:r>
              <w:rPr>
                <w:noProof/>
                <w:webHidden/>
              </w:rPr>
              <w:fldChar w:fldCharType="begin"/>
            </w:r>
            <w:r w:rsidR="00292ADE">
              <w:rPr>
                <w:noProof/>
                <w:webHidden/>
              </w:rPr>
              <w:instrText xml:space="preserve"> PAGEREF _Toc292454641 \h </w:instrText>
            </w:r>
            <w:r>
              <w:rPr>
                <w:noProof/>
                <w:webHidden/>
              </w:rPr>
            </w:r>
            <w:r>
              <w:rPr>
                <w:noProof/>
                <w:webHidden/>
              </w:rPr>
              <w:fldChar w:fldCharType="separate"/>
            </w:r>
            <w:r w:rsidR="009B5382">
              <w:rPr>
                <w:noProof/>
                <w:webHidden/>
              </w:rPr>
              <w:t>82</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42" w:history="1">
            <w:r w:rsidR="00292ADE" w:rsidRPr="007C7F51">
              <w:rPr>
                <w:rStyle w:val="Hyperlink"/>
                <w:noProof/>
              </w:rPr>
              <w:t>P</w:t>
            </w:r>
            <w:r w:rsidR="00C53527" w:rsidRPr="007C7F51">
              <w:rPr>
                <w:rStyle w:val="Hyperlink"/>
                <w:noProof/>
              </w:rPr>
              <w:t>ublic consultation</w:t>
            </w:r>
            <w:r w:rsidR="00292ADE">
              <w:rPr>
                <w:noProof/>
                <w:webHidden/>
              </w:rPr>
              <w:tab/>
            </w:r>
            <w:r>
              <w:rPr>
                <w:noProof/>
                <w:webHidden/>
              </w:rPr>
              <w:fldChar w:fldCharType="begin"/>
            </w:r>
            <w:r w:rsidR="00292ADE">
              <w:rPr>
                <w:noProof/>
                <w:webHidden/>
              </w:rPr>
              <w:instrText xml:space="preserve"> PAGEREF _Toc292454642 \h </w:instrText>
            </w:r>
            <w:r>
              <w:rPr>
                <w:noProof/>
                <w:webHidden/>
              </w:rPr>
            </w:r>
            <w:r>
              <w:rPr>
                <w:noProof/>
                <w:webHidden/>
              </w:rPr>
              <w:fldChar w:fldCharType="separate"/>
            </w:r>
            <w:r w:rsidR="009B5382">
              <w:rPr>
                <w:noProof/>
                <w:webHidden/>
              </w:rPr>
              <w:t>82</w:t>
            </w:r>
            <w:r>
              <w:rPr>
                <w:noProof/>
                <w:webHidden/>
              </w:rPr>
              <w:fldChar w:fldCharType="end"/>
            </w:r>
          </w:hyperlink>
        </w:p>
        <w:p w:rsidR="00292ADE" w:rsidRDefault="000B2496">
          <w:pPr>
            <w:pStyle w:val="TOC2"/>
            <w:rPr>
              <w:rFonts w:asciiTheme="minorHAnsi" w:eastAsiaTheme="minorEastAsia" w:hAnsiTheme="minorHAnsi" w:cstheme="minorBidi"/>
              <w:noProof/>
              <w:sz w:val="22"/>
              <w:szCs w:val="22"/>
              <w:lang w:val="el-GR" w:eastAsia="el-GR"/>
            </w:rPr>
          </w:pPr>
          <w:hyperlink w:anchor="_Toc292454643" w:history="1">
            <w:r w:rsidR="00292ADE" w:rsidRPr="007C7F51">
              <w:rPr>
                <w:rStyle w:val="Hyperlink"/>
                <w:noProof/>
              </w:rPr>
              <w:t>M</w:t>
            </w:r>
            <w:r w:rsidR="00C53527" w:rsidRPr="007C7F51">
              <w:rPr>
                <w:rStyle w:val="Hyperlink"/>
                <w:noProof/>
              </w:rPr>
              <w:t>onitoring mechanisms</w:t>
            </w:r>
            <w:r w:rsidR="00292ADE">
              <w:rPr>
                <w:noProof/>
                <w:webHidden/>
              </w:rPr>
              <w:tab/>
            </w:r>
            <w:r>
              <w:rPr>
                <w:noProof/>
                <w:webHidden/>
              </w:rPr>
              <w:fldChar w:fldCharType="begin"/>
            </w:r>
            <w:r w:rsidR="00292ADE">
              <w:rPr>
                <w:noProof/>
                <w:webHidden/>
              </w:rPr>
              <w:instrText xml:space="preserve"> PAGEREF _Toc292454643 \h </w:instrText>
            </w:r>
            <w:r>
              <w:rPr>
                <w:noProof/>
                <w:webHidden/>
              </w:rPr>
            </w:r>
            <w:r>
              <w:rPr>
                <w:noProof/>
                <w:webHidden/>
              </w:rPr>
              <w:fldChar w:fldCharType="separate"/>
            </w:r>
            <w:r w:rsidR="009B5382">
              <w:rPr>
                <w:noProof/>
                <w:webHidden/>
              </w:rPr>
              <w:t>83</w:t>
            </w:r>
            <w:r>
              <w:rPr>
                <w:noProof/>
                <w:webHidden/>
              </w:rPr>
              <w:fldChar w:fldCharType="end"/>
            </w:r>
          </w:hyperlink>
        </w:p>
        <w:p w:rsidR="0050232A" w:rsidRPr="00463FF5" w:rsidRDefault="000B2496" w:rsidP="00292ADE">
          <w:pPr>
            <w:pStyle w:val="TOC2"/>
          </w:pPr>
          <w:hyperlink w:anchor="_Toc292454644" w:history="1">
            <w:r w:rsidR="00292ADE" w:rsidRPr="007C7F51">
              <w:rPr>
                <w:rStyle w:val="Hyperlink"/>
                <w:noProof/>
              </w:rPr>
              <w:t>S</w:t>
            </w:r>
            <w:r w:rsidR="00C53527" w:rsidRPr="007C7F51">
              <w:rPr>
                <w:rStyle w:val="Hyperlink"/>
                <w:noProof/>
              </w:rPr>
              <w:t>tructural funds and</w:t>
            </w:r>
            <w:r w:rsidR="00C53527" w:rsidRPr="007C7F51">
              <w:rPr>
                <w:rStyle w:val="Hyperlink"/>
                <w:noProof/>
                <w:lang w:val="en-GB"/>
              </w:rPr>
              <w:t xml:space="preserve"> eu2020 strategy</w:t>
            </w:r>
            <w:r w:rsidR="00292ADE">
              <w:rPr>
                <w:noProof/>
                <w:webHidden/>
              </w:rPr>
              <w:tab/>
            </w:r>
            <w:r>
              <w:rPr>
                <w:noProof/>
                <w:webHidden/>
              </w:rPr>
              <w:fldChar w:fldCharType="begin"/>
            </w:r>
            <w:r w:rsidR="00292ADE">
              <w:rPr>
                <w:noProof/>
                <w:webHidden/>
              </w:rPr>
              <w:instrText xml:space="preserve"> PAGEREF _Toc292454644 \h </w:instrText>
            </w:r>
            <w:r>
              <w:rPr>
                <w:noProof/>
                <w:webHidden/>
              </w:rPr>
            </w:r>
            <w:r>
              <w:rPr>
                <w:noProof/>
                <w:webHidden/>
              </w:rPr>
              <w:fldChar w:fldCharType="separate"/>
            </w:r>
            <w:r w:rsidR="009B5382">
              <w:rPr>
                <w:noProof/>
                <w:webHidden/>
              </w:rPr>
              <w:t>85</w:t>
            </w:r>
            <w:r>
              <w:rPr>
                <w:noProof/>
                <w:webHidden/>
              </w:rPr>
              <w:fldChar w:fldCharType="end"/>
            </w:r>
          </w:hyperlink>
          <w:r w:rsidRPr="00A25748">
            <w:rPr>
              <w:color w:val="548DD4" w:themeColor="text2" w:themeTint="99"/>
            </w:rPr>
            <w:fldChar w:fldCharType="end"/>
          </w:r>
        </w:p>
      </w:sdtContent>
    </w:sdt>
    <w:p w:rsidR="0039210D" w:rsidRDefault="0039210D" w:rsidP="00021AFA">
      <w:pPr>
        <w:sectPr w:rsidR="0039210D" w:rsidSect="00B76405">
          <w:headerReference w:type="default" r:id="rId10"/>
          <w:footerReference w:type="even" r:id="rId11"/>
          <w:footerReference w:type="default" r:id="rId12"/>
          <w:headerReference w:type="first" r:id="rId13"/>
          <w:footerReference w:type="first" r:id="rId14"/>
          <w:pgSz w:w="12240" w:h="15840"/>
          <w:pgMar w:top="1560" w:right="1440" w:bottom="1296" w:left="1440" w:header="720" w:footer="720" w:gutter="0"/>
          <w:cols w:space="720"/>
          <w:docGrid w:linePitch="360"/>
        </w:sectPr>
      </w:pPr>
    </w:p>
    <w:p w:rsidR="00EE699F" w:rsidRPr="00E15E2C" w:rsidRDefault="00021AFA" w:rsidP="00463FF5">
      <w:pPr>
        <w:pStyle w:val="Heading1"/>
        <w:spacing w:before="0"/>
      </w:pPr>
      <w:bookmarkStart w:id="0" w:name="_Toc292454613"/>
      <w:r w:rsidRPr="00E15E2C">
        <w:lastRenderedPageBreak/>
        <w:t>1</w:t>
      </w:r>
      <w:r w:rsidR="0050232A" w:rsidRPr="00E15E2C">
        <w:t>. INTRODUCTION</w:t>
      </w:r>
      <w:bookmarkEnd w:id="0"/>
    </w:p>
    <w:p w:rsidR="00EE699F" w:rsidRDefault="00EE699F" w:rsidP="00EE699F"/>
    <w:p w:rsidR="00DD1679" w:rsidRPr="00EE699F" w:rsidRDefault="00DD1679" w:rsidP="00EE699F"/>
    <w:p w:rsidR="00BD2FBD" w:rsidRDefault="00BD2FBD" w:rsidP="00BD2FBD">
      <w:pPr>
        <w:pStyle w:val="ListParagraph"/>
        <w:ind w:left="0"/>
        <w:jc w:val="both"/>
      </w:pPr>
      <w:r>
        <w:t xml:space="preserve">Within </w:t>
      </w:r>
      <w:r w:rsidRPr="002E39AE">
        <w:t>the framework of the European Semester, Cyprus submits its National Reform Programme</w:t>
      </w:r>
      <w:r w:rsidR="00930D43">
        <w:t xml:space="preserve">  (NRP)</w:t>
      </w:r>
      <w:r w:rsidR="00930D43" w:rsidRPr="00930D43">
        <w:t xml:space="preserve"> </w:t>
      </w:r>
      <w:r w:rsidR="00AA7123" w:rsidRPr="002E39AE">
        <w:t xml:space="preserve"> on EU2020</w:t>
      </w:r>
      <w:r w:rsidR="00930D43">
        <w:t xml:space="preserve"> for smart, green and inclusive growth</w:t>
      </w:r>
      <w:r w:rsidRPr="002E39AE">
        <w:t xml:space="preserve"> (along with the submission of the Stability Programme), in conformity with the Integrated Guidelines</w:t>
      </w:r>
      <w:r w:rsidRPr="00BB10D6">
        <w:t xml:space="preserve"> for economic and employment policies agreed by the European C</w:t>
      </w:r>
      <w:r>
        <w:t>ouncil on 17 June 2010.</w:t>
      </w:r>
    </w:p>
    <w:p w:rsidR="00BB5B1C" w:rsidRDefault="00BB5B1C" w:rsidP="00BB5B1C">
      <w:pPr>
        <w:pStyle w:val="ListParagraph"/>
        <w:ind w:left="0"/>
        <w:jc w:val="both"/>
      </w:pPr>
    </w:p>
    <w:p w:rsidR="00BB5B1C" w:rsidRDefault="00BB5B1C" w:rsidP="00BB5B1C">
      <w:pPr>
        <w:pStyle w:val="ListParagraph"/>
        <w:ind w:left="0"/>
        <w:jc w:val="both"/>
      </w:pPr>
      <w:r>
        <w:t xml:space="preserve">The </w:t>
      </w:r>
      <w:r w:rsidR="00CF00A2">
        <w:t>NR</w:t>
      </w:r>
      <w:r>
        <w:t>P</w:t>
      </w:r>
      <w:r w:rsidR="00CD6A59">
        <w:t xml:space="preserve"> </w:t>
      </w:r>
      <w:r w:rsidR="00930D43" w:rsidRPr="002E39AE">
        <w:t>presents the structural reforms that aim to boost growth, employment and social cohesion.</w:t>
      </w:r>
      <w:r>
        <w:t xml:space="preserve"> </w:t>
      </w:r>
      <w:r w:rsidR="00CF00A2">
        <w:t xml:space="preserve">Having being prepared </w:t>
      </w:r>
      <w:r w:rsidR="008161F4">
        <w:t xml:space="preserve">in </w:t>
      </w:r>
      <w:r>
        <w:t xml:space="preserve">collaboration with all pertinent Ministries </w:t>
      </w:r>
      <w:r w:rsidR="00CF00A2">
        <w:t xml:space="preserve">and in consultation with social partners, the NRP </w:t>
      </w:r>
      <w:r>
        <w:t xml:space="preserve">sets out the measures to address the weaknesses that hamper economic growth and promote the achievement of the five quantitative national targets for smart, sustainable and inclusive growth. </w:t>
      </w:r>
    </w:p>
    <w:p w:rsidR="00930D43" w:rsidRDefault="00930D43" w:rsidP="00BB5B1C">
      <w:pPr>
        <w:pStyle w:val="ListParagraph"/>
        <w:ind w:left="0"/>
        <w:jc w:val="both"/>
      </w:pPr>
    </w:p>
    <w:p w:rsidR="00BB5B1C" w:rsidRPr="002E39AE" w:rsidRDefault="00AA7123" w:rsidP="00BB5B1C">
      <w:pPr>
        <w:jc w:val="both"/>
      </w:pPr>
      <w:r w:rsidRPr="002E39AE">
        <w:t xml:space="preserve"> The key challenge now, especially against the background of the uncertainties surrounding the economic developments in the euro area, is to consolidate the recovery, promote growth in the medium term and strengthen fiscal consolidation, while maintaining social cohesion. </w:t>
      </w:r>
      <w:r w:rsidR="00491F00">
        <w:t xml:space="preserve">Increasing </w:t>
      </w:r>
      <w:r w:rsidR="00491F00" w:rsidRPr="00676A3E">
        <w:rPr>
          <w:b/>
        </w:rPr>
        <w:t xml:space="preserve">labour market </w:t>
      </w:r>
      <w:r w:rsidR="00491F00" w:rsidRPr="00F0627B">
        <w:rPr>
          <w:b/>
        </w:rPr>
        <w:t>participation</w:t>
      </w:r>
      <w:r w:rsidR="00491F00" w:rsidRPr="00805202">
        <w:rPr>
          <w:b/>
        </w:rPr>
        <w:t xml:space="preserve"> and creating employment opportunities</w:t>
      </w:r>
      <w:r w:rsidR="00491F00">
        <w:t xml:space="preserve"> for the highly </w:t>
      </w:r>
      <w:r w:rsidR="00491F00" w:rsidRPr="00676A3E">
        <w:rPr>
          <w:b/>
        </w:rPr>
        <w:t>skilled</w:t>
      </w:r>
      <w:r w:rsidR="00491F00">
        <w:rPr>
          <w:b/>
        </w:rPr>
        <w:t xml:space="preserve"> </w:t>
      </w:r>
      <w:r w:rsidR="00491F00" w:rsidRPr="00676A3E">
        <w:rPr>
          <w:b/>
        </w:rPr>
        <w:t>workforce</w:t>
      </w:r>
      <w:r w:rsidR="00491F00">
        <w:t xml:space="preserve"> remain high in the agenda of the Cyprus Government, especially at a point of time where unemployment has increased </w:t>
      </w:r>
      <w:r w:rsidR="00491F00" w:rsidRPr="00E50BFD">
        <w:t>substantially</w:t>
      </w:r>
      <w:r w:rsidR="00491F00">
        <w:t>, at levels unprecedented for the country.</w:t>
      </w:r>
    </w:p>
    <w:p w:rsidR="00EE699F" w:rsidRPr="002E39AE" w:rsidRDefault="00EE699F" w:rsidP="00EE699F">
      <w:pPr>
        <w:pStyle w:val="ListParagraph"/>
        <w:ind w:left="0"/>
        <w:jc w:val="both"/>
      </w:pPr>
    </w:p>
    <w:p w:rsidR="00613DE6" w:rsidRDefault="00EE699F" w:rsidP="00613DE6">
      <w:pPr>
        <w:pStyle w:val="ListParagraph"/>
        <w:ind w:left="0"/>
        <w:jc w:val="both"/>
      </w:pPr>
      <w:r w:rsidRPr="002E39AE">
        <w:t>The corrective measures that will be promoted in the context of the NRP</w:t>
      </w:r>
      <w:r w:rsidR="00457671" w:rsidRPr="002E39AE">
        <w:t xml:space="preserve"> for improving competitiveness and enhancing growth</w:t>
      </w:r>
      <w:r w:rsidRPr="002E39AE">
        <w:t xml:space="preserve"> </w:t>
      </w:r>
      <w:r w:rsidR="00613DE6">
        <w:t>centre on the following:</w:t>
      </w:r>
    </w:p>
    <w:p w:rsidR="00613DE6" w:rsidRDefault="00613DE6" w:rsidP="00613DE6">
      <w:pPr>
        <w:pStyle w:val="ListParagraph"/>
        <w:ind w:left="0"/>
        <w:jc w:val="both"/>
      </w:pPr>
    </w:p>
    <w:p w:rsidR="00EE699F" w:rsidRPr="00716585" w:rsidRDefault="00613DE6" w:rsidP="00613DE6">
      <w:pPr>
        <w:pStyle w:val="ListParagraph"/>
        <w:ind w:left="0"/>
        <w:jc w:val="both"/>
        <w:rPr>
          <w:b/>
          <w:lang w:val="en-GB"/>
        </w:rPr>
      </w:pPr>
      <w:r w:rsidRPr="003B7024">
        <w:rPr>
          <w:b/>
        </w:rPr>
        <w:t>The promotion of innovation, ICT and new technology usage capacity</w:t>
      </w:r>
      <w:r w:rsidR="003B7024">
        <w:rPr>
          <w:b/>
        </w:rPr>
        <w:t>:</w:t>
      </w:r>
      <w:r>
        <w:t xml:space="preserve"> </w:t>
      </w:r>
      <w:r w:rsidR="00457671">
        <w:t>As there is a limited capacity for Cyprus to increase R&amp;D, mainly due to the weakness of the private sector to inves</w:t>
      </w:r>
      <w:r w:rsidR="004448D8">
        <w:t>t in R&amp;D</w:t>
      </w:r>
      <w:r w:rsidR="00457671">
        <w:t xml:space="preserve"> </w:t>
      </w:r>
      <w:r w:rsidR="004448D8">
        <w:t>(</w:t>
      </w:r>
      <w:r w:rsidR="00457671">
        <w:t>given that the vast majority of enterprises are micro enterprises, speciali</w:t>
      </w:r>
      <w:r w:rsidR="00104072">
        <w:t>s</w:t>
      </w:r>
      <w:r w:rsidR="00457671">
        <w:t>ing mainly in services</w:t>
      </w:r>
      <w:r w:rsidR="004448D8">
        <w:t>)</w:t>
      </w:r>
      <w:r w:rsidR="00457671">
        <w:t>, efforts have been switched to increasing the involvement of business in innovation activities</w:t>
      </w:r>
      <w:r>
        <w:t xml:space="preserve"> and the upgrading</w:t>
      </w:r>
      <w:r w:rsidR="004448D8">
        <w:t xml:space="preserve"> of their</w:t>
      </w:r>
      <w:r>
        <w:t xml:space="preserve"> technology usage capacity</w:t>
      </w:r>
      <w:r w:rsidR="00457671">
        <w:t xml:space="preserve">. </w:t>
      </w:r>
      <w:r w:rsidR="00EE699F">
        <w:t>I</w:t>
      </w:r>
      <w:r w:rsidR="00EE699F">
        <w:rPr>
          <w:lang w:val="en-GB"/>
        </w:rPr>
        <w:t>n</w:t>
      </w:r>
      <w:r w:rsidR="00EE699F" w:rsidRPr="005773AB">
        <w:rPr>
          <w:lang w:val="en-GB"/>
        </w:rPr>
        <w:t xml:space="preserve"> order to overcome the bottlenecks </w:t>
      </w:r>
      <w:r w:rsidR="00104072">
        <w:rPr>
          <w:lang w:val="en-GB"/>
        </w:rPr>
        <w:t>in</w:t>
      </w:r>
      <w:r w:rsidR="00EE699F" w:rsidRPr="005773AB">
        <w:rPr>
          <w:lang w:val="en-GB"/>
        </w:rPr>
        <w:t xml:space="preserve"> research and innovation</w:t>
      </w:r>
      <w:r w:rsidR="00EE699F">
        <w:t xml:space="preserve">, the </w:t>
      </w:r>
      <w:r w:rsidR="00EE699F" w:rsidRPr="0034500D">
        <w:rPr>
          <w:b/>
          <w:lang w:val="en-GB"/>
        </w:rPr>
        <w:t>National Strategy for Research and Innovation 2011-2015</w:t>
      </w:r>
      <w:r w:rsidR="00EE699F" w:rsidRPr="005773AB">
        <w:rPr>
          <w:lang w:val="en-GB"/>
        </w:rPr>
        <w:t xml:space="preserve"> </w:t>
      </w:r>
      <w:r w:rsidR="00EE699F">
        <w:rPr>
          <w:lang w:val="en-GB"/>
        </w:rPr>
        <w:t>will be finalised</w:t>
      </w:r>
      <w:r w:rsidR="00EE699F" w:rsidRPr="005773AB">
        <w:rPr>
          <w:lang w:val="en-GB"/>
        </w:rPr>
        <w:t xml:space="preserve">. </w:t>
      </w:r>
    </w:p>
    <w:p w:rsidR="00EE699F" w:rsidRDefault="00EE699F" w:rsidP="00EE699F"/>
    <w:p w:rsidR="00527480" w:rsidRDefault="00527480" w:rsidP="00527480">
      <w:pPr>
        <w:jc w:val="both"/>
        <w:rPr>
          <w:lang w:eastAsia="el-GR"/>
        </w:rPr>
      </w:pPr>
      <w:r>
        <w:t xml:space="preserve">The </w:t>
      </w:r>
      <w:r w:rsidRPr="00BA700D">
        <w:rPr>
          <w:b/>
        </w:rPr>
        <w:t>digital society</w:t>
      </w:r>
      <w:r>
        <w:t xml:space="preserve"> comprises a predominant factor of innovation in Cyprus, allowing it also to connect to the rest of the EU and benefit from the Single Market, partly overcoming the shortcomings caused by its insular nature and its geographical position. </w:t>
      </w:r>
      <w:r w:rsidR="00DD1679">
        <w:t>F</w:t>
      </w:r>
      <w:r w:rsidRPr="002335A7">
        <w:t xml:space="preserve">ocus will be </w:t>
      </w:r>
      <w:r>
        <w:t xml:space="preserve">placed </w:t>
      </w:r>
      <w:r w:rsidRPr="002335A7">
        <w:t>on the fina</w:t>
      </w:r>
      <w:r>
        <w:t>lis</w:t>
      </w:r>
      <w:r w:rsidRPr="002335A7">
        <w:t xml:space="preserve">ation of the </w:t>
      </w:r>
      <w:r w:rsidRPr="00702680">
        <w:rPr>
          <w:lang w:val="en-GB"/>
        </w:rPr>
        <w:t>Digital Strategy for Cyprus</w:t>
      </w:r>
      <w:r>
        <w:rPr>
          <w:lang w:val="en-GB"/>
        </w:rPr>
        <w:t xml:space="preserve"> within 2011</w:t>
      </w:r>
      <w:r w:rsidRPr="00702680">
        <w:rPr>
          <w:lang w:val="en-GB"/>
        </w:rPr>
        <w:t>, which will give clear guidance for driving Cyprus into a digital era</w:t>
      </w:r>
      <w:r>
        <w:rPr>
          <w:lang w:val="en-GB"/>
        </w:rPr>
        <w:t xml:space="preserve">. In this respect, the </w:t>
      </w:r>
      <w:r w:rsidRPr="00702680">
        <w:rPr>
          <w:lang w:val="en-GB"/>
        </w:rPr>
        <w:t>full</w:t>
      </w:r>
      <w:r w:rsidRPr="00702680">
        <w:rPr>
          <w:color w:val="000000"/>
        </w:rPr>
        <w:t xml:space="preserve"> broadband coverage of the country will be</w:t>
      </w:r>
      <w:r>
        <w:rPr>
          <w:color w:val="000000"/>
        </w:rPr>
        <w:t xml:space="preserve"> completed by the end of 2011, </w:t>
      </w:r>
      <w:r w:rsidRPr="00702680">
        <w:rPr>
          <w:color w:val="000000"/>
        </w:rPr>
        <w:t xml:space="preserve">prices of electronic communications services will be reduced, spectrum for the establishment and the operation of wireless networks </w:t>
      </w:r>
      <w:r>
        <w:rPr>
          <w:color w:val="000000"/>
        </w:rPr>
        <w:t>with</w:t>
      </w:r>
      <w:r w:rsidRPr="00702680">
        <w:rPr>
          <w:color w:val="000000"/>
        </w:rPr>
        <w:t xml:space="preserve"> high quality and high speed broadband services will be introduced and a digital government will be pursued for smart, sustainable and innovative public services. Furthermore, </w:t>
      </w:r>
      <w:r>
        <w:rPr>
          <w:color w:val="000000"/>
        </w:rPr>
        <w:t xml:space="preserve">the </w:t>
      </w:r>
      <w:r w:rsidRPr="00702680">
        <w:rPr>
          <w:color w:val="000000"/>
        </w:rPr>
        <w:t xml:space="preserve">Digital Strategy will </w:t>
      </w:r>
      <w:r w:rsidR="00F0627B">
        <w:rPr>
          <w:color w:val="000000"/>
        </w:rPr>
        <w:t xml:space="preserve">aim at </w:t>
      </w:r>
      <w:r>
        <w:rPr>
          <w:lang w:eastAsia="el-GR"/>
        </w:rPr>
        <w:t>e</w:t>
      </w:r>
      <w:r w:rsidRPr="002335A7">
        <w:rPr>
          <w:lang w:eastAsia="el-GR"/>
        </w:rPr>
        <w:t xml:space="preserve">mpowering </w:t>
      </w:r>
      <w:r>
        <w:rPr>
          <w:lang w:eastAsia="el-GR"/>
        </w:rPr>
        <w:t>h</w:t>
      </w:r>
      <w:r w:rsidRPr="002335A7">
        <w:rPr>
          <w:lang w:eastAsia="el-GR"/>
        </w:rPr>
        <w:t xml:space="preserve">uman </w:t>
      </w:r>
      <w:r>
        <w:rPr>
          <w:lang w:eastAsia="el-GR"/>
        </w:rPr>
        <w:t xml:space="preserve">capital </w:t>
      </w:r>
      <w:r w:rsidR="00F0627B">
        <w:rPr>
          <w:lang w:eastAsia="el-GR"/>
        </w:rPr>
        <w:t xml:space="preserve">in e-skills </w:t>
      </w:r>
      <w:r w:rsidRPr="00702680">
        <w:rPr>
          <w:color w:val="000000"/>
        </w:rPr>
        <w:t xml:space="preserve">and the </w:t>
      </w:r>
      <w:r>
        <w:rPr>
          <w:lang w:eastAsia="el-GR"/>
        </w:rPr>
        <w:t xml:space="preserve">promotion of </w:t>
      </w:r>
      <w:r w:rsidR="004448D8">
        <w:rPr>
          <w:lang w:eastAsia="el-GR"/>
        </w:rPr>
        <w:t>g</w:t>
      </w:r>
      <w:r>
        <w:rPr>
          <w:lang w:eastAsia="el-GR"/>
        </w:rPr>
        <w:t>reen c</w:t>
      </w:r>
      <w:r w:rsidRPr="00702680">
        <w:rPr>
          <w:lang w:eastAsia="el-GR"/>
        </w:rPr>
        <w:t>ulture</w:t>
      </w:r>
      <w:r w:rsidR="00F0627B">
        <w:rPr>
          <w:lang w:eastAsia="el-GR"/>
        </w:rPr>
        <w:t xml:space="preserve"> through ICT</w:t>
      </w:r>
      <w:r>
        <w:rPr>
          <w:lang w:eastAsia="el-GR"/>
        </w:rPr>
        <w:t xml:space="preserve">. </w:t>
      </w:r>
    </w:p>
    <w:p w:rsidR="00527480" w:rsidRDefault="00527480" w:rsidP="00527480">
      <w:pPr>
        <w:jc w:val="both"/>
        <w:rPr>
          <w:lang w:eastAsia="el-GR"/>
        </w:rPr>
      </w:pPr>
    </w:p>
    <w:p w:rsidR="00527480" w:rsidRDefault="00527480" w:rsidP="00527480">
      <w:pPr>
        <w:jc w:val="both"/>
      </w:pPr>
      <w:r>
        <w:t xml:space="preserve">The </w:t>
      </w:r>
      <w:r w:rsidRPr="004448D8">
        <w:rPr>
          <w:b/>
        </w:rPr>
        <w:t>educational system</w:t>
      </w:r>
      <w:r>
        <w:t xml:space="preserve"> has an important role to play in </w:t>
      </w:r>
      <w:r w:rsidRPr="00F119AC">
        <w:t>meet</w:t>
      </w:r>
      <w:r>
        <w:t xml:space="preserve">ing </w:t>
      </w:r>
      <w:r w:rsidRPr="00F119AC">
        <w:t>future</w:t>
      </w:r>
      <w:r>
        <w:t xml:space="preserve"> labour skills</w:t>
      </w:r>
      <w:r w:rsidRPr="00F119AC">
        <w:t xml:space="preserve"> and society's challenges in the 21st century</w:t>
      </w:r>
      <w:r>
        <w:t xml:space="preserve">. The </w:t>
      </w:r>
      <w:r w:rsidR="00602DA7" w:rsidRPr="004448D8">
        <w:t>Education Reform</w:t>
      </w:r>
      <w:r w:rsidR="00CF00A2">
        <w:rPr>
          <w:b/>
        </w:rPr>
        <w:t>,</w:t>
      </w:r>
      <w:r>
        <w:t xml:space="preserve"> now under implementation</w:t>
      </w:r>
      <w:r w:rsidR="00CF00A2">
        <w:t>,</w:t>
      </w:r>
      <w:r>
        <w:t xml:space="preserve"> focuses on </w:t>
      </w:r>
      <w:r w:rsidRPr="00F119AC">
        <w:t>improving the e</w:t>
      </w:r>
      <w:r>
        <w:t>quity</w:t>
      </w:r>
      <w:r w:rsidR="00492583">
        <w:t xml:space="preserve"> of the educational system and o</w:t>
      </w:r>
      <w:r>
        <w:t>n</w:t>
      </w:r>
      <w:r w:rsidRPr="00F119AC">
        <w:t xml:space="preserve"> encouraging lifelong learning</w:t>
      </w:r>
      <w:r w:rsidR="00492583">
        <w:t>.</w:t>
      </w:r>
      <w:r>
        <w:t xml:space="preserve"> </w:t>
      </w:r>
      <w:r>
        <w:lastRenderedPageBreak/>
        <w:t>Even though Cyprus has a good performance in educational attainment, resulting into a very highly qualified labour force with 44,7% of people aged 30-34 years, having completed tertiary education, an important challenge of the system lies in increasing participation in the technical -vocational education</w:t>
      </w:r>
      <w:r w:rsidR="008F0F5E">
        <w:t>,</w:t>
      </w:r>
      <w:r>
        <w:t xml:space="preserve"> especially at the post-lyceum level. For this reason, the establishment of post-secondary institutes for Technical and Vocational Education will be a priority, so as to offer to students an intermediate level of education between upper s</w:t>
      </w:r>
      <w:r w:rsidR="00DD1679">
        <w:t>econdary and tertiary education.</w:t>
      </w:r>
    </w:p>
    <w:p w:rsidR="00527480" w:rsidRDefault="00527480" w:rsidP="00527480">
      <w:pPr>
        <w:rPr>
          <w:u w:val="single"/>
        </w:rPr>
      </w:pPr>
    </w:p>
    <w:p w:rsidR="00527480" w:rsidRDefault="00527480" w:rsidP="00527480">
      <w:pPr>
        <w:jc w:val="both"/>
      </w:pPr>
      <w:r w:rsidRPr="00492583">
        <w:rPr>
          <w:b/>
        </w:rPr>
        <w:t>Increasing energy efficiency</w:t>
      </w:r>
      <w:r>
        <w:t xml:space="preserve"> in connection with addressing the adverse impacts from climate change, like prolonged droughts and water scarcity that the country is already experiencing</w:t>
      </w:r>
      <w:r w:rsidR="008F0F5E">
        <w:t>,</w:t>
      </w:r>
      <w:r>
        <w:t xml:space="preserve"> is a top priority</w:t>
      </w:r>
      <w:r>
        <w:rPr>
          <w:b/>
        </w:rPr>
        <w:t xml:space="preserve"> </w:t>
      </w:r>
      <w:r w:rsidR="00602DA7" w:rsidRPr="00602DA7">
        <w:t>that</w:t>
      </w:r>
      <w:r>
        <w:t xml:space="preserve"> needs to be addressed urgently. The main challenges therefore include the promotion of RES and energy conservation, the introduction of natural gas as an alternative energy source, the reduction of greenhouse gas emissions and the promotion of environmental sustainability.</w:t>
      </w:r>
      <w:r w:rsidR="00495D75">
        <w:t xml:space="preserve"> Diversifying the energy mix will decrease the high dependency on imported oil for energy production, will alleviate the adverse effects of having a small and isolated energy grid and thus decrease the risk of a high Current Account deficit in case of high volatility of oil prices. </w:t>
      </w:r>
    </w:p>
    <w:p w:rsidR="00527480" w:rsidRDefault="00527480" w:rsidP="00527480">
      <w:pPr>
        <w:jc w:val="both"/>
      </w:pPr>
    </w:p>
    <w:p w:rsidR="00A63043" w:rsidRDefault="00527480" w:rsidP="00527480">
      <w:pPr>
        <w:jc w:val="both"/>
      </w:pPr>
      <w:r w:rsidRPr="00CF00A2">
        <w:t xml:space="preserve">Increasing </w:t>
      </w:r>
      <w:r w:rsidRPr="00CF00A2">
        <w:rPr>
          <w:b/>
        </w:rPr>
        <w:t>labour market participation</w:t>
      </w:r>
      <w:r w:rsidR="00805202" w:rsidRPr="00CF00A2">
        <w:rPr>
          <w:b/>
        </w:rPr>
        <w:t xml:space="preserve"> </w:t>
      </w:r>
      <w:r w:rsidR="00491F00">
        <w:t xml:space="preserve">will be promoted through </w:t>
      </w:r>
      <w:r>
        <w:t>active labour market pol</w:t>
      </w:r>
      <w:r w:rsidR="0032063C">
        <w:t>icies</w:t>
      </w:r>
      <w:r w:rsidR="008F0F5E">
        <w:t>,</w:t>
      </w:r>
      <w:r w:rsidR="0032063C">
        <w:t xml:space="preserve"> with emphasis on the most </w:t>
      </w:r>
      <w:r>
        <w:t>disadvantaged groups, the reconciliation of work and family life,</w:t>
      </w:r>
      <w:r w:rsidR="00A63043">
        <w:t xml:space="preserve"> the promotion of gender equality, the improvement of the link of education and training systems and the implementation of immigration policies for combating irregular immigration</w:t>
      </w:r>
      <w:r w:rsidR="00CF00A2">
        <w:t xml:space="preserve">, </w:t>
      </w:r>
      <w:r w:rsidR="00A63043">
        <w:t xml:space="preserve"> illegal and undeclared employment and helping towards the integration of third country nationals.</w:t>
      </w:r>
    </w:p>
    <w:p w:rsidR="00527480" w:rsidRDefault="00A63043" w:rsidP="00527480">
      <w:pPr>
        <w:jc w:val="both"/>
      </w:pPr>
      <w:r>
        <w:t xml:space="preserve"> </w:t>
      </w:r>
    </w:p>
    <w:p w:rsidR="00527480" w:rsidRDefault="00527480" w:rsidP="00527480">
      <w:pPr>
        <w:jc w:val="both"/>
      </w:pPr>
      <w:r>
        <w:t xml:space="preserve">The promotion of </w:t>
      </w:r>
      <w:r w:rsidRPr="00676A3E">
        <w:rPr>
          <w:b/>
        </w:rPr>
        <w:t>social inclusion and the fight against poverty</w:t>
      </w:r>
      <w:r>
        <w:t xml:space="preserve"> constitute an important and integral part of the socio-economic model on which the Cyprus economy has relied. The Cyprus Government is strongly committed to the promotion of social inclusion</w:t>
      </w:r>
      <w:r w:rsidR="00BF5561">
        <w:t>,</w:t>
      </w:r>
      <w:r>
        <w:t xml:space="preserve"> in particular through reducing the poverty rate, increasing employment and providing better standards of living for all citizens</w:t>
      </w:r>
      <w:r w:rsidR="00BF5561">
        <w:t xml:space="preserve"> legally residing in the country. Promoting access</w:t>
      </w:r>
      <w:r>
        <w:t xml:space="preserve"> to employment for the vulnerable groups of the population</w:t>
      </w:r>
      <w:r w:rsidR="00BF5561">
        <w:t xml:space="preserve"> is a priority</w:t>
      </w:r>
      <w:r>
        <w:t xml:space="preserve">, as having a job is the safest route out of </w:t>
      </w:r>
      <w:r w:rsidR="00CF00A2">
        <w:t>poverty in</w:t>
      </w:r>
      <w:r w:rsidR="00BF5561">
        <w:t xml:space="preserve"> combination with a sound s</w:t>
      </w:r>
      <w:r>
        <w:t>ocial protection</w:t>
      </w:r>
      <w:r w:rsidR="00BF5561">
        <w:t xml:space="preserve"> system </w:t>
      </w:r>
      <w:r w:rsidR="00CF00A2">
        <w:t>ensuring access</w:t>
      </w:r>
      <w:r>
        <w:t xml:space="preserve"> to essential services </w:t>
      </w:r>
      <w:r w:rsidR="00BF5561">
        <w:t>including housing</w:t>
      </w:r>
      <w:r w:rsidR="00CF00A2">
        <w:t>, health</w:t>
      </w:r>
      <w:r w:rsidR="00BF5561">
        <w:t xml:space="preserve"> </w:t>
      </w:r>
      <w:r w:rsidR="00CF00A2">
        <w:t>and long</w:t>
      </w:r>
      <w:r w:rsidR="00BF5561">
        <w:t>-term care</w:t>
      </w:r>
      <w:r w:rsidR="00CF00A2">
        <w:t>. I</w:t>
      </w:r>
      <w:r>
        <w:t xml:space="preserve">ntegration of migrants and antidiscrimination policies </w:t>
      </w:r>
      <w:r w:rsidR="008F0F5E">
        <w:t xml:space="preserve">are also </w:t>
      </w:r>
      <w:r w:rsidR="00CF00A2">
        <w:t>basic</w:t>
      </w:r>
      <w:r w:rsidR="008F0F5E">
        <w:t xml:space="preserve"> the priorities.</w:t>
      </w:r>
      <w:r>
        <w:t xml:space="preserve"> </w:t>
      </w:r>
    </w:p>
    <w:p w:rsidR="00527480" w:rsidRDefault="00527480" w:rsidP="00527480">
      <w:pPr>
        <w:jc w:val="both"/>
      </w:pPr>
    </w:p>
    <w:p w:rsidR="00527480" w:rsidRDefault="00527480" w:rsidP="00527480">
      <w:pPr>
        <w:pStyle w:val="ListParagraph"/>
        <w:ind w:left="0"/>
        <w:jc w:val="both"/>
      </w:pPr>
      <w:r w:rsidRPr="002E39AE">
        <w:t xml:space="preserve">Despite the fact that the NRP sets out realistic and ambitious targets, </w:t>
      </w:r>
      <w:r w:rsidR="00156E59" w:rsidRPr="002E39AE">
        <w:t xml:space="preserve">it </w:t>
      </w:r>
      <w:r w:rsidRPr="002E39AE">
        <w:t>also need</w:t>
      </w:r>
      <w:r w:rsidR="00156E59" w:rsidRPr="002E39AE">
        <w:t>s</w:t>
      </w:r>
      <w:r w:rsidRPr="002E39AE">
        <w:t xml:space="preserve"> to </w:t>
      </w:r>
      <w:r w:rsidR="00156E59" w:rsidRPr="002E39AE">
        <w:t xml:space="preserve">be </w:t>
      </w:r>
      <w:r w:rsidRPr="002E39AE">
        <w:t>acknowledge</w:t>
      </w:r>
      <w:r w:rsidR="00156E59" w:rsidRPr="002E39AE">
        <w:t>d</w:t>
      </w:r>
      <w:r w:rsidRPr="002E39AE">
        <w:t xml:space="preserve"> that the euro area is currently going through a very challenging time. Consequently, </w:t>
      </w:r>
      <w:r w:rsidR="00CF00A2">
        <w:t xml:space="preserve">its implementation will greatly </w:t>
      </w:r>
      <w:r w:rsidRPr="002E39AE">
        <w:t>depend on the fiscal consolidation and macroeconomic stability conditions. The S</w:t>
      </w:r>
      <w:r w:rsidR="00261141" w:rsidRPr="002E39AE">
        <w:t xml:space="preserve">tability </w:t>
      </w:r>
      <w:r w:rsidRPr="002E39AE">
        <w:t>P</w:t>
      </w:r>
      <w:r w:rsidR="00261141" w:rsidRPr="002E39AE">
        <w:t>rogramme</w:t>
      </w:r>
      <w:r w:rsidRPr="002E39AE">
        <w:t xml:space="preserve"> envisages, albeit modest by historical standards, acceleration of </w:t>
      </w:r>
      <w:r w:rsidR="0032063C" w:rsidRPr="002E39AE">
        <w:t xml:space="preserve">GDP </w:t>
      </w:r>
      <w:r w:rsidRPr="002E39AE">
        <w:t xml:space="preserve">growth in 2011 </w:t>
      </w:r>
      <w:r w:rsidR="0032063C" w:rsidRPr="002E39AE">
        <w:t>of</w:t>
      </w:r>
      <w:r w:rsidRPr="002E39AE">
        <w:t xml:space="preserve"> 1,5% compared to the previous year</w:t>
      </w:r>
      <w:r w:rsidR="00F0627B" w:rsidRPr="002E39AE">
        <w:t>s’</w:t>
      </w:r>
      <w:r w:rsidRPr="002E39AE">
        <w:t xml:space="preserve"> and a gradual acceleration to 3% by 2014. </w:t>
      </w:r>
      <w:r w:rsidR="0032063C" w:rsidRPr="002E39AE">
        <w:t>Similarly, em</w:t>
      </w:r>
      <w:r w:rsidR="00E50BFD" w:rsidRPr="002E39AE">
        <w:t>ployment is expected to grow</w:t>
      </w:r>
      <w:r w:rsidR="004448D8">
        <w:t xml:space="preserve"> on average </w:t>
      </w:r>
      <w:r w:rsidR="00E50BFD" w:rsidRPr="002E39AE">
        <w:t>by</w:t>
      </w:r>
      <w:r w:rsidR="00156E59" w:rsidRPr="002E39AE">
        <w:t xml:space="preserve"> only</w:t>
      </w:r>
      <w:r w:rsidR="00E50BFD" w:rsidRPr="002E39AE">
        <w:t xml:space="preserve"> </w:t>
      </w:r>
      <w:r w:rsidR="0032063C" w:rsidRPr="002E39AE">
        <w:t>0,</w:t>
      </w:r>
      <w:r w:rsidR="007B7CCD">
        <w:t xml:space="preserve">8 </w:t>
      </w:r>
      <w:r w:rsidR="0032063C" w:rsidRPr="002E39AE">
        <w:t>% per annum</w:t>
      </w:r>
      <w:r w:rsidR="00315736" w:rsidRPr="002E39AE">
        <w:t>,</w:t>
      </w:r>
      <w:r w:rsidR="00A906C8">
        <w:t xml:space="preserve"> </w:t>
      </w:r>
      <w:r w:rsidR="0032063C" w:rsidRPr="002E39AE">
        <w:t xml:space="preserve"> thus keeping the unemployment rate at </w:t>
      </w:r>
      <w:r w:rsidR="003A0A3E" w:rsidRPr="002E39AE">
        <w:t xml:space="preserve">a </w:t>
      </w:r>
      <w:r w:rsidR="0032063C" w:rsidRPr="002E39AE">
        <w:t>relatively high level</w:t>
      </w:r>
      <w:r w:rsidR="00E50BFD" w:rsidRPr="002E39AE">
        <w:t xml:space="preserve"> of</w:t>
      </w:r>
      <w:r w:rsidR="0032063C" w:rsidRPr="002E39AE">
        <w:t xml:space="preserve"> above 5%</w:t>
      </w:r>
      <w:r w:rsidR="00156E59" w:rsidRPr="002E39AE">
        <w:t xml:space="preserve"> at least</w:t>
      </w:r>
      <w:r w:rsidR="00A906C8">
        <w:t xml:space="preserve"> until the year 2014.</w:t>
      </w:r>
    </w:p>
    <w:p w:rsidR="00E50BFD" w:rsidRDefault="00E50BFD" w:rsidP="00E50BFD">
      <w:pPr>
        <w:pStyle w:val="ListParagraph"/>
        <w:ind w:left="0"/>
        <w:jc w:val="both"/>
      </w:pPr>
    </w:p>
    <w:p w:rsidR="00166499" w:rsidRDefault="00E50BFD" w:rsidP="00DD1679">
      <w:pPr>
        <w:pStyle w:val="ListParagraph"/>
        <w:ind w:left="0"/>
        <w:jc w:val="both"/>
        <w:rPr>
          <w:szCs w:val="40"/>
        </w:rPr>
      </w:pPr>
      <w:r w:rsidRPr="00E50BFD">
        <w:t>The Government aims at re-directing available resources towards achieving these challenges and promoting growth for the production of wealth that will ensure better living conditions for all citizens of Cyprus. Although the financial crisis is restricting fiscal flexibility, social cohesion still remains high in the Government´s agenda, with additional resources allocated in favour of vulnerable groups.</w:t>
      </w:r>
    </w:p>
    <w:p w:rsidR="00B5576F" w:rsidRPr="008F0F5E" w:rsidRDefault="00B5576F" w:rsidP="00166499">
      <w:pPr>
        <w:pStyle w:val="NormalJustified"/>
        <w:spacing w:after="0" w:line="240" w:lineRule="auto"/>
        <w:jc w:val="left"/>
        <w:rPr>
          <w:rFonts w:ascii="Times New Roman" w:hAnsi="Times New Roman"/>
          <w:b/>
          <w:bCs/>
          <w:iCs/>
          <w:sz w:val="24"/>
          <w:szCs w:val="24"/>
          <w:u w:val="single"/>
        </w:rPr>
        <w:sectPr w:rsidR="00B5576F" w:rsidRPr="008F0F5E" w:rsidSect="00EC471E">
          <w:headerReference w:type="default" r:id="rId15"/>
          <w:footerReference w:type="default" r:id="rId16"/>
          <w:type w:val="continuous"/>
          <w:pgSz w:w="12240" w:h="15840"/>
          <w:pgMar w:top="1560" w:right="1440" w:bottom="1296" w:left="1440" w:header="720" w:footer="720" w:gutter="0"/>
          <w:cols w:space="720"/>
          <w:titlePg/>
          <w:docGrid w:linePitch="360"/>
        </w:sectPr>
      </w:pPr>
    </w:p>
    <w:tbl>
      <w:tblPr>
        <w:tblStyle w:val="TableGrid"/>
        <w:tblW w:w="0" w:type="auto"/>
        <w:tblInd w:w="108" w:type="dxa"/>
        <w:shd w:val="clear" w:color="auto" w:fill="B8CCE4" w:themeFill="accent1" w:themeFillTint="66"/>
        <w:tblLook w:val="04A0"/>
      </w:tblPr>
      <w:tblGrid>
        <w:gridCol w:w="9356"/>
      </w:tblGrid>
      <w:tr w:rsidR="002B3EA2" w:rsidRPr="002B3EA2" w:rsidTr="002B3EA2">
        <w:trPr>
          <w:trHeight w:val="699"/>
        </w:trPr>
        <w:tc>
          <w:tcPr>
            <w:tcW w:w="9356" w:type="dxa"/>
            <w:shd w:val="clear" w:color="auto" w:fill="B8CCE4" w:themeFill="accent1" w:themeFillTint="66"/>
          </w:tcPr>
          <w:p w:rsidR="002B3EA2" w:rsidRPr="002B3EA2" w:rsidRDefault="002B3EA2" w:rsidP="002B3EA2">
            <w:pPr>
              <w:pStyle w:val="Heading2"/>
              <w:outlineLvl w:val="1"/>
              <w:rPr>
                <w:b w:val="0"/>
                <w:color w:val="365F91" w:themeColor="accent1" w:themeShade="BF"/>
                <w:szCs w:val="28"/>
                <w:lang w:val="en-GB"/>
              </w:rPr>
            </w:pPr>
            <w:bookmarkStart w:id="1" w:name="_Toc292454614"/>
            <w:r w:rsidRPr="002B3EA2">
              <w:rPr>
                <w:color w:val="365F91" w:themeColor="accent1" w:themeShade="BF"/>
                <w:sz w:val="24"/>
                <w:szCs w:val="24"/>
                <w:u w:val="none"/>
                <w:lang w:val="en-GB"/>
              </w:rPr>
              <w:lastRenderedPageBreak/>
              <w:t>MEASURES UNDER THE EURO PLUS PACT</w:t>
            </w:r>
            <w:bookmarkEnd w:id="1"/>
          </w:p>
        </w:tc>
      </w:tr>
    </w:tbl>
    <w:p w:rsidR="00166499" w:rsidRDefault="00166499" w:rsidP="00166499">
      <w:pPr>
        <w:pStyle w:val="NormalJustified"/>
        <w:spacing w:after="0" w:line="240" w:lineRule="auto"/>
        <w:jc w:val="center"/>
        <w:rPr>
          <w:rFonts w:ascii="Times New Roman" w:hAnsi="Times New Roman"/>
          <w:bCs/>
          <w:iCs/>
          <w:sz w:val="24"/>
          <w:szCs w:val="24"/>
          <w:lang w:val="en-GB"/>
        </w:rPr>
      </w:pPr>
    </w:p>
    <w:p w:rsidR="00A51AE6" w:rsidRDefault="00A51AE6" w:rsidP="008161F4">
      <w:pPr>
        <w:pStyle w:val="NormalJustified"/>
        <w:spacing w:after="0" w:line="240" w:lineRule="auto"/>
        <w:rPr>
          <w:rFonts w:ascii="Times New Roman" w:hAnsi="Times New Roman"/>
          <w:bCs/>
          <w:iCs/>
          <w:sz w:val="24"/>
          <w:szCs w:val="24"/>
          <w:lang w:val="en-GB"/>
        </w:rPr>
      </w:pPr>
    </w:p>
    <w:p w:rsidR="0025388B" w:rsidRDefault="0025388B" w:rsidP="008161F4">
      <w:pPr>
        <w:pStyle w:val="NormalJustified"/>
        <w:spacing w:after="0" w:line="240" w:lineRule="auto"/>
        <w:rPr>
          <w:rFonts w:ascii="Times New Roman" w:hAnsi="Times New Roman"/>
          <w:bCs/>
          <w:iCs/>
          <w:sz w:val="24"/>
          <w:szCs w:val="24"/>
          <w:lang w:val="en-GB"/>
        </w:rPr>
      </w:pPr>
    </w:p>
    <w:p w:rsidR="0025388B" w:rsidRPr="00DF22B7" w:rsidRDefault="0025388B" w:rsidP="0025388B">
      <w:pPr>
        <w:pStyle w:val="NormalJustified"/>
        <w:spacing w:after="0" w:line="240" w:lineRule="auto"/>
        <w:rPr>
          <w:rFonts w:ascii="Times New Roman" w:hAnsi="Times New Roman"/>
          <w:bCs/>
          <w:iCs/>
          <w:sz w:val="24"/>
          <w:szCs w:val="24"/>
          <w:lang w:val="en-GB"/>
        </w:rPr>
      </w:pPr>
      <w:r w:rsidRPr="00E50BFD">
        <w:rPr>
          <w:rFonts w:ascii="Times New Roman" w:hAnsi="Times New Roman"/>
          <w:bCs/>
          <w:iCs/>
          <w:sz w:val="24"/>
          <w:szCs w:val="24"/>
          <w:lang w:val="en-GB"/>
        </w:rPr>
        <w:t xml:space="preserve">In conformity with the </w:t>
      </w:r>
      <w:r w:rsidRPr="00E50BFD">
        <w:rPr>
          <w:rFonts w:ascii="Times New Roman" w:hAnsi="Times New Roman"/>
          <w:b/>
          <w:bCs/>
          <w:iCs/>
          <w:sz w:val="24"/>
          <w:szCs w:val="24"/>
          <w:u w:val="single"/>
          <w:lang w:val="en-GB"/>
        </w:rPr>
        <w:t>Euro Plus Pact,</w:t>
      </w:r>
      <w:r w:rsidRPr="00E50BFD">
        <w:rPr>
          <w:rFonts w:ascii="Times New Roman" w:hAnsi="Times New Roman"/>
          <w:bCs/>
          <w:iCs/>
          <w:sz w:val="24"/>
          <w:szCs w:val="24"/>
          <w:lang w:val="en-GB"/>
        </w:rPr>
        <w:t xml:space="preserve"> the Government of the Republic of Cyprus commits to implement specific measures towards fostering competitiveness, employment, sustainability of public finances and financial stability. The measures will</w:t>
      </w:r>
      <w:r>
        <w:rPr>
          <w:rFonts w:ascii="Times New Roman" w:hAnsi="Times New Roman"/>
          <w:bCs/>
          <w:iCs/>
          <w:sz w:val="24"/>
          <w:szCs w:val="24"/>
          <w:lang w:val="en-GB"/>
        </w:rPr>
        <w:t xml:space="preserve"> be promoted in the context of </w:t>
      </w:r>
      <w:r w:rsidRPr="00E50BFD">
        <w:rPr>
          <w:rFonts w:ascii="Times New Roman" w:hAnsi="Times New Roman"/>
          <w:bCs/>
          <w:iCs/>
          <w:sz w:val="24"/>
          <w:szCs w:val="24"/>
          <w:lang w:val="en-GB"/>
        </w:rPr>
        <w:t>the NRP and the Stability Programme (SP) accordingly, as presented below.</w:t>
      </w:r>
    </w:p>
    <w:p w:rsidR="0025388B" w:rsidRDefault="0025388B" w:rsidP="00166499">
      <w:pPr>
        <w:pStyle w:val="NormalJustified"/>
        <w:spacing w:after="0" w:line="240" w:lineRule="auto"/>
        <w:rPr>
          <w:rFonts w:ascii="Times New Roman" w:hAnsi="Times New Roman"/>
          <w:bCs/>
          <w:iCs/>
          <w:sz w:val="24"/>
          <w:szCs w:val="24"/>
          <w:lang w:val="en-GB"/>
        </w:rPr>
      </w:pPr>
    </w:p>
    <w:p w:rsidR="0025388B" w:rsidRPr="00DF22B7" w:rsidRDefault="0025388B" w:rsidP="00166499">
      <w:pPr>
        <w:pStyle w:val="NormalJustified"/>
        <w:spacing w:after="0" w:line="240" w:lineRule="auto"/>
        <w:rPr>
          <w:rFonts w:ascii="Times New Roman" w:hAnsi="Times New Roman"/>
          <w:bCs/>
          <w:iCs/>
          <w:sz w:val="24"/>
          <w:szCs w:val="24"/>
          <w:lang w:val="en-GB"/>
        </w:rPr>
      </w:pPr>
    </w:p>
    <w:p w:rsidR="00166499" w:rsidRPr="002E39AE" w:rsidRDefault="00166499" w:rsidP="00166499">
      <w:pPr>
        <w:pStyle w:val="NormalJustified"/>
        <w:spacing w:after="0" w:line="240" w:lineRule="auto"/>
        <w:rPr>
          <w:rFonts w:ascii="Times New Roman" w:hAnsi="Times New Roman"/>
          <w:b/>
          <w:bCs/>
          <w:iCs/>
          <w:sz w:val="24"/>
          <w:szCs w:val="24"/>
          <w:u w:val="single"/>
          <w:lang w:val="en-GB"/>
        </w:rPr>
      </w:pPr>
      <w:r w:rsidRPr="002E39AE">
        <w:rPr>
          <w:rFonts w:ascii="Times New Roman" w:hAnsi="Times New Roman"/>
          <w:b/>
          <w:bCs/>
          <w:iCs/>
          <w:sz w:val="24"/>
          <w:szCs w:val="24"/>
          <w:lang w:val="el-GR"/>
        </w:rPr>
        <w:t>Ι</w:t>
      </w:r>
      <w:r w:rsidRPr="002E39AE">
        <w:rPr>
          <w:rFonts w:ascii="Times New Roman" w:hAnsi="Times New Roman"/>
          <w:b/>
          <w:bCs/>
          <w:iCs/>
          <w:sz w:val="24"/>
          <w:szCs w:val="24"/>
        </w:rPr>
        <w:t xml:space="preserve">. </w:t>
      </w:r>
      <w:r w:rsidRPr="002E39AE">
        <w:rPr>
          <w:rFonts w:ascii="Times New Roman" w:hAnsi="Times New Roman"/>
          <w:b/>
          <w:bCs/>
          <w:iCs/>
          <w:sz w:val="24"/>
          <w:szCs w:val="24"/>
          <w:u w:val="single"/>
          <w:lang w:val="en-GB"/>
        </w:rPr>
        <w:t>Foster</w:t>
      </w:r>
      <w:r w:rsidR="00B92EFD" w:rsidRPr="002E39AE">
        <w:rPr>
          <w:rFonts w:ascii="Times New Roman" w:hAnsi="Times New Roman"/>
          <w:b/>
          <w:bCs/>
          <w:iCs/>
          <w:sz w:val="24"/>
          <w:szCs w:val="24"/>
          <w:u w:val="single"/>
          <w:lang w:val="en-GB"/>
        </w:rPr>
        <w:t>ing</w:t>
      </w:r>
      <w:r w:rsidRPr="002E39AE">
        <w:rPr>
          <w:rFonts w:ascii="Times New Roman" w:hAnsi="Times New Roman"/>
          <w:b/>
          <w:bCs/>
          <w:iCs/>
          <w:sz w:val="24"/>
          <w:szCs w:val="24"/>
          <w:u w:val="single"/>
          <w:lang w:val="en-GB"/>
        </w:rPr>
        <w:t xml:space="preserve"> competitiveness</w:t>
      </w:r>
    </w:p>
    <w:p w:rsidR="00166499" w:rsidRPr="002E39AE" w:rsidRDefault="00166499" w:rsidP="00166499">
      <w:pPr>
        <w:pStyle w:val="NormalJustified"/>
        <w:spacing w:after="0" w:line="240" w:lineRule="auto"/>
        <w:rPr>
          <w:rFonts w:ascii="Times New Roman" w:hAnsi="Times New Roman"/>
          <w:b/>
          <w:bCs/>
          <w:iCs/>
          <w:sz w:val="24"/>
          <w:szCs w:val="24"/>
          <w:lang w:val="en-GB"/>
        </w:rPr>
      </w:pPr>
    </w:p>
    <w:p w:rsidR="00166499" w:rsidRPr="002E39AE" w:rsidRDefault="00166499" w:rsidP="00166499">
      <w:pPr>
        <w:pStyle w:val="NormalJustified"/>
        <w:spacing w:after="0" w:line="240" w:lineRule="auto"/>
        <w:rPr>
          <w:rFonts w:ascii="Times New Roman" w:hAnsi="Times New Roman"/>
          <w:bCs/>
          <w:iCs/>
          <w:sz w:val="24"/>
          <w:szCs w:val="24"/>
          <w:lang w:val="en-GB"/>
        </w:rPr>
        <w:sectPr w:rsidR="00166499" w:rsidRPr="002E39AE" w:rsidSect="00B5576F">
          <w:pgSz w:w="12240" w:h="15840"/>
          <w:pgMar w:top="1560" w:right="1440" w:bottom="1296" w:left="1440" w:header="720" w:footer="720" w:gutter="0"/>
          <w:cols w:space="720"/>
          <w:titlePg/>
          <w:docGrid w:linePitch="360"/>
        </w:sectPr>
      </w:pPr>
      <w:r w:rsidRPr="002E39AE">
        <w:rPr>
          <w:rFonts w:ascii="Times New Roman" w:hAnsi="Times New Roman"/>
          <w:bCs/>
          <w:iCs/>
          <w:sz w:val="24"/>
          <w:szCs w:val="24"/>
          <w:lang w:val="en-GB"/>
        </w:rPr>
        <w:t xml:space="preserve">1. The </w:t>
      </w:r>
      <w:r w:rsidRPr="002E39AE">
        <w:rPr>
          <w:rFonts w:ascii="Times New Roman" w:hAnsi="Times New Roman"/>
          <w:b/>
          <w:bCs/>
          <w:iCs/>
          <w:sz w:val="24"/>
          <w:szCs w:val="24"/>
          <w:lang w:val="en-GB"/>
        </w:rPr>
        <w:t>containment of public sector</w:t>
      </w:r>
      <w:r w:rsidRPr="002E39AE">
        <w:rPr>
          <w:rFonts w:ascii="Times New Roman" w:hAnsi="Times New Roman"/>
          <w:bCs/>
          <w:iCs/>
          <w:sz w:val="24"/>
          <w:szCs w:val="24"/>
          <w:lang w:val="en-GB"/>
        </w:rPr>
        <w:t xml:space="preserve"> </w:t>
      </w:r>
      <w:r w:rsidRPr="002E39AE">
        <w:rPr>
          <w:rFonts w:ascii="Times New Roman" w:hAnsi="Times New Roman"/>
          <w:b/>
          <w:bCs/>
          <w:iCs/>
          <w:sz w:val="24"/>
          <w:szCs w:val="24"/>
          <w:lang w:val="en-GB"/>
        </w:rPr>
        <w:t>wages</w:t>
      </w:r>
      <w:r w:rsidRPr="002E39AE">
        <w:rPr>
          <w:rFonts w:ascii="Times New Roman" w:hAnsi="Times New Roman"/>
          <w:bCs/>
          <w:iCs/>
          <w:sz w:val="24"/>
          <w:szCs w:val="24"/>
          <w:lang w:val="en-GB"/>
        </w:rPr>
        <w:t xml:space="preserve"> is one of the measures that are being discussed with stakeholders with a view to address competitiveness challenges. Possible policy options include </w:t>
      </w:r>
    </w:p>
    <w:p w:rsidR="00166499" w:rsidRDefault="00166499" w:rsidP="00166499">
      <w:pPr>
        <w:pStyle w:val="NormalJustified"/>
        <w:spacing w:after="0" w:line="240" w:lineRule="auto"/>
        <w:rPr>
          <w:rFonts w:ascii="Times New Roman" w:hAnsi="Times New Roman"/>
          <w:bCs/>
          <w:iCs/>
          <w:sz w:val="24"/>
          <w:szCs w:val="24"/>
          <w:lang w:val="en-GB"/>
        </w:rPr>
      </w:pPr>
      <w:r w:rsidRPr="002E39AE">
        <w:rPr>
          <w:rFonts w:ascii="Times New Roman" w:hAnsi="Times New Roman"/>
          <w:bCs/>
          <w:iCs/>
          <w:sz w:val="24"/>
          <w:szCs w:val="24"/>
          <w:lang w:val="en-GB"/>
        </w:rPr>
        <w:lastRenderedPageBreak/>
        <w:t>zero contractual salary increases in the public sector during the next year, the initiation of a public dialogue with trade unions for a containment of public sector payroll in the medium term and the re-designing of the system of Cost of Living Allowance (COLA) in order</w:t>
      </w:r>
      <w:r w:rsidRPr="00DF22B7">
        <w:rPr>
          <w:rFonts w:ascii="Times New Roman" w:hAnsi="Times New Roman"/>
          <w:bCs/>
          <w:iCs/>
          <w:sz w:val="24"/>
          <w:szCs w:val="24"/>
          <w:lang w:val="en-GB"/>
        </w:rPr>
        <w:t xml:space="preserve"> to limit increases in higher income groups, thus making it more equitable. (Under S</w:t>
      </w:r>
      <w:r w:rsidR="004C29B0">
        <w:rPr>
          <w:rFonts w:ascii="Times New Roman" w:hAnsi="Times New Roman"/>
          <w:bCs/>
          <w:iCs/>
          <w:sz w:val="24"/>
          <w:szCs w:val="24"/>
          <w:lang w:val="en-GB"/>
        </w:rPr>
        <w:t xml:space="preserve">tability </w:t>
      </w:r>
      <w:r w:rsidRPr="00DF22B7">
        <w:rPr>
          <w:rFonts w:ascii="Times New Roman" w:hAnsi="Times New Roman"/>
          <w:bCs/>
          <w:iCs/>
          <w:sz w:val="24"/>
          <w:szCs w:val="24"/>
          <w:lang w:val="en-GB"/>
        </w:rPr>
        <w:t>P</w:t>
      </w:r>
      <w:r w:rsidR="004C29B0">
        <w:rPr>
          <w:rFonts w:ascii="Times New Roman" w:hAnsi="Times New Roman"/>
          <w:bCs/>
          <w:iCs/>
          <w:sz w:val="24"/>
          <w:szCs w:val="24"/>
          <w:lang w:val="en-GB"/>
        </w:rPr>
        <w:t xml:space="preserve">rogramme) </w:t>
      </w:r>
    </w:p>
    <w:p w:rsidR="00166499" w:rsidRPr="00DF22B7" w:rsidRDefault="00166499" w:rsidP="00166499">
      <w:pPr>
        <w:pStyle w:val="NormalJustified"/>
        <w:spacing w:after="0" w:line="240" w:lineRule="auto"/>
        <w:rPr>
          <w:rFonts w:ascii="Times New Roman" w:hAnsi="Times New Roman"/>
          <w:bCs/>
          <w:iCs/>
          <w:sz w:val="24"/>
          <w:szCs w:val="24"/>
          <w:lang w:val="en-GB"/>
        </w:rPr>
      </w:pPr>
    </w:p>
    <w:p w:rsidR="00166499" w:rsidRDefault="00166499" w:rsidP="00166499">
      <w:pPr>
        <w:pStyle w:val="NormalJustified"/>
        <w:spacing w:after="0" w:line="240" w:lineRule="auto"/>
        <w:rPr>
          <w:rFonts w:ascii="Times New Roman" w:hAnsi="Times New Roman"/>
          <w:bCs/>
          <w:iCs/>
          <w:sz w:val="24"/>
          <w:szCs w:val="24"/>
          <w:lang w:val="en-GB"/>
        </w:rPr>
      </w:pPr>
      <w:r w:rsidRPr="00166499">
        <w:rPr>
          <w:rFonts w:ascii="Times New Roman" w:hAnsi="Times New Roman"/>
          <w:bCs/>
          <w:iCs/>
          <w:sz w:val="24"/>
          <w:szCs w:val="24"/>
          <w:lang w:val="en-GB"/>
        </w:rPr>
        <w:t>2.</w:t>
      </w:r>
      <w:r w:rsidRPr="00DF22B7">
        <w:rPr>
          <w:rFonts w:ascii="Times New Roman" w:hAnsi="Times New Roman"/>
          <w:bCs/>
          <w:iCs/>
          <w:sz w:val="24"/>
          <w:szCs w:val="24"/>
          <w:lang w:val="en-GB"/>
        </w:rPr>
        <w:t xml:space="preserve"> </w:t>
      </w:r>
      <w:r w:rsidRPr="00DF22B7">
        <w:rPr>
          <w:rFonts w:ascii="Times New Roman" w:hAnsi="Times New Roman"/>
          <w:b/>
          <w:bCs/>
          <w:iCs/>
          <w:sz w:val="24"/>
          <w:szCs w:val="24"/>
          <w:lang w:val="en-GB"/>
        </w:rPr>
        <w:t>Concerning corporate taxation</w:t>
      </w:r>
      <w:r w:rsidRPr="00DF22B7">
        <w:rPr>
          <w:rFonts w:ascii="Times New Roman" w:hAnsi="Times New Roman"/>
          <w:bCs/>
          <w:iCs/>
          <w:sz w:val="24"/>
          <w:szCs w:val="24"/>
          <w:lang w:val="en-GB"/>
        </w:rPr>
        <w:t>, Cyprus intends to maintain its current system which is characteri</w:t>
      </w:r>
      <w:r w:rsidR="007E18BB">
        <w:rPr>
          <w:rFonts w:ascii="Times New Roman" w:hAnsi="Times New Roman"/>
          <w:bCs/>
          <w:iCs/>
          <w:sz w:val="24"/>
          <w:szCs w:val="24"/>
          <w:lang w:val="en-GB"/>
        </w:rPr>
        <w:t>s</w:t>
      </w:r>
      <w:r w:rsidRPr="00DF22B7">
        <w:rPr>
          <w:rFonts w:ascii="Times New Roman" w:hAnsi="Times New Roman"/>
          <w:bCs/>
          <w:iCs/>
          <w:sz w:val="24"/>
          <w:szCs w:val="24"/>
          <w:lang w:val="en-GB"/>
        </w:rPr>
        <w:t>ed by low tax rates and a broad tax base, in line with broadly accepted principles of effective and fair taxation systems. (Under SP)</w:t>
      </w:r>
    </w:p>
    <w:p w:rsidR="00166499" w:rsidRPr="00DF22B7" w:rsidRDefault="00166499" w:rsidP="00166499">
      <w:pPr>
        <w:pStyle w:val="NormalJustified"/>
        <w:spacing w:after="0" w:line="240" w:lineRule="auto"/>
        <w:rPr>
          <w:rFonts w:ascii="Times New Roman" w:hAnsi="Times New Roman"/>
          <w:bCs/>
          <w:iCs/>
          <w:sz w:val="24"/>
          <w:szCs w:val="24"/>
          <w:lang w:val="en-GB"/>
        </w:rPr>
      </w:pPr>
    </w:p>
    <w:p w:rsidR="00166499" w:rsidRDefault="00166499" w:rsidP="00166499">
      <w:pPr>
        <w:pStyle w:val="NormalWeb"/>
        <w:spacing w:before="0" w:beforeAutospacing="0" w:after="0" w:afterAutospacing="0"/>
        <w:ind w:right="-58"/>
        <w:jc w:val="both"/>
        <w:rPr>
          <w:rFonts w:ascii="Times New Roman" w:hAnsi="Times New Roman" w:cs="Times New Roman"/>
          <w:lang w:val="en-US"/>
        </w:rPr>
      </w:pPr>
      <w:r w:rsidRPr="00166499">
        <w:rPr>
          <w:rFonts w:ascii="Times New Roman" w:hAnsi="Times New Roman" w:cs="Times New Roman"/>
          <w:bCs/>
          <w:lang w:val="en-US"/>
        </w:rPr>
        <w:t>3.</w:t>
      </w:r>
      <w:r w:rsidRPr="00DF22B7">
        <w:rPr>
          <w:rFonts w:ascii="Times New Roman" w:hAnsi="Times New Roman" w:cs="Times New Roman"/>
          <w:bCs/>
          <w:lang w:val="en-US"/>
        </w:rPr>
        <w:t xml:space="preserve"> To </w:t>
      </w:r>
      <w:r w:rsidRPr="00DF22B7">
        <w:rPr>
          <w:rFonts w:ascii="Times New Roman" w:hAnsi="Times New Roman" w:cs="Times New Roman"/>
          <w:b/>
          <w:bCs/>
          <w:lang w:val="en-US"/>
        </w:rPr>
        <w:t>strengthen the competitiveness of SMEs</w:t>
      </w:r>
      <w:r w:rsidRPr="00DF22B7">
        <w:rPr>
          <w:rFonts w:ascii="Times New Roman" w:hAnsi="Times New Roman" w:cs="Times New Roman"/>
          <w:bCs/>
          <w:lang w:val="en-US"/>
        </w:rPr>
        <w:t xml:space="preserve"> an incentive scheme </w:t>
      </w:r>
      <w:r w:rsidR="00D46414">
        <w:rPr>
          <w:rFonts w:ascii="Times New Roman" w:hAnsi="Times New Roman" w:cs="Times New Roman"/>
          <w:bCs/>
          <w:lang w:val="en-US"/>
        </w:rPr>
        <w:t>to be co-funded from EU Structural Funds,</w:t>
      </w:r>
      <w:r w:rsidR="00D46414" w:rsidRPr="00DF22B7">
        <w:rPr>
          <w:rFonts w:ascii="Times New Roman" w:hAnsi="Times New Roman" w:cs="Times New Roman"/>
          <w:lang w:val="en-US"/>
        </w:rPr>
        <w:t xml:space="preserve"> </w:t>
      </w:r>
      <w:r w:rsidRPr="00DF22B7">
        <w:rPr>
          <w:rFonts w:ascii="Times New Roman" w:hAnsi="Times New Roman" w:cs="Times New Roman"/>
          <w:lang w:val="en-US"/>
        </w:rPr>
        <w:t>aiming at upgrading their technology, promoting innovation and creating high</w:t>
      </w:r>
      <w:r w:rsidR="007E18BB">
        <w:rPr>
          <w:rFonts w:ascii="Times New Roman" w:hAnsi="Times New Roman" w:cs="Times New Roman"/>
          <w:lang w:val="en-US"/>
        </w:rPr>
        <w:t xml:space="preserve"> </w:t>
      </w:r>
      <w:r w:rsidRPr="00DF22B7">
        <w:rPr>
          <w:rFonts w:ascii="Times New Roman" w:hAnsi="Times New Roman" w:cs="Times New Roman"/>
          <w:lang w:val="en-US"/>
        </w:rPr>
        <w:t>value</w:t>
      </w:r>
      <w:r w:rsidR="003A0A3E">
        <w:rPr>
          <w:rFonts w:ascii="Times New Roman" w:hAnsi="Times New Roman" w:cs="Times New Roman"/>
          <w:lang w:val="en-US"/>
        </w:rPr>
        <w:t>-added</w:t>
      </w:r>
      <w:r w:rsidRPr="00DF22B7">
        <w:rPr>
          <w:rFonts w:ascii="Times New Roman" w:hAnsi="Times New Roman" w:cs="Times New Roman"/>
          <w:lang w:val="en-US"/>
        </w:rPr>
        <w:t xml:space="preserve"> jobs</w:t>
      </w:r>
      <w:r w:rsidR="00D46414">
        <w:rPr>
          <w:rFonts w:ascii="Times New Roman" w:hAnsi="Times New Roman" w:cs="Times New Roman"/>
          <w:lang w:val="en-US"/>
        </w:rPr>
        <w:t>, is under evaluation</w:t>
      </w:r>
      <w:r w:rsidRPr="00DF22B7">
        <w:rPr>
          <w:rFonts w:ascii="Times New Roman" w:hAnsi="Times New Roman" w:cs="Times New Roman"/>
          <w:lang w:val="en-US"/>
        </w:rPr>
        <w:t xml:space="preserve">. </w:t>
      </w:r>
    </w:p>
    <w:p w:rsidR="00166499" w:rsidRDefault="00166499" w:rsidP="00166499">
      <w:pPr>
        <w:pStyle w:val="NormalWeb"/>
        <w:spacing w:before="0" w:beforeAutospacing="0" w:after="0" w:afterAutospacing="0"/>
        <w:ind w:right="-58"/>
        <w:jc w:val="both"/>
        <w:rPr>
          <w:rFonts w:ascii="Times New Roman" w:hAnsi="Times New Roman" w:cs="Times New Roman"/>
          <w:b/>
          <w:lang w:val="en-US"/>
        </w:rPr>
      </w:pPr>
    </w:p>
    <w:p w:rsidR="00166499" w:rsidRDefault="00166499" w:rsidP="00166499">
      <w:pPr>
        <w:pStyle w:val="NormalWeb"/>
        <w:spacing w:before="0" w:beforeAutospacing="0" w:after="0" w:afterAutospacing="0"/>
        <w:ind w:right="-58"/>
        <w:jc w:val="both"/>
        <w:rPr>
          <w:rFonts w:ascii="Times New Roman" w:hAnsi="Times New Roman" w:cs="Times New Roman"/>
          <w:lang w:val="en-US"/>
        </w:rPr>
      </w:pPr>
      <w:r w:rsidRPr="00166499">
        <w:rPr>
          <w:rFonts w:ascii="Times New Roman" w:hAnsi="Times New Roman" w:cs="Times New Roman"/>
          <w:lang w:val="en-US"/>
        </w:rPr>
        <w:t>4.</w:t>
      </w:r>
      <w:r w:rsidRPr="00DF22B7">
        <w:rPr>
          <w:rFonts w:ascii="Times New Roman" w:hAnsi="Times New Roman" w:cs="Times New Roman"/>
          <w:lang w:val="en-US"/>
        </w:rPr>
        <w:t xml:space="preserve"> </w:t>
      </w:r>
      <w:r w:rsidRPr="00DF22B7">
        <w:rPr>
          <w:rFonts w:ascii="Times New Roman" w:hAnsi="Times New Roman" w:cs="Times New Roman"/>
          <w:b/>
          <w:lang w:val="en-US"/>
        </w:rPr>
        <w:t>Enhancing digital economy</w:t>
      </w:r>
      <w:r w:rsidRPr="00DF22B7">
        <w:rPr>
          <w:rFonts w:ascii="Times New Roman" w:hAnsi="Times New Roman" w:cs="Times New Roman"/>
          <w:lang w:val="en-US"/>
        </w:rPr>
        <w:t xml:space="preserve"> is instrumental in connecting Cyprus to </w:t>
      </w:r>
      <w:r>
        <w:rPr>
          <w:rFonts w:ascii="Times New Roman" w:hAnsi="Times New Roman" w:cs="Times New Roman"/>
          <w:lang w:val="en-US"/>
        </w:rPr>
        <w:t xml:space="preserve">the rest of EU and in reaping </w:t>
      </w:r>
      <w:r w:rsidRPr="00DF22B7">
        <w:rPr>
          <w:rFonts w:ascii="Times New Roman" w:hAnsi="Times New Roman" w:cs="Times New Roman"/>
          <w:lang w:val="en-US"/>
        </w:rPr>
        <w:t>the benefits of the European Single Market. Therefore,</w:t>
      </w:r>
      <w:r w:rsidRPr="00DF22B7">
        <w:rPr>
          <w:rFonts w:ascii="Times New Roman" w:hAnsi="Times New Roman" w:cs="Times New Roman"/>
          <w:lang w:val="en-GB"/>
        </w:rPr>
        <w:t xml:space="preserve"> </w:t>
      </w:r>
      <w:r>
        <w:rPr>
          <w:rFonts w:ascii="Times New Roman" w:hAnsi="Times New Roman" w:cs="Times New Roman"/>
          <w:lang w:val="en-GB"/>
        </w:rPr>
        <w:t>D</w:t>
      </w:r>
      <w:r w:rsidRPr="00DF22B7">
        <w:rPr>
          <w:rFonts w:ascii="Times New Roman" w:hAnsi="Times New Roman" w:cs="Times New Roman"/>
          <w:lang w:val="en-GB"/>
        </w:rPr>
        <w:t>igital Society will be strengthened with the finali</w:t>
      </w:r>
      <w:r w:rsidR="00F0627B">
        <w:rPr>
          <w:rFonts w:ascii="Times New Roman" w:hAnsi="Times New Roman" w:cs="Times New Roman"/>
          <w:lang w:val="en-GB"/>
        </w:rPr>
        <w:t>s</w:t>
      </w:r>
      <w:r w:rsidRPr="00DF22B7">
        <w:rPr>
          <w:rFonts w:ascii="Times New Roman" w:hAnsi="Times New Roman" w:cs="Times New Roman"/>
          <w:lang w:val="en-GB"/>
        </w:rPr>
        <w:t xml:space="preserve">ation by 2011 of the National Digital Strategy, which includes measures for </w:t>
      </w:r>
      <w:r w:rsidRPr="00DF22B7">
        <w:rPr>
          <w:rFonts w:ascii="Times New Roman" w:hAnsi="Times New Roman" w:cs="Times New Roman"/>
          <w:lang w:val="en-US"/>
        </w:rPr>
        <w:t xml:space="preserve">100% broadband coverage of Cyprus with at least 2Mbps Internet access by the beginning of 2012. </w:t>
      </w:r>
    </w:p>
    <w:p w:rsidR="00166499" w:rsidRDefault="00166499" w:rsidP="00166499">
      <w:pPr>
        <w:pStyle w:val="NormalWeb"/>
        <w:spacing w:before="0" w:beforeAutospacing="0" w:after="0" w:afterAutospacing="0"/>
        <w:ind w:right="-58"/>
        <w:jc w:val="both"/>
        <w:rPr>
          <w:rFonts w:ascii="Times New Roman" w:hAnsi="Times New Roman" w:cs="Times New Roman"/>
          <w:lang w:val="en-US"/>
        </w:rPr>
      </w:pPr>
    </w:p>
    <w:p w:rsidR="00166499" w:rsidRPr="00DF22B7" w:rsidRDefault="00166499" w:rsidP="00166499">
      <w:pPr>
        <w:pStyle w:val="NormalWeb"/>
        <w:spacing w:before="0" w:beforeAutospacing="0" w:after="0" w:afterAutospacing="0"/>
        <w:ind w:right="-58"/>
        <w:jc w:val="both"/>
        <w:rPr>
          <w:rFonts w:ascii="Times New Roman" w:hAnsi="Times New Roman" w:cs="Times New Roman"/>
          <w:lang w:val="en-GB"/>
        </w:rPr>
      </w:pPr>
      <w:r>
        <w:rPr>
          <w:rFonts w:ascii="Times New Roman" w:hAnsi="Times New Roman" w:cs="Times New Roman"/>
          <w:lang w:val="en-US"/>
        </w:rPr>
        <w:t>5</w:t>
      </w:r>
      <w:r w:rsidRPr="00166499">
        <w:rPr>
          <w:rFonts w:ascii="Times New Roman" w:hAnsi="Times New Roman" w:cs="Times New Roman"/>
          <w:lang w:val="en-US"/>
        </w:rPr>
        <w:t>.</w:t>
      </w:r>
      <w:r>
        <w:rPr>
          <w:rFonts w:ascii="Times New Roman" w:hAnsi="Times New Roman" w:cs="Times New Roman"/>
          <w:lang w:val="en-US"/>
        </w:rPr>
        <w:t xml:space="preserve"> </w:t>
      </w:r>
      <w:r w:rsidRPr="00DF22B7">
        <w:rPr>
          <w:rFonts w:ascii="Times New Roman" w:hAnsi="Times New Roman" w:cs="Times New Roman"/>
          <w:b/>
          <w:lang w:val="en-US"/>
        </w:rPr>
        <w:t>Measures for energy efficiency and promotion of RES</w:t>
      </w:r>
      <w:r w:rsidRPr="00DF22B7">
        <w:rPr>
          <w:rFonts w:ascii="Times New Roman" w:hAnsi="Times New Roman" w:cs="Times New Roman"/>
          <w:lang w:val="en-US"/>
        </w:rPr>
        <w:t xml:space="preserve">: The almost exclusive dependence of the economy on imported oil is a great instability factor for both inflation and competitiveness. To decrease the quantities of imported oil, the </w:t>
      </w:r>
      <w:r w:rsidRPr="00DF22B7">
        <w:rPr>
          <w:rFonts w:ascii="Times New Roman" w:hAnsi="Times New Roman" w:cs="Times New Roman"/>
          <w:lang w:val="en-GB"/>
        </w:rPr>
        <w:t xml:space="preserve">support Schemes for the Promotion of Energy Conservation have been resumed </w:t>
      </w:r>
      <w:r>
        <w:rPr>
          <w:rFonts w:ascii="Times New Roman" w:hAnsi="Times New Roman" w:cs="Times New Roman"/>
          <w:lang w:val="en-GB"/>
        </w:rPr>
        <w:t xml:space="preserve">again </w:t>
      </w:r>
      <w:r w:rsidR="007E18BB">
        <w:rPr>
          <w:rFonts w:ascii="Times New Roman" w:hAnsi="Times New Roman" w:cs="Times New Roman"/>
          <w:lang w:val="en-GB"/>
        </w:rPr>
        <w:t>a</w:t>
      </w:r>
      <w:r>
        <w:rPr>
          <w:rFonts w:ascii="Times New Roman" w:hAnsi="Times New Roman" w:cs="Times New Roman"/>
          <w:lang w:val="en-GB"/>
        </w:rPr>
        <w:t xml:space="preserve">s of April 2011. </w:t>
      </w:r>
      <w:r w:rsidRPr="00DF22B7">
        <w:rPr>
          <w:rFonts w:ascii="Times New Roman" w:hAnsi="Times New Roman" w:cs="Times New Roman"/>
          <w:lang w:val="en-GB"/>
        </w:rPr>
        <w:t xml:space="preserve"> Furthermore, a new legislation will be introduced within 2011, which will be the legal bas</w:t>
      </w:r>
      <w:r w:rsidR="007E18BB">
        <w:rPr>
          <w:rFonts w:ascii="Times New Roman" w:hAnsi="Times New Roman" w:cs="Times New Roman"/>
          <w:lang w:val="en-GB"/>
        </w:rPr>
        <w:t>i</w:t>
      </w:r>
      <w:r>
        <w:rPr>
          <w:rFonts w:ascii="Times New Roman" w:hAnsi="Times New Roman" w:cs="Times New Roman"/>
          <w:lang w:val="en-GB"/>
        </w:rPr>
        <w:t>s</w:t>
      </w:r>
      <w:r w:rsidRPr="00DF22B7">
        <w:rPr>
          <w:rFonts w:ascii="Times New Roman" w:hAnsi="Times New Roman" w:cs="Times New Roman"/>
          <w:lang w:val="en-GB"/>
        </w:rPr>
        <w:t xml:space="preserve"> for the promotion of RES.</w:t>
      </w:r>
    </w:p>
    <w:p w:rsidR="00166499" w:rsidRDefault="00166499" w:rsidP="00166499">
      <w:pPr>
        <w:pStyle w:val="NormalJustified"/>
        <w:spacing w:after="0" w:line="240" w:lineRule="auto"/>
        <w:rPr>
          <w:rFonts w:ascii="Times New Roman" w:hAnsi="Times New Roman"/>
          <w:b/>
          <w:bCs/>
          <w:iCs/>
          <w:color w:val="4F81BD"/>
          <w:sz w:val="28"/>
          <w:szCs w:val="28"/>
          <w:lang w:val="en-GB"/>
        </w:rPr>
      </w:pPr>
    </w:p>
    <w:p w:rsidR="0025388B" w:rsidRDefault="0025388B" w:rsidP="00166499">
      <w:pPr>
        <w:pStyle w:val="NormalJustified"/>
        <w:spacing w:after="0" w:line="240" w:lineRule="auto"/>
        <w:rPr>
          <w:rFonts w:ascii="Times New Roman" w:hAnsi="Times New Roman"/>
          <w:b/>
          <w:bCs/>
          <w:iCs/>
          <w:color w:val="4F81BD"/>
          <w:sz w:val="28"/>
          <w:szCs w:val="28"/>
          <w:lang w:val="en-GB"/>
        </w:rPr>
      </w:pPr>
    </w:p>
    <w:p w:rsidR="0025388B" w:rsidRDefault="0025388B" w:rsidP="00166499">
      <w:pPr>
        <w:pStyle w:val="NormalJustified"/>
        <w:spacing w:after="0" w:line="240" w:lineRule="auto"/>
        <w:rPr>
          <w:rFonts w:ascii="Times New Roman" w:hAnsi="Times New Roman"/>
          <w:b/>
          <w:bCs/>
          <w:iCs/>
          <w:color w:val="4F81BD"/>
          <w:sz w:val="28"/>
          <w:szCs w:val="28"/>
          <w:lang w:val="en-GB"/>
        </w:rPr>
      </w:pPr>
    </w:p>
    <w:p w:rsidR="0025388B" w:rsidRDefault="0025388B" w:rsidP="00166499">
      <w:pPr>
        <w:pStyle w:val="NormalJustified"/>
        <w:spacing w:after="0" w:line="240" w:lineRule="auto"/>
        <w:rPr>
          <w:rFonts w:ascii="Times New Roman" w:hAnsi="Times New Roman"/>
          <w:b/>
          <w:bCs/>
          <w:iCs/>
          <w:color w:val="4F81BD"/>
          <w:sz w:val="28"/>
          <w:szCs w:val="28"/>
          <w:lang w:val="en-GB"/>
        </w:rPr>
      </w:pPr>
    </w:p>
    <w:p w:rsidR="00166499" w:rsidRDefault="00166499" w:rsidP="00166499">
      <w:pPr>
        <w:pStyle w:val="NormalJustified"/>
        <w:spacing w:after="0" w:line="240" w:lineRule="auto"/>
        <w:rPr>
          <w:rFonts w:ascii="Times New Roman" w:hAnsi="Times New Roman"/>
          <w:b/>
          <w:bCs/>
          <w:iCs/>
          <w:color w:val="4F81BD"/>
          <w:sz w:val="28"/>
          <w:szCs w:val="28"/>
          <w:lang w:val="en-GB"/>
        </w:rPr>
      </w:pPr>
    </w:p>
    <w:p w:rsidR="008161F4" w:rsidRDefault="008161F4" w:rsidP="00166499">
      <w:pPr>
        <w:pStyle w:val="NormalJustified"/>
        <w:spacing w:after="0" w:line="240" w:lineRule="auto"/>
        <w:rPr>
          <w:rFonts w:ascii="Times New Roman" w:hAnsi="Times New Roman"/>
          <w:b/>
          <w:bCs/>
          <w:iCs/>
          <w:color w:val="4F81BD"/>
          <w:sz w:val="28"/>
          <w:szCs w:val="28"/>
          <w:lang w:val="en-GB"/>
        </w:rPr>
      </w:pPr>
    </w:p>
    <w:p w:rsidR="00166499" w:rsidRPr="00166499" w:rsidRDefault="00166499" w:rsidP="00166499">
      <w:pPr>
        <w:pStyle w:val="NormalJustified"/>
        <w:spacing w:after="0" w:line="240" w:lineRule="auto"/>
        <w:rPr>
          <w:rFonts w:ascii="Times New Roman" w:hAnsi="Times New Roman"/>
          <w:b/>
          <w:bCs/>
          <w:iCs/>
          <w:sz w:val="24"/>
          <w:szCs w:val="24"/>
          <w:lang w:val="en-GB"/>
        </w:rPr>
      </w:pPr>
      <w:r w:rsidRPr="00166499">
        <w:rPr>
          <w:rFonts w:ascii="Times New Roman" w:hAnsi="Times New Roman"/>
          <w:b/>
          <w:bCs/>
          <w:iCs/>
          <w:sz w:val="24"/>
          <w:szCs w:val="24"/>
          <w:lang w:val="el-GR"/>
        </w:rPr>
        <w:lastRenderedPageBreak/>
        <w:t>ΙΙ</w:t>
      </w:r>
      <w:r w:rsidRPr="00166499">
        <w:rPr>
          <w:rFonts w:ascii="Times New Roman" w:hAnsi="Times New Roman"/>
          <w:b/>
          <w:bCs/>
          <w:iCs/>
          <w:sz w:val="24"/>
          <w:szCs w:val="24"/>
        </w:rPr>
        <w:t xml:space="preserve">. </w:t>
      </w:r>
      <w:r w:rsidRPr="00166499">
        <w:rPr>
          <w:rFonts w:ascii="Times New Roman" w:hAnsi="Times New Roman"/>
          <w:b/>
          <w:bCs/>
          <w:iCs/>
          <w:sz w:val="24"/>
          <w:szCs w:val="24"/>
          <w:u w:val="single"/>
          <w:lang w:val="en-GB"/>
        </w:rPr>
        <w:t>Foster</w:t>
      </w:r>
      <w:r w:rsidR="00B92EFD">
        <w:rPr>
          <w:rFonts w:ascii="Times New Roman" w:hAnsi="Times New Roman"/>
          <w:b/>
          <w:bCs/>
          <w:iCs/>
          <w:sz w:val="24"/>
          <w:szCs w:val="24"/>
          <w:u w:val="single"/>
          <w:lang w:val="en-GB"/>
        </w:rPr>
        <w:t>ing</w:t>
      </w:r>
      <w:r w:rsidRPr="00166499">
        <w:rPr>
          <w:rFonts w:ascii="Times New Roman" w:hAnsi="Times New Roman"/>
          <w:b/>
          <w:bCs/>
          <w:iCs/>
          <w:sz w:val="24"/>
          <w:szCs w:val="24"/>
          <w:u w:val="single"/>
          <w:lang w:val="en-GB"/>
        </w:rPr>
        <w:t xml:space="preserve"> Employment</w:t>
      </w:r>
    </w:p>
    <w:p w:rsidR="00166499" w:rsidRDefault="00166499" w:rsidP="00166499">
      <w:pPr>
        <w:pStyle w:val="ListParagraph"/>
        <w:tabs>
          <w:tab w:val="left" w:pos="426"/>
        </w:tabs>
        <w:ind w:left="0"/>
        <w:rPr>
          <w:b/>
          <w:color w:val="000000"/>
        </w:rPr>
      </w:pPr>
    </w:p>
    <w:p w:rsidR="00B5576F" w:rsidRDefault="00166499" w:rsidP="00166499">
      <w:pPr>
        <w:pStyle w:val="ListParagraph"/>
        <w:tabs>
          <w:tab w:val="left" w:pos="426"/>
        </w:tabs>
        <w:ind w:left="0"/>
        <w:jc w:val="both"/>
        <w:rPr>
          <w:color w:val="000000"/>
          <w:spacing w:val="4"/>
        </w:rPr>
        <w:sectPr w:rsidR="00B5576F" w:rsidSect="00EC471E">
          <w:type w:val="continuous"/>
          <w:pgSz w:w="12240" w:h="15840"/>
          <w:pgMar w:top="1560" w:right="1440" w:bottom="1296" w:left="1440" w:header="720" w:footer="720" w:gutter="0"/>
          <w:cols w:space="720"/>
          <w:titlePg/>
          <w:docGrid w:linePitch="360"/>
        </w:sectPr>
      </w:pPr>
      <w:r w:rsidRPr="00166499">
        <w:rPr>
          <w:color w:val="000000"/>
        </w:rPr>
        <w:t>1</w:t>
      </w:r>
      <w:r w:rsidRPr="003A5D1D">
        <w:rPr>
          <w:b/>
          <w:color w:val="000000"/>
        </w:rPr>
        <w:t>.</w:t>
      </w:r>
      <w:r w:rsidRPr="00DF22B7">
        <w:rPr>
          <w:color w:val="000000"/>
        </w:rPr>
        <w:t xml:space="preserve"> </w:t>
      </w:r>
      <w:r w:rsidRPr="00DF22B7">
        <w:rPr>
          <w:b/>
          <w:bCs/>
          <w:color w:val="000000"/>
        </w:rPr>
        <w:t>Exploit job creation possibilities</w:t>
      </w:r>
      <w:r>
        <w:rPr>
          <w:b/>
          <w:bCs/>
          <w:color w:val="000000"/>
        </w:rPr>
        <w:t xml:space="preserve"> by improving the</w:t>
      </w:r>
      <w:r w:rsidRPr="003A5D1D">
        <w:rPr>
          <w:color w:val="000000"/>
          <w:spacing w:val="4"/>
        </w:rPr>
        <w:t xml:space="preserve"> </w:t>
      </w:r>
      <w:r w:rsidRPr="003A5D1D">
        <w:rPr>
          <w:b/>
          <w:color w:val="000000"/>
          <w:spacing w:val="4"/>
        </w:rPr>
        <w:t>competitiveness of enterprises</w:t>
      </w:r>
      <w:r>
        <w:rPr>
          <w:b/>
          <w:color w:val="000000"/>
          <w:spacing w:val="4"/>
        </w:rPr>
        <w:t>.</w:t>
      </w:r>
      <w:r>
        <w:rPr>
          <w:b/>
          <w:bCs/>
          <w:color w:val="000000"/>
        </w:rPr>
        <w:t xml:space="preserve"> </w:t>
      </w:r>
      <w:r w:rsidRPr="000E798C">
        <w:rPr>
          <w:bCs/>
          <w:color w:val="000000"/>
        </w:rPr>
        <w:t xml:space="preserve">To face the mismatch between </w:t>
      </w:r>
      <w:r>
        <w:rPr>
          <w:bCs/>
          <w:color w:val="000000"/>
        </w:rPr>
        <w:t xml:space="preserve">the highly skilled labour force and the great number of vacancies for low skilled jobs,  filled mainly by foreigners, two new schemes will be promoted in 2011- 2012, </w:t>
      </w:r>
      <w:r w:rsidRPr="00DF22B7">
        <w:rPr>
          <w:color w:val="000000"/>
        </w:rPr>
        <w:t>for e</w:t>
      </w:r>
      <w:r w:rsidRPr="00DF22B7">
        <w:rPr>
          <w:color w:val="000000"/>
          <w:spacing w:val="4"/>
        </w:rPr>
        <w:t xml:space="preserve">nhancing the competitiveness of enterprises, </w:t>
      </w:r>
      <w:r>
        <w:rPr>
          <w:color w:val="000000"/>
          <w:spacing w:val="4"/>
        </w:rPr>
        <w:t>encouraging them to undertake</w:t>
      </w:r>
      <w:r w:rsidRPr="00DF22B7">
        <w:rPr>
          <w:color w:val="000000"/>
          <w:spacing w:val="4"/>
        </w:rPr>
        <w:t xml:space="preserve"> more </w:t>
      </w:r>
    </w:p>
    <w:p w:rsidR="00166499" w:rsidRPr="00166499" w:rsidRDefault="00166499" w:rsidP="00166499">
      <w:pPr>
        <w:pStyle w:val="ListParagraph"/>
        <w:tabs>
          <w:tab w:val="left" w:pos="426"/>
        </w:tabs>
        <w:ind w:left="0"/>
        <w:jc w:val="both"/>
        <w:rPr>
          <w:color w:val="000000"/>
          <w:spacing w:val="4"/>
        </w:rPr>
      </w:pPr>
      <w:r w:rsidRPr="00DF22B7">
        <w:rPr>
          <w:color w:val="000000"/>
          <w:spacing w:val="4"/>
        </w:rPr>
        <w:lastRenderedPageBreak/>
        <w:t>innovative activities</w:t>
      </w:r>
      <w:r>
        <w:rPr>
          <w:color w:val="000000"/>
          <w:spacing w:val="4"/>
        </w:rPr>
        <w:t>,</w:t>
      </w:r>
      <w:r w:rsidRPr="00DF22B7">
        <w:rPr>
          <w:color w:val="000000"/>
          <w:spacing w:val="4"/>
        </w:rPr>
        <w:t xml:space="preserve"> as a means of creating more and better jobs</w:t>
      </w:r>
      <w:r>
        <w:rPr>
          <w:color w:val="000000"/>
          <w:spacing w:val="4"/>
        </w:rPr>
        <w:t>,</w:t>
      </w:r>
      <w:r w:rsidRPr="00DF22B7">
        <w:rPr>
          <w:color w:val="000000"/>
          <w:spacing w:val="4"/>
        </w:rPr>
        <w:t xml:space="preserve"> especially for the highly qualified national force </w:t>
      </w:r>
      <w:r>
        <w:rPr>
          <w:color w:val="000000"/>
          <w:spacing w:val="4"/>
        </w:rPr>
        <w:t>(includes I.3 above).</w:t>
      </w:r>
    </w:p>
    <w:p w:rsidR="00166499" w:rsidRPr="00166499" w:rsidRDefault="00166499" w:rsidP="00166499">
      <w:pPr>
        <w:pStyle w:val="ListParagraph"/>
        <w:tabs>
          <w:tab w:val="left" w:pos="426"/>
        </w:tabs>
        <w:ind w:left="0"/>
        <w:rPr>
          <w:color w:val="000000"/>
          <w:spacing w:val="4"/>
        </w:rPr>
      </w:pPr>
    </w:p>
    <w:p w:rsidR="00166499" w:rsidRPr="00DF22B7" w:rsidRDefault="00166499" w:rsidP="00166499">
      <w:pPr>
        <w:ind w:right="-58"/>
        <w:jc w:val="both"/>
        <w:rPr>
          <w:color w:val="000000"/>
          <w:spacing w:val="2"/>
        </w:rPr>
      </w:pPr>
      <w:r w:rsidRPr="00166499">
        <w:rPr>
          <w:color w:val="000000"/>
        </w:rPr>
        <w:t>2.</w:t>
      </w:r>
      <w:r w:rsidRPr="00DF22B7">
        <w:rPr>
          <w:color w:val="000000"/>
        </w:rPr>
        <w:t xml:space="preserve"> Labour market </w:t>
      </w:r>
      <w:r w:rsidRPr="00DF22B7">
        <w:rPr>
          <w:b/>
          <w:bCs/>
          <w:color w:val="000000"/>
        </w:rPr>
        <w:t xml:space="preserve">reforms to reduce undeclared work. </w:t>
      </w:r>
      <w:r w:rsidRPr="000E798C">
        <w:rPr>
          <w:bCs/>
          <w:color w:val="000000"/>
        </w:rPr>
        <w:t>The great influx of legal and illegal migrants</w:t>
      </w:r>
      <w:r>
        <w:rPr>
          <w:bCs/>
          <w:color w:val="000000"/>
        </w:rPr>
        <w:t>, make</w:t>
      </w:r>
      <w:r w:rsidR="007E18BB">
        <w:rPr>
          <w:bCs/>
          <w:color w:val="000000"/>
        </w:rPr>
        <w:t>s</w:t>
      </w:r>
      <w:r>
        <w:rPr>
          <w:bCs/>
          <w:color w:val="000000"/>
        </w:rPr>
        <w:t xml:space="preserve"> it necessary to i</w:t>
      </w:r>
      <w:r w:rsidRPr="00DF22B7">
        <w:rPr>
          <w:spacing w:val="4"/>
        </w:rPr>
        <w:t>mprove the management of immigration</w:t>
      </w:r>
      <w:r w:rsidRPr="00DF22B7">
        <w:rPr>
          <w:b/>
          <w:bCs/>
          <w:spacing w:val="4"/>
        </w:rPr>
        <w:t xml:space="preserve"> </w:t>
      </w:r>
      <w:r w:rsidRPr="00DF22B7">
        <w:rPr>
          <w:spacing w:val="4"/>
        </w:rPr>
        <w:t>and</w:t>
      </w:r>
      <w:r w:rsidRPr="00DF22B7">
        <w:rPr>
          <w:b/>
          <w:bCs/>
          <w:spacing w:val="4"/>
        </w:rPr>
        <w:t xml:space="preserve"> </w:t>
      </w:r>
      <w:r w:rsidRPr="00DF22B7">
        <w:rPr>
          <w:spacing w:val="4"/>
        </w:rPr>
        <w:t>asylum</w:t>
      </w:r>
      <w:r w:rsidRPr="00DF22B7">
        <w:rPr>
          <w:b/>
          <w:bCs/>
          <w:spacing w:val="4"/>
        </w:rPr>
        <w:t xml:space="preserve"> </w:t>
      </w:r>
      <w:r w:rsidRPr="00DF22B7">
        <w:rPr>
          <w:spacing w:val="4"/>
        </w:rPr>
        <w:t>issues</w:t>
      </w:r>
      <w:r>
        <w:rPr>
          <w:spacing w:val="4"/>
        </w:rPr>
        <w:t>,</w:t>
      </w:r>
      <w:r w:rsidRPr="00DF22B7">
        <w:rPr>
          <w:spacing w:val="4"/>
        </w:rPr>
        <w:t xml:space="preserve"> through a comprehensive immigra</w:t>
      </w:r>
      <w:r w:rsidRPr="00DF22B7">
        <w:rPr>
          <w:spacing w:val="4"/>
        </w:rPr>
        <w:softHyphen/>
        <w:t xml:space="preserve">tion and asylum policy. </w:t>
      </w:r>
      <w:r>
        <w:rPr>
          <w:spacing w:val="4"/>
        </w:rPr>
        <w:t xml:space="preserve">In this respect, further measures to </w:t>
      </w:r>
      <w:r>
        <w:rPr>
          <w:color w:val="000000"/>
          <w:spacing w:val="4"/>
        </w:rPr>
        <w:t>strengthen</w:t>
      </w:r>
      <w:r w:rsidRPr="00DF22B7">
        <w:rPr>
          <w:color w:val="000000"/>
          <w:spacing w:val="4"/>
        </w:rPr>
        <w:t xml:space="preserve"> prevention and </w:t>
      </w:r>
      <w:r>
        <w:rPr>
          <w:spacing w:val="4"/>
        </w:rPr>
        <w:t>inspection mechanisms will be promoted, in order to</w:t>
      </w:r>
      <w:r w:rsidRPr="00DF22B7">
        <w:rPr>
          <w:spacing w:val="4"/>
        </w:rPr>
        <w:t xml:space="preserve"> </w:t>
      </w:r>
      <w:r>
        <w:rPr>
          <w:spacing w:val="4"/>
        </w:rPr>
        <w:t>c</w:t>
      </w:r>
      <w:r w:rsidRPr="00DF22B7">
        <w:rPr>
          <w:spacing w:val="4"/>
        </w:rPr>
        <w:t>ombat illegal and undeclared work</w:t>
      </w:r>
      <w:r>
        <w:rPr>
          <w:spacing w:val="4"/>
        </w:rPr>
        <w:t>,</w:t>
      </w:r>
      <w:r w:rsidRPr="00DF22B7">
        <w:rPr>
          <w:spacing w:val="4"/>
        </w:rPr>
        <w:t xml:space="preserve"> associated with the large inflows of third-country nationals and asylum seekers</w:t>
      </w:r>
      <w:r>
        <w:rPr>
          <w:spacing w:val="4"/>
        </w:rPr>
        <w:t xml:space="preserve">. </w:t>
      </w:r>
      <w:r w:rsidRPr="00DF22B7">
        <w:rPr>
          <w:color w:val="000000"/>
          <w:spacing w:val="4"/>
        </w:rPr>
        <w:t xml:space="preserve"> </w:t>
      </w:r>
    </w:p>
    <w:p w:rsidR="00166499" w:rsidRPr="00DF22B7" w:rsidRDefault="00166499" w:rsidP="00166499">
      <w:pPr>
        <w:ind w:right="-58"/>
        <w:rPr>
          <w:color w:val="000000"/>
        </w:rPr>
      </w:pPr>
    </w:p>
    <w:p w:rsidR="00166499" w:rsidRPr="00276141" w:rsidRDefault="00166499" w:rsidP="00166499">
      <w:pPr>
        <w:jc w:val="both"/>
      </w:pPr>
      <w:r w:rsidRPr="00166499">
        <w:t>3.</w:t>
      </w:r>
      <w:r>
        <w:rPr>
          <w:b/>
        </w:rPr>
        <w:t xml:space="preserve"> </w:t>
      </w:r>
      <w:r w:rsidRPr="00DF22B7">
        <w:rPr>
          <w:b/>
        </w:rPr>
        <w:t xml:space="preserve">Strengthening the </w:t>
      </w:r>
      <w:r>
        <w:rPr>
          <w:b/>
        </w:rPr>
        <w:t xml:space="preserve">links between </w:t>
      </w:r>
      <w:r w:rsidRPr="00DF22B7">
        <w:rPr>
          <w:b/>
        </w:rPr>
        <w:t xml:space="preserve">technical vocational education, training and the labour market: </w:t>
      </w:r>
      <w:r w:rsidRPr="00DF22B7">
        <w:t xml:space="preserve"> Post Secondary Institutes for Technical and Vocational Education and Training</w:t>
      </w:r>
      <w:r>
        <w:t xml:space="preserve"> are</w:t>
      </w:r>
      <w:r w:rsidRPr="00DF22B7">
        <w:t xml:space="preserve"> envisaged </w:t>
      </w:r>
      <w:r>
        <w:t xml:space="preserve">to be established </w:t>
      </w:r>
      <w:r w:rsidRPr="00DF22B7">
        <w:t xml:space="preserve">by 2012, in order to increase the number of people attending </w:t>
      </w:r>
      <w:r w:rsidR="00F0627B">
        <w:t xml:space="preserve">Technical Vocational </w:t>
      </w:r>
      <w:r w:rsidRPr="00DF22B7">
        <w:t>Education so as to decrease skills mismatch.</w:t>
      </w:r>
    </w:p>
    <w:p w:rsidR="00166499" w:rsidRDefault="00166499" w:rsidP="00166499">
      <w:pPr>
        <w:rPr>
          <w:b/>
          <w:bCs/>
          <w:iCs/>
        </w:rPr>
        <w:sectPr w:rsidR="00166499" w:rsidSect="00EC471E">
          <w:type w:val="continuous"/>
          <w:pgSz w:w="12240" w:h="15840"/>
          <w:pgMar w:top="1560" w:right="1440" w:bottom="1296" w:left="1440" w:header="720" w:footer="720" w:gutter="0"/>
          <w:cols w:space="720"/>
          <w:titlePg/>
          <w:docGrid w:linePitch="360"/>
        </w:sectPr>
      </w:pPr>
    </w:p>
    <w:p w:rsidR="00166499" w:rsidRDefault="00166499" w:rsidP="00166499">
      <w:pPr>
        <w:rPr>
          <w:b/>
          <w:bCs/>
          <w:iCs/>
        </w:rPr>
      </w:pPr>
    </w:p>
    <w:p w:rsidR="00A51AE6" w:rsidRDefault="00A51AE6" w:rsidP="00166499">
      <w:pPr>
        <w:rPr>
          <w:b/>
          <w:bCs/>
          <w:iCs/>
        </w:rPr>
      </w:pPr>
    </w:p>
    <w:p w:rsidR="00A51AE6" w:rsidRDefault="00A51AE6" w:rsidP="00166499">
      <w:pPr>
        <w:rPr>
          <w:b/>
          <w:bCs/>
          <w:iCs/>
        </w:rPr>
        <w:sectPr w:rsidR="00A51AE6" w:rsidSect="00EC471E">
          <w:type w:val="continuous"/>
          <w:pgSz w:w="12240" w:h="15840"/>
          <w:pgMar w:top="1560" w:right="1440" w:bottom="1296" w:left="1440" w:header="720" w:footer="720" w:gutter="0"/>
          <w:cols w:space="720"/>
          <w:titlePg/>
          <w:docGrid w:linePitch="360"/>
        </w:sectPr>
      </w:pPr>
    </w:p>
    <w:p w:rsidR="00166499" w:rsidRDefault="00166499" w:rsidP="00166499">
      <w:pPr>
        <w:rPr>
          <w:b/>
          <w:bCs/>
          <w:iCs/>
          <w:u w:val="single"/>
          <w:lang w:val="en-GB"/>
        </w:rPr>
      </w:pPr>
      <w:r w:rsidRPr="00166499">
        <w:rPr>
          <w:b/>
          <w:bCs/>
          <w:iCs/>
        </w:rPr>
        <w:lastRenderedPageBreak/>
        <w:t xml:space="preserve">ΙΙΙ. </w:t>
      </w:r>
      <w:r w:rsidRPr="00166499">
        <w:rPr>
          <w:b/>
          <w:bCs/>
          <w:iCs/>
          <w:u w:val="single"/>
          <w:lang w:val="en-GB"/>
        </w:rPr>
        <w:t>Contributing further to the sustainability of public finances</w:t>
      </w:r>
    </w:p>
    <w:p w:rsidR="00166499" w:rsidRPr="00166499" w:rsidRDefault="00166499" w:rsidP="00166499"/>
    <w:p w:rsidR="00166499" w:rsidRDefault="00166499" w:rsidP="00166499">
      <w:pPr>
        <w:pStyle w:val="NormalJustified"/>
        <w:spacing w:after="0" w:line="240" w:lineRule="auto"/>
        <w:rPr>
          <w:rFonts w:ascii="Times New Roman" w:hAnsi="Times New Roman"/>
          <w:bCs/>
          <w:iCs/>
          <w:sz w:val="24"/>
          <w:szCs w:val="24"/>
        </w:rPr>
      </w:pPr>
      <w:r w:rsidRPr="00166499">
        <w:rPr>
          <w:rFonts w:ascii="Times New Roman" w:hAnsi="Times New Roman"/>
          <w:bCs/>
          <w:iCs/>
          <w:sz w:val="24"/>
          <w:szCs w:val="24"/>
          <w:lang w:val="en-GB"/>
        </w:rPr>
        <w:t>1.</w:t>
      </w:r>
      <w:r>
        <w:rPr>
          <w:rFonts w:ascii="Times New Roman" w:hAnsi="Times New Roman"/>
          <w:bCs/>
          <w:iCs/>
          <w:sz w:val="24"/>
          <w:szCs w:val="24"/>
          <w:lang w:val="en-GB"/>
        </w:rPr>
        <w:t xml:space="preserve"> </w:t>
      </w:r>
      <w:r w:rsidR="003A0A3E">
        <w:rPr>
          <w:rFonts w:ascii="Times New Roman" w:hAnsi="Times New Roman"/>
          <w:bCs/>
          <w:iCs/>
          <w:sz w:val="24"/>
          <w:szCs w:val="24"/>
          <w:lang w:val="en-GB"/>
        </w:rPr>
        <w:t>D</w:t>
      </w:r>
      <w:r w:rsidRPr="00DF22B7">
        <w:rPr>
          <w:rFonts w:ascii="Times New Roman" w:hAnsi="Times New Roman"/>
          <w:bCs/>
          <w:iCs/>
          <w:sz w:val="24"/>
          <w:szCs w:val="24"/>
          <w:lang w:val="en-GB"/>
        </w:rPr>
        <w:t xml:space="preserve">ialogue on the </w:t>
      </w:r>
      <w:r w:rsidRPr="00DF22B7">
        <w:rPr>
          <w:rFonts w:ascii="Times New Roman" w:hAnsi="Times New Roman"/>
          <w:b/>
          <w:bCs/>
          <w:iCs/>
          <w:sz w:val="24"/>
          <w:szCs w:val="24"/>
          <w:lang w:val="en-GB"/>
        </w:rPr>
        <w:t>restructuring of the public pension system</w:t>
      </w:r>
      <w:r w:rsidRPr="00DF22B7">
        <w:rPr>
          <w:rFonts w:ascii="Times New Roman" w:hAnsi="Times New Roman"/>
          <w:bCs/>
          <w:iCs/>
          <w:sz w:val="24"/>
          <w:szCs w:val="24"/>
          <w:lang w:val="en-GB"/>
        </w:rPr>
        <w:t xml:space="preserve"> is currently </w:t>
      </w:r>
      <w:r w:rsidR="003A0A3E">
        <w:rPr>
          <w:rFonts w:ascii="Times New Roman" w:hAnsi="Times New Roman"/>
          <w:bCs/>
          <w:iCs/>
          <w:sz w:val="24"/>
          <w:szCs w:val="24"/>
          <w:lang w:val="en-GB"/>
        </w:rPr>
        <w:t>taking place</w:t>
      </w:r>
      <w:r w:rsidRPr="00DF22B7">
        <w:rPr>
          <w:rFonts w:ascii="Times New Roman" w:hAnsi="Times New Roman"/>
          <w:bCs/>
          <w:iCs/>
          <w:sz w:val="24"/>
          <w:szCs w:val="24"/>
          <w:lang w:val="en-GB"/>
        </w:rPr>
        <w:t xml:space="preserve">, </w:t>
      </w:r>
      <w:r w:rsidR="007E18BB">
        <w:rPr>
          <w:rFonts w:ascii="Times New Roman" w:hAnsi="Times New Roman"/>
          <w:bCs/>
          <w:iCs/>
          <w:sz w:val="24"/>
          <w:szCs w:val="24"/>
          <w:lang w:val="en-GB"/>
        </w:rPr>
        <w:t>to</w:t>
      </w:r>
      <w:r w:rsidRPr="00DF22B7">
        <w:rPr>
          <w:rFonts w:ascii="Times New Roman" w:hAnsi="Times New Roman"/>
          <w:bCs/>
          <w:iCs/>
          <w:sz w:val="24"/>
          <w:szCs w:val="24"/>
          <w:lang w:val="en-GB"/>
        </w:rPr>
        <w:t xml:space="preserve"> be concluded by the end of 2011. The dialogue is based on concrete proposals</w:t>
      </w:r>
      <w:r w:rsidR="003A0A3E">
        <w:rPr>
          <w:rFonts w:ascii="Times New Roman" w:hAnsi="Times New Roman"/>
          <w:bCs/>
          <w:iCs/>
          <w:sz w:val="24"/>
          <w:szCs w:val="24"/>
          <w:lang w:val="en-GB"/>
        </w:rPr>
        <w:t>,</w:t>
      </w:r>
      <w:r w:rsidRPr="00DF22B7">
        <w:rPr>
          <w:rFonts w:ascii="Times New Roman" w:hAnsi="Times New Roman"/>
          <w:bCs/>
          <w:iCs/>
          <w:sz w:val="24"/>
          <w:szCs w:val="24"/>
          <w:lang w:val="en-GB"/>
        </w:rPr>
        <w:t xml:space="preserve"> including the gradual introduction of contributions of civil servants towards pensions, changes in the calculation method of pension level</w:t>
      </w:r>
      <w:r w:rsidR="003A0A3E">
        <w:rPr>
          <w:rFonts w:ascii="Times New Roman" w:hAnsi="Times New Roman"/>
          <w:bCs/>
          <w:iCs/>
          <w:sz w:val="24"/>
          <w:szCs w:val="24"/>
          <w:lang w:val="en-GB"/>
        </w:rPr>
        <w:t>s</w:t>
      </w:r>
      <w:r w:rsidRPr="00DF22B7">
        <w:rPr>
          <w:rFonts w:ascii="Times New Roman" w:hAnsi="Times New Roman"/>
          <w:bCs/>
          <w:iCs/>
          <w:sz w:val="24"/>
          <w:szCs w:val="24"/>
          <w:lang w:val="en-GB"/>
        </w:rPr>
        <w:t xml:space="preserve"> and a change in the indexa</w:t>
      </w:r>
      <w:r>
        <w:rPr>
          <w:rFonts w:ascii="Times New Roman" w:hAnsi="Times New Roman"/>
          <w:bCs/>
          <w:iCs/>
          <w:sz w:val="24"/>
          <w:szCs w:val="24"/>
          <w:lang w:val="en-GB"/>
        </w:rPr>
        <w:t>tion of pensions</w:t>
      </w:r>
      <w:r>
        <w:rPr>
          <w:rFonts w:ascii="Times New Roman" w:hAnsi="Times New Roman"/>
          <w:bCs/>
          <w:iCs/>
          <w:sz w:val="24"/>
          <w:szCs w:val="24"/>
        </w:rPr>
        <w:t>.</w:t>
      </w:r>
    </w:p>
    <w:p w:rsidR="00166499" w:rsidRPr="00276141" w:rsidRDefault="00166499" w:rsidP="00166499">
      <w:pPr>
        <w:pStyle w:val="NormalJustified"/>
        <w:spacing w:after="0" w:line="240" w:lineRule="auto"/>
        <w:rPr>
          <w:rFonts w:ascii="Times New Roman" w:hAnsi="Times New Roman"/>
          <w:bCs/>
          <w:iCs/>
          <w:sz w:val="24"/>
          <w:szCs w:val="24"/>
        </w:rPr>
      </w:pPr>
    </w:p>
    <w:p w:rsidR="00166499" w:rsidRPr="00DF22B7" w:rsidRDefault="00166499" w:rsidP="00166499">
      <w:pPr>
        <w:pStyle w:val="NormalJustified"/>
        <w:spacing w:after="0" w:line="240" w:lineRule="auto"/>
        <w:rPr>
          <w:rFonts w:ascii="Times New Roman" w:hAnsi="Times New Roman"/>
          <w:bCs/>
          <w:iCs/>
          <w:sz w:val="24"/>
          <w:szCs w:val="24"/>
          <w:lang w:val="en-GB"/>
        </w:rPr>
      </w:pPr>
      <w:r w:rsidRPr="00166499">
        <w:rPr>
          <w:rFonts w:ascii="Times New Roman" w:hAnsi="Times New Roman"/>
          <w:bCs/>
          <w:iCs/>
          <w:sz w:val="24"/>
          <w:szCs w:val="24"/>
          <w:lang w:val="en-GB"/>
        </w:rPr>
        <w:t>2.</w:t>
      </w:r>
      <w:r w:rsidRPr="00DF22B7">
        <w:rPr>
          <w:rFonts w:ascii="Times New Roman" w:hAnsi="Times New Roman"/>
          <w:bCs/>
          <w:iCs/>
          <w:sz w:val="24"/>
          <w:szCs w:val="24"/>
          <w:lang w:val="en-GB"/>
        </w:rPr>
        <w:t xml:space="preserve"> </w:t>
      </w:r>
      <w:r w:rsidRPr="00DF22B7">
        <w:rPr>
          <w:rFonts w:ascii="Times New Roman" w:hAnsi="Times New Roman"/>
          <w:b/>
          <w:bCs/>
          <w:iCs/>
          <w:sz w:val="24"/>
          <w:szCs w:val="24"/>
          <w:lang w:val="en-GB"/>
        </w:rPr>
        <w:t>A Budgetary Framework (</w:t>
      </w:r>
      <w:r w:rsidRPr="00DF22B7">
        <w:rPr>
          <w:rFonts w:ascii="Times New Roman" w:hAnsi="Times New Roman"/>
          <w:bCs/>
          <w:iCs/>
          <w:sz w:val="24"/>
          <w:szCs w:val="24"/>
          <w:lang w:val="en-GB"/>
        </w:rPr>
        <w:t>BF) is being gradually established. Towards this end a Bill is being prepared. The BF, among others, includes the introduction of national fiscal rules (include an expenditure rule) and the application of a binding MTBF. The BF is envisaged to be approved by the Council of Ministers during autumn of 2011 and subsequently adopted by Parliament by the end of the year. (Under SP)</w:t>
      </w:r>
    </w:p>
    <w:p w:rsidR="00166499" w:rsidRDefault="00166499" w:rsidP="00166499">
      <w:pPr>
        <w:pStyle w:val="NormalJustified"/>
        <w:spacing w:after="0" w:line="240" w:lineRule="auto"/>
        <w:rPr>
          <w:rFonts w:ascii="Times New Roman" w:hAnsi="Times New Roman"/>
          <w:bCs/>
          <w:i/>
          <w:iCs/>
          <w:color w:val="0000FF"/>
          <w:sz w:val="24"/>
          <w:szCs w:val="24"/>
          <w:lang w:val="en-GB"/>
        </w:rPr>
      </w:pPr>
    </w:p>
    <w:p w:rsidR="00166499" w:rsidRPr="00DF22B7" w:rsidRDefault="00166499" w:rsidP="00166499">
      <w:pPr>
        <w:pStyle w:val="NormalJustified"/>
        <w:spacing w:after="0" w:line="240" w:lineRule="auto"/>
        <w:rPr>
          <w:rFonts w:ascii="Times New Roman" w:hAnsi="Times New Roman"/>
          <w:bCs/>
          <w:i/>
          <w:iCs/>
          <w:color w:val="0000FF"/>
          <w:sz w:val="24"/>
          <w:szCs w:val="24"/>
          <w:lang w:val="en-GB"/>
        </w:rPr>
      </w:pPr>
    </w:p>
    <w:p w:rsidR="00166499" w:rsidRPr="00166499" w:rsidRDefault="00166499" w:rsidP="00166499">
      <w:pPr>
        <w:pStyle w:val="NormalJustified"/>
        <w:spacing w:after="0" w:line="240" w:lineRule="auto"/>
        <w:rPr>
          <w:rFonts w:ascii="Times New Roman" w:hAnsi="Times New Roman"/>
          <w:b/>
          <w:bCs/>
          <w:iCs/>
          <w:sz w:val="24"/>
          <w:szCs w:val="24"/>
          <w:lang w:val="en-GB"/>
        </w:rPr>
      </w:pPr>
      <w:r w:rsidRPr="00166499">
        <w:rPr>
          <w:rFonts w:ascii="Times New Roman" w:hAnsi="Times New Roman"/>
          <w:b/>
          <w:bCs/>
          <w:iCs/>
          <w:sz w:val="24"/>
          <w:szCs w:val="24"/>
          <w:lang w:val="en-GB"/>
        </w:rPr>
        <w:t xml:space="preserve">IV. </w:t>
      </w:r>
      <w:r w:rsidRPr="00166499">
        <w:rPr>
          <w:rFonts w:ascii="Times New Roman" w:hAnsi="Times New Roman"/>
          <w:b/>
          <w:bCs/>
          <w:iCs/>
          <w:sz w:val="24"/>
          <w:szCs w:val="24"/>
          <w:u w:val="single"/>
          <w:lang w:val="en-GB"/>
        </w:rPr>
        <w:t>Reinforcing Financial Stability</w:t>
      </w:r>
    </w:p>
    <w:p w:rsidR="00166499" w:rsidRDefault="00166499" w:rsidP="00166499">
      <w:pPr>
        <w:pStyle w:val="NormalJustified"/>
        <w:spacing w:after="0" w:line="240" w:lineRule="auto"/>
        <w:rPr>
          <w:rFonts w:ascii="Times New Roman" w:hAnsi="Times New Roman"/>
          <w:sz w:val="24"/>
          <w:szCs w:val="24"/>
        </w:rPr>
      </w:pPr>
      <w:bookmarkStart w:id="2" w:name="_Toc256611774"/>
    </w:p>
    <w:p w:rsidR="00166499" w:rsidRDefault="00166499" w:rsidP="00166499">
      <w:pPr>
        <w:pStyle w:val="NormalJustified"/>
        <w:spacing w:after="0" w:line="240" w:lineRule="auto"/>
        <w:rPr>
          <w:rFonts w:ascii="Times New Roman" w:hAnsi="Times New Roman"/>
          <w:bCs/>
          <w:iCs/>
          <w:sz w:val="24"/>
          <w:szCs w:val="24"/>
          <w:lang w:val="en-GB"/>
        </w:rPr>
      </w:pPr>
      <w:r w:rsidRPr="00DF22B7">
        <w:rPr>
          <w:rFonts w:ascii="Times New Roman" w:hAnsi="Times New Roman"/>
          <w:sz w:val="24"/>
          <w:szCs w:val="24"/>
        </w:rPr>
        <w:t>1.</w:t>
      </w:r>
      <w:r>
        <w:rPr>
          <w:rFonts w:ascii="Times New Roman" w:hAnsi="Times New Roman"/>
          <w:sz w:val="24"/>
          <w:szCs w:val="24"/>
        </w:rPr>
        <w:t xml:space="preserve"> </w:t>
      </w:r>
      <w:r w:rsidRPr="003A5D1D">
        <w:rPr>
          <w:rFonts w:ascii="Times New Roman" w:hAnsi="Times New Roman"/>
          <w:b/>
          <w:sz w:val="24"/>
          <w:szCs w:val="24"/>
        </w:rPr>
        <w:t>Close monitoring of the Financial sector</w:t>
      </w:r>
      <w:r>
        <w:rPr>
          <w:rFonts w:ascii="Times New Roman" w:hAnsi="Times New Roman"/>
          <w:b/>
          <w:sz w:val="24"/>
          <w:szCs w:val="24"/>
        </w:rPr>
        <w:t>:</w:t>
      </w:r>
      <w:r>
        <w:rPr>
          <w:rFonts w:ascii="Times New Roman" w:hAnsi="Times New Roman"/>
          <w:sz w:val="24"/>
          <w:szCs w:val="24"/>
        </w:rPr>
        <w:t xml:space="preserve">  </w:t>
      </w:r>
      <w:r w:rsidRPr="00DF22B7">
        <w:rPr>
          <w:rFonts w:ascii="Times New Roman" w:hAnsi="Times New Roman"/>
          <w:sz w:val="24"/>
          <w:szCs w:val="24"/>
        </w:rPr>
        <w:t xml:space="preserve">The Cypriot financial sector is sound; the overall position of the banking sector is considered healthy, with a strong liquidity position and a comfortable capital adequacy as well as sufficient profitability. There is </w:t>
      </w:r>
      <w:r w:rsidRPr="003A5D1D">
        <w:rPr>
          <w:rFonts w:ascii="Times New Roman" w:hAnsi="Times New Roman"/>
          <w:sz w:val="24"/>
          <w:szCs w:val="24"/>
        </w:rPr>
        <w:t>a continuous and close monitoring of</w:t>
      </w:r>
      <w:r w:rsidRPr="00DF22B7">
        <w:rPr>
          <w:rFonts w:ascii="Times New Roman" w:hAnsi="Times New Roman"/>
          <w:b/>
          <w:sz w:val="24"/>
          <w:szCs w:val="24"/>
        </w:rPr>
        <w:t xml:space="preserve"> the liquidity and capital adequacy position of financial institutions</w:t>
      </w:r>
      <w:r w:rsidRPr="00DF22B7">
        <w:rPr>
          <w:rFonts w:ascii="Times New Roman" w:hAnsi="Times New Roman"/>
          <w:sz w:val="24"/>
          <w:szCs w:val="24"/>
        </w:rPr>
        <w:t xml:space="preserve"> by the supervisory authorities. Moreover, an ad hoc committee has been set up, with the participation of the Central Bank, in its capacity as supervisor of banks and responsible for the overall financial stability, as well as with the other supervisors, which monitors closely the developments of the financial sector</w:t>
      </w:r>
      <w:r w:rsidRPr="00DF22B7">
        <w:rPr>
          <w:rFonts w:ascii="Times New Roman" w:hAnsi="Times New Roman"/>
          <w:bCs/>
          <w:iCs/>
          <w:sz w:val="24"/>
          <w:szCs w:val="24"/>
          <w:lang w:val="en-GB"/>
        </w:rPr>
        <w:t xml:space="preserve"> (Under SP)</w:t>
      </w:r>
      <w:r>
        <w:rPr>
          <w:rFonts w:ascii="Times New Roman" w:hAnsi="Times New Roman"/>
          <w:bCs/>
          <w:iCs/>
          <w:sz w:val="24"/>
          <w:szCs w:val="24"/>
          <w:lang w:val="en-GB"/>
        </w:rPr>
        <w:t>.</w:t>
      </w:r>
    </w:p>
    <w:p w:rsidR="00166499" w:rsidRDefault="00166499" w:rsidP="00166499">
      <w:pPr>
        <w:pStyle w:val="NormalJustified"/>
        <w:spacing w:after="0" w:line="240" w:lineRule="auto"/>
        <w:rPr>
          <w:rFonts w:ascii="Times New Roman" w:hAnsi="Times New Roman"/>
          <w:bCs/>
          <w:iCs/>
          <w:sz w:val="24"/>
          <w:szCs w:val="24"/>
          <w:lang w:val="en-GB"/>
        </w:rPr>
      </w:pPr>
    </w:p>
    <w:p w:rsidR="00166499" w:rsidRDefault="00166499" w:rsidP="00166499">
      <w:pPr>
        <w:pStyle w:val="NormalJustified"/>
        <w:spacing w:after="0" w:line="240" w:lineRule="auto"/>
        <w:rPr>
          <w:rFonts w:ascii="Times New Roman" w:hAnsi="Times New Roman"/>
          <w:bCs/>
          <w:iCs/>
          <w:sz w:val="24"/>
          <w:szCs w:val="24"/>
          <w:lang w:val="en-GB"/>
        </w:rPr>
      </w:pPr>
      <w:r w:rsidRPr="00166499">
        <w:rPr>
          <w:rFonts w:ascii="Times New Roman" w:hAnsi="Times New Roman"/>
          <w:sz w:val="24"/>
          <w:szCs w:val="24"/>
          <w:lang w:val="en-GB"/>
        </w:rPr>
        <w:lastRenderedPageBreak/>
        <w:t>2.</w:t>
      </w:r>
      <w:r>
        <w:rPr>
          <w:rFonts w:ascii="Times New Roman" w:hAnsi="Times New Roman"/>
          <w:b/>
          <w:sz w:val="24"/>
          <w:szCs w:val="24"/>
          <w:lang w:val="en-GB"/>
        </w:rPr>
        <w:t xml:space="preserve"> </w:t>
      </w:r>
      <w:r w:rsidRPr="00DF22B7">
        <w:rPr>
          <w:rFonts w:ascii="Times New Roman" w:hAnsi="Times New Roman"/>
          <w:b/>
          <w:sz w:val="24"/>
          <w:szCs w:val="24"/>
          <w:lang w:val="en-GB"/>
        </w:rPr>
        <w:t xml:space="preserve">A framework draft law </w:t>
      </w:r>
      <w:r w:rsidRPr="00DF22B7">
        <w:rPr>
          <w:rFonts w:ascii="Times New Roman" w:hAnsi="Times New Roman"/>
          <w:b/>
          <w:sz w:val="24"/>
          <w:szCs w:val="24"/>
        </w:rPr>
        <w:t>for dealing with financial cris</w:t>
      </w:r>
      <w:r w:rsidR="003A0A3E">
        <w:rPr>
          <w:rFonts w:ascii="Times New Roman" w:hAnsi="Times New Roman"/>
          <w:b/>
          <w:sz w:val="24"/>
          <w:szCs w:val="24"/>
        </w:rPr>
        <w:t>e</w:t>
      </w:r>
      <w:r w:rsidRPr="00DF22B7">
        <w:rPr>
          <w:rFonts w:ascii="Times New Roman" w:hAnsi="Times New Roman"/>
          <w:b/>
          <w:sz w:val="24"/>
          <w:szCs w:val="24"/>
        </w:rPr>
        <w:t>s</w:t>
      </w:r>
      <w:r w:rsidRPr="00DF22B7">
        <w:rPr>
          <w:rFonts w:ascii="Times New Roman" w:hAnsi="Times New Roman"/>
          <w:b/>
          <w:sz w:val="24"/>
          <w:szCs w:val="24"/>
          <w:lang w:val="en-GB"/>
        </w:rPr>
        <w:t xml:space="preserve"> has been prepared</w:t>
      </w:r>
      <w:r w:rsidRPr="00DF22B7">
        <w:rPr>
          <w:rFonts w:ascii="Times New Roman" w:hAnsi="Times New Roman"/>
          <w:sz w:val="24"/>
          <w:szCs w:val="24"/>
          <w:lang w:val="en-GB"/>
        </w:rPr>
        <w:t xml:space="preserve">, </w:t>
      </w:r>
      <w:r w:rsidRPr="00DF22B7">
        <w:rPr>
          <w:rFonts w:ascii="Times New Roman" w:hAnsi="Times New Roman"/>
          <w:sz w:val="24"/>
          <w:szCs w:val="24"/>
        </w:rPr>
        <w:t xml:space="preserve">to enable the Cypriot Council of Ministers to take, measures ‘in a period of a financial crisis’,  intended to address liquidity or insolvency problems affecting financial institutions, in full compliance with the relevant acquis framework. Such measures will be proposed by the Minister of Finance, after taking into account the opinion of the Governor of the Central Bank of Cyprus (CBC) and after having secured the approval of these measures by the House of Representatives. </w:t>
      </w:r>
      <w:r w:rsidRPr="00DF22B7">
        <w:rPr>
          <w:rFonts w:ascii="Times New Roman" w:hAnsi="Times New Roman"/>
          <w:bCs/>
          <w:iCs/>
          <w:sz w:val="24"/>
          <w:szCs w:val="24"/>
          <w:lang w:val="en-GB"/>
        </w:rPr>
        <w:t>(Under SP)</w:t>
      </w:r>
    </w:p>
    <w:p w:rsidR="00166499" w:rsidRDefault="00166499" w:rsidP="00166499">
      <w:pPr>
        <w:pStyle w:val="NormalJustified"/>
        <w:spacing w:after="0" w:line="240" w:lineRule="auto"/>
        <w:rPr>
          <w:rFonts w:ascii="Times New Roman" w:hAnsi="Times New Roman"/>
          <w:sz w:val="24"/>
          <w:szCs w:val="24"/>
        </w:rPr>
      </w:pPr>
    </w:p>
    <w:p w:rsidR="00B5576F" w:rsidRDefault="00B5576F" w:rsidP="00166499">
      <w:pPr>
        <w:pStyle w:val="NormalJustified"/>
        <w:spacing w:after="0" w:line="240" w:lineRule="auto"/>
        <w:rPr>
          <w:rFonts w:ascii="Times New Roman" w:hAnsi="Times New Roman"/>
          <w:sz w:val="24"/>
          <w:szCs w:val="24"/>
        </w:rPr>
        <w:sectPr w:rsidR="00B5576F" w:rsidSect="00EC471E">
          <w:type w:val="continuous"/>
          <w:pgSz w:w="12240" w:h="15840"/>
          <w:pgMar w:top="1560" w:right="1440" w:bottom="1296" w:left="1440" w:header="720" w:footer="720" w:gutter="0"/>
          <w:cols w:space="720"/>
          <w:titlePg/>
          <w:docGrid w:linePitch="360"/>
        </w:sectPr>
      </w:pPr>
    </w:p>
    <w:p w:rsidR="00166499" w:rsidRPr="00DF22B7" w:rsidRDefault="00166499" w:rsidP="00166499">
      <w:pPr>
        <w:pStyle w:val="NormalJustified"/>
        <w:spacing w:after="0" w:line="240" w:lineRule="auto"/>
        <w:rPr>
          <w:rFonts w:ascii="Times New Roman" w:hAnsi="Times New Roman"/>
          <w:lang w:val="en-GB"/>
        </w:rPr>
      </w:pPr>
      <w:r w:rsidRPr="00166499">
        <w:rPr>
          <w:rFonts w:ascii="Times New Roman" w:hAnsi="Times New Roman"/>
          <w:sz w:val="24"/>
          <w:szCs w:val="24"/>
        </w:rPr>
        <w:lastRenderedPageBreak/>
        <w:t>3</w:t>
      </w:r>
      <w:r w:rsidRPr="00DF22B7">
        <w:rPr>
          <w:rFonts w:ascii="Times New Roman" w:hAnsi="Times New Roman"/>
          <w:sz w:val="24"/>
          <w:szCs w:val="24"/>
        </w:rPr>
        <w:t xml:space="preserve">. </w:t>
      </w:r>
      <w:r w:rsidRPr="00DF22B7">
        <w:rPr>
          <w:rFonts w:ascii="Times New Roman" w:hAnsi="Times New Roman"/>
          <w:sz w:val="24"/>
          <w:szCs w:val="24"/>
          <w:lang w:val="en-GB"/>
        </w:rPr>
        <w:t xml:space="preserve">In relation to </w:t>
      </w:r>
      <w:r w:rsidRPr="00DF22B7">
        <w:rPr>
          <w:rFonts w:ascii="Times New Roman" w:hAnsi="Times New Roman"/>
          <w:b/>
          <w:sz w:val="24"/>
          <w:szCs w:val="24"/>
          <w:lang w:val="en-GB"/>
        </w:rPr>
        <w:t>banks and cooperative credit institutions, the imposition of a special tax</w:t>
      </w:r>
      <w:r w:rsidRPr="00DF22B7">
        <w:rPr>
          <w:rFonts w:ascii="Times New Roman" w:hAnsi="Times New Roman"/>
          <w:sz w:val="24"/>
          <w:szCs w:val="24"/>
          <w:lang w:val="en-GB"/>
        </w:rPr>
        <w:t xml:space="preserve"> has been decided, expected to yield around €60</w:t>
      </w:r>
      <w:r w:rsidR="00772246">
        <w:rPr>
          <w:rFonts w:ascii="Times New Roman" w:hAnsi="Times New Roman"/>
          <w:sz w:val="24"/>
          <w:szCs w:val="24"/>
          <w:lang w:val="en-GB"/>
        </w:rPr>
        <w:t xml:space="preserve"> </w:t>
      </w:r>
      <w:r w:rsidRPr="00DF22B7">
        <w:rPr>
          <w:rFonts w:ascii="Times New Roman" w:hAnsi="Times New Roman"/>
          <w:sz w:val="24"/>
          <w:szCs w:val="24"/>
          <w:lang w:val="en-GB"/>
        </w:rPr>
        <w:t>m</w:t>
      </w:r>
      <w:r>
        <w:rPr>
          <w:rFonts w:ascii="Times New Roman" w:hAnsi="Times New Roman"/>
          <w:sz w:val="24"/>
          <w:szCs w:val="24"/>
          <w:lang w:val="en-GB"/>
        </w:rPr>
        <w:t>ln</w:t>
      </w:r>
      <w:r w:rsidRPr="00DF22B7">
        <w:rPr>
          <w:rFonts w:ascii="Times New Roman" w:hAnsi="Times New Roman"/>
          <w:sz w:val="24"/>
          <w:szCs w:val="24"/>
          <w:lang w:val="en-GB"/>
        </w:rPr>
        <w:t xml:space="preserve"> per annum for the next 2 years, with the establishment of a fully independent Financial Stability Fund, within the next 6 months.  Part of the generated revenues (25/60) from the above tax will constitute part of the said Fund. The Independent Financial Stability Fund will be set up, with a view to supporting and facilitating the resolution of distressed credit institutions</w:t>
      </w:r>
      <w:bookmarkEnd w:id="2"/>
      <w:r w:rsidRPr="00DF22B7">
        <w:rPr>
          <w:rFonts w:ascii="Times New Roman" w:hAnsi="Times New Roman"/>
          <w:bCs/>
          <w:iCs/>
          <w:sz w:val="24"/>
          <w:szCs w:val="24"/>
          <w:lang w:val="en-GB"/>
        </w:rPr>
        <w:t xml:space="preserve"> (Under SP)</w:t>
      </w:r>
      <w:r>
        <w:rPr>
          <w:rFonts w:ascii="Times New Roman" w:hAnsi="Times New Roman"/>
          <w:bCs/>
          <w:iCs/>
          <w:sz w:val="24"/>
          <w:szCs w:val="24"/>
          <w:lang w:val="en-GB"/>
        </w:rPr>
        <w:t>.</w:t>
      </w:r>
    </w:p>
    <w:p w:rsidR="00021AFA" w:rsidRDefault="00021AFA" w:rsidP="00166499">
      <w:pPr>
        <w:rPr>
          <w:szCs w:val="40"/>
        </w:rPr>
        <w:sectPr w:rsidR="00021AFA" w:rsidSect="00EC471E">
          <w:type w:val="continuous"/>
          <w:pgSz w:w="12240" w:h="15840"/>
          <w:pgMar w:top="1560" w:right="1440" w:bottom="1296" w:left="1440" w:header="720" w:footer="720" w:gutter="0"/>
          <w:cols w:space="720"/>
          <w:titlePg/>
          <w:docGrid w:linePitch="360"/>
        </w:sectPr>
      </w:pPr>
    </w:p>
    <w:p w:rsidR="0025388B" w:rsidRDefault="0025388B" w:rsidP="00C32CA0">
      <w:pPr>
        <w:pStyle w:val="Heading1"/>
        <w:rPr>
          <w:rFonts w:cs="Times New Roman"/>
          <w:szCs w:val="40"/>
        </w:rPr>
      </w:pPr>
    </w:p>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25388B" w:rsidRDefault="0025388B" w:rsidP="0025388B"/>
    <w:p w:rsidR="00897884" w:rsidRPr="00DA2A91" w:rsidRDefault="00897884" w:rsidP="00C32CA0">
      <w:pPr>
        <w:pStyle w:val="Heading1"/>
        <w:rPr>
          <w:rFonts w:cs="Times New Roman"/>
          <w:b w:val="0"/>
          <w:szCs w:val="40"/>
        </w:rPr>
      </w:pPr>
      <w:bookmarkStart w:id="3" w:name="_Toc292454615"/>
      <w:r w:rsidRPr="00DA2A91">
        <w:rPr>
          <w:rFonts w:cs="Times New Roman"/>
          <w:szCs w:val="40"/>
        </w:rPr>
        <w:lastRenderedPageBreak/>
        <w:t xml:space="preserve">2. </w:t>
      </w:r>
      <w:r w:rsidRPr="00DA2A91">
        <w:rPr>
          <w:rFonts w:cs="Times New Roman"/>
          <w:szCs w:val="40"/>
          <w:lang w:val="en-GB"/>
        </w:rPr>
        <w:t>MACROECONOMIC SCENARIO</w:t>
      </w:r>
      <w:bookmarkEnd w:id="3"/>
    </w:p>
    <w:p w:rsidR="00DA2A91" w:rsidRDefault="00DA2A91" w:rsidP="007A7801">
      <w:pPr>
        <w:rPr>
          <w:b/>
          <w:sz w:val="40"/>
          <w:szCs w:val="40"/>
        </w:rPr>
      </w:pPr>
    </w:p>
    <w:p w:rsidR="00DA2A91" w:rsidRPr="00DA2A91" w:rsidRDefault="00DA2A91" w:rsidP="007A7801">
      <w:pPr>
        <w:rPr>
          <w:b/>
        </w:rPr>
      </w:pPr>
    </w:p>
    <w:p w:rsidR="00897884" w:rsidRPr="007A7801" w:rsidRDefault="00897884" w:rsidP="007A7801">
      <w:pPr>
        <w:tabs>
          <w:tab w:val="left" w:pos="540"/>
        </w:tabs>
        <w:jc w:val="both"/>
        <w:rPr>
          <w:lang w:val="en-GB"/>
        </w:rPr>
      </w:pPr>
      <w:r w:rsidRPr="007A7801">
        <w:rPr>
          <w:lang w:val="en-GB"/>
        </w:rPr>
        <w:t>The Cyprus economy has not been directly affected by the financial crisis, due to the negligible exposure of the financial sector to toxic products. However, the economy has been affected in an indirect manner, due to its small size and open nature. As a consequence, the Cyprus economy exhibited a contraction in 2009, at a rate of 1</w:t>
      </w:r>
      <w:r w:rsidRPr="007A7801">
        <w:t>,</w:t>
      </w:r>
      <w:r w:rsidRPr="007A7801">
        <w:rPr>
          <w:lang w:val="en-GB"/>
        </w:rPr>
        <w:t>7%, before rebounding to about 1% in 2010.</w:t>
      </w:r>
    </w:p>
    <w:p w:rsidR="00897884" w:rsidRPr="007A7801" w:rsidRDefault="00897884" w:rsidP="00897884">
      <w:pPr>
        <w:jc w:val="both"/>
        <w:rPr>
          <w:lang w:val="en-GB"/>
        </w:rPr>
      </w:pPr>
    </w:p>
    <w:p w:rsidR="00897884" w:rsidRPr="007A7801" w:rsidRDefault="00897884" w:rsidP="00897884">
      <w:pPr>
        <w:jc w:val="both"/>
        <w:rPr>
          <w:lang w:val="en-GB"/>
        </w:rPr>
      </w:pPr>
      <w:r w:rsidRPr="007A7801">
        <w:rPr>
          <w:lang w:val="en-GB"/>
        </w:rPr>
        <w:t>The impact of the world financial crisis on the Cyprus real economy is mainly attributed to the sluggishness of export demand, which mainly affected the sectors of construction, real estate and tourism. The economic contraction in UK in 2009 had a major impact in the tourism sector of Cyprus, since, roughly, half of the total num</w:t>
      </w:r>
      <w:r w:rsidR="00A51AE6">
        <w:rPr>
          <w:lang w:val="en-GB"/>
        </w:rPr>
        <w:t>ber of tourists visiting Cyprus</w:t>
      </w:r>
      <w:r w:rsidRPr="007A7801">
        <w:rPr>
          <w:lang w:val="en-GB"/>
        </w:rPr>
        <w:t xml:space="preserve"> originate from the UK. Similarly, a contraction in the construction sector has been observed, given that the foreign demand for secondary residence in Cyprus stems</w:t>
      </w:r>
      <w:r w:rsidR="00A51AE6">
        <w:rPr>
          <w:lang w:val="en-GB"/>
        </w:rPr>
        <w:t xml:space="preserve"> mainly</w:t>
      </w:r>
      <w:r w:rsidRPr="007A7801">
        <w:rPr>
          <w:lang w:val="en-GB"/>
        </w:rPr>
        <w:t xml:space="preserve"> from UK citizens. Additional factors explaining the downturn in 2009 were confidence effects, which affected </w:t>
      </w:r>
      <w:r w:rsidR="00A51AE6">
        <w:rPr>
          <w:lang w:val="en-GB"/>
        </w:rPr>
        <w:t>private consumption, as well as</w:t>
      </w:r>
      <w:r w:rsidRPr="007A7801">
        <w:rPr>
          <w:lang w:val="en-GB"/>
        </w:rPr>
        <w:t xml:space="preserve"> the correction in the construction sector, following the period of overheating in 2007-2008. </w:t>
      </w:r>
    </w:p>
    <w:p w:rsidR="00897884" w:rsidRPr="007A7801" w:rsidRDefault="00897884" w:rsidP="00897884">
      <w:pPr>
        <w:jc w:val="both"/>
        <w:rPr>
          <w:lang w:val="en-GB"/>
        </w:rPr>
      </w:pPr>
    </w:p>
    <w:p w:rsidR="00897884" w:rsidRPr="007A7801" w:rsidRDefault="00897884" w:rsidP="00897884">
      <w:pPr>
        <w:jc w:val="both"/>
        <w:rPr>
          <w:lang w:val="en-GB"/>
        </w:rPr>
      </w:pPr>
      <w:r w:rsidRPr="007A7801">
        <w:rPr>
          <w:lang w:val="en-GB"/>
        </w:rPr>
        <w:t>Following the adverse developments in 2009, some encouraging signs have been observed in 2010.</w:t>
      </w:r>
      <w:r w:rsidRPr="007A7801">
        <w:t xml:space="preserve"> Economic growth </w:t>
      </w:r>
      <w:r w:rsidRPr="007A7801">
        <w:rPr>
          <w:lang w:val="en-GB"/>
        </w:rPr>
        <w:t>is estimated to be in positive territory, amounting to about 1%. The economic activity is expected to further accelerate, albeit to moderate by historical st</w:t>
      </w:r>
      <w:r w:rsidR="00FC08F3">
        <w:rPr>
          <w:lang w:val="en-GB"/>
        </w:rPr>
        <w:t>andards levels, reaching some 1,</w:t>
      </w:r>
      <w:r w:rsidRPr="007A7801">
        <w:rPr>
          <w:lang w:val="en-GB"/>
        </w:rPr>
        <w:t xml:space="preserve">5% in 2011 and 3% in 2014. This modest improvement is projected to emanate from a rise in export performance, especially in the area of export of services. </w:t>
      </w:r>
    </w:p>
    <w:p w:rsidR="00897884" w:rsidRPr="007A7801" w:rsidRDefault="00897884" w:rsidP="00897884">
      <w:pPr>
        <w:jc w:val="both"/>
        <w:rPr>
          <w:lang w:val="en-GB"/>
        </w:rPr>
      </w:pPr>
    </w:p>
    <w:p w:rsidR="00897884" w:rsidRPr="007A7801" w:rsidRDefault="00897884" w:rsidP="00897884">
      <w:pPr>
        <w:jc w:val="both"/>
        <w:rPr>
          <w:lang w:val="en-GB"/>
        </w:rPr>
      </w:pPr>
      <w:r w:rsidRPr="007A7801">
        <w:rPr>
          <w:lang w:val="en-GB"/>
        </w:rPr>
        <w:t xml:space="preserve">The </w:t>
      </w:r>
      <w:r w:rsidR="00731D68">
        <w:rPr>
          <w:lang w:val="en-GB"/>
        </w:rPr>
        <w:t>C</w:t>
      </w:r>
      <w:r w:rsidRPr="007A7801">
        <w:rPr>
          <w:lang w:val="en-GB"/>
        </w:rPr>
        <w:t xml:space="preserve">urrent </w:t>
      </w:r>
      <w:r w:rsidR="00731D68">
        <w:rPr>
          <w:lang w:val="en-GB"/>
        </w:rPr>
        <w:t>A</w:t>
      </w:r>
      <w:r w:rsidRPr="007A7801">
        <w:rPr>
          <w:lang w:val="en-GB"/>
        </w:rPr>
        <w:t xml:space="preserve">ccount balance </w:t>
      </w:r>
      <w:r w:rsidR="0055040D">
        <w:rPr>
          <w:lang w:val="en-GB"/>
        </w:rPr>
        <w:t>at last years</w:t>
      </w:r>
      <w:r w:rsidR="008D50A5">
        <w:rPr>
          <w:lang w:val="en-GB"/>
        </w:rPr>
        <w:t>’</w:t>
      </w:r>
      <w:r w:rsidR="0055040D">
        <w:rPr>
          <w:lang w:val="en-GB"/>
        </w:rPr>
        <w:t xml:space="preserve"> level,</w:t>
      </w:r>
      <w:r w:rsidRPr="007A7801">
        <w:rPr>
          <w:lang w:val="en-GB"/>
        </w:rPr>
        <w:t xml:space="preserve"> </w:t>
      </w:r>
      <w:r w:rsidR="0055040D">
        <w:rPr>
          <w:lang w:val="en-GB"/>
        </w:rPr>
        <w:t>7,8</w:t>
      </w:r>
      <w:r w:rsidRPr="007A7801">
        <w:rPr>
          <w:lang w:val="en-GB"/>
        </w:rPr>
        <w:t>% of GDP</w:t>
      </w:r>
      <w:r w:rsidR="0055040D">
        <w:rPr>
          <w:lang w:val="en-GB"/>
        </w:rPr>
        <w:t xml:space="preserve"> Exports, in particular</w:t>
      </w:r>
      <w:r w:rsidR="0055040D" w:rsidRPr="007A7801">
        <w:rPr>
          <w:lang w:val="en-GB"/>
        </w:rPr>
        <w:t xml:space="preserve"> export of services, </w:t>
      </w:r>
      <w:r w:rsidR="0055040D">
        <w:rPr>
          <w:lang w:val="en-GB"/>
        </w:rPr>
        <w:t xml:space="preserve">expanded at satisfactory level, reflecting the comparative advantage of Cyprus in this area. However, imports also increased at high rates, while </w:t>
      </w:r>
      <w:r w:rsidR="0055040D" w:rsidRPr="0055040D">
        <w:rPr>
          <w:lang w:val="en-GB"/>
        </w:rPr>
        <w:t>the deficit in the income account was maintained at high level. The situation in the Balance of Payments requires close monitoring</w:t>
      </w:r>
      <w:r w:rsidR="0055040D">
        <w:rPr>
          <w:lang w:val="en-GB"/>
        </w:rPr>
        <w:t>.</w:t>
      </w:r>
    </w:p>
    <w:p w:rsidR="00897884" w:rsidRPr="007A7801" w:rsidRDefault="00897884" w:rsidP="00897884">
      <w:pPr>
        <w:jc w:val="both"/>
        <w:rPr>
          <w:lang w:val="en-GB"/>
        </w:rPr>
      </w:pPr>
    </w:p>
    <w:p w:rsidR="00897884" w:rsidRPr="007A7801" w:rsidRDefault="00897884" w:rsidP="00897884">
      <w:pPr>
        <w:pStyle w:val="NormalJustified"/>
        <w:spacing w:after="0" w:line="240" w:lineRule="auto"/>
        <w:rPr>
          <w:rFonts w:ascii="Times New Roman" w:hAnsi="Times New Roman"/>
          <w:sz w:val="24"/>
          <w:szCs w:val="24"/>
          <w:lang w:val="en-GB"/>
        </w:rPr>
      </w:pPr>
      <w:r w:rsidRPr="007A7801">
        <w:rPr>
          <w:rFonts w:ascii="Times New Roman" w:hAnsi="Times New Roman"/>
          <w:sz w:val="24"/>
          <w:szCs w:val="24"/>
          <w:lang w:val="en-GB"/>
        </w:rPr>
        <w:t xml:space="preserve">Public finances have worsened during 2009-2010, leading to the initiation by the Council of the Excessive Deficit Procedure for Cyprus </w:t>
      </w:r>
      <w:r w:rsidRPr="007A7801">
        <w:rPr>
          <w:rFonts w:ascii="Times New Roman" w:hAnsi="Times New Roman"/>
          <w:sz w:val="24"/>
          <w:szCs w:val="24"/>
        </w:rPr>
        <w:t xml:space="preserve">on the </w:t>
      </w:r>
      <w:r w:rsidRPr="007A7801">
        <w:rPr>
          <w:rFonts w:ascii="Times New Roman" w:hAnsi="Times New Roman"/>
          <w:sz w:val="24"/>
          <w:szCs w:val="24"/>
          <w:lang w:val="en-GB"/>
        </w:rPr>
        <w:t>13</w:t>
      </w:r>
      <w:r w:rsidRPr="007A7801">
        <w:rPr>
          <w:rFonts w:ascii="Times New Roman" w:hAnsi="Times New Roman"/>
          <w:sz w:val="24"/>
          <w:szCs w:val="24"/>
          <w:vertAlign w:val="superscript"/>
          <w:lang w:val="en-GB"/>
        </w:rPr>
        <w:t>th</w:t>
      </w:r>
      <w:r w:rsidRPr="007A7801">
        <w:rPr>
          <w:rFonts w:ascii="Times New Roman" w:hAnsi="Times New Roman"/>
          <w:sz w:val="24"/>
          <w:szCs w:val="24"/>
          <w:lang w:val="en-GB"/>
        </w:rPr>
        <w:t xml:space="preserve"> July 2010. This is, mainly, attributed to the economic downturn and the precipitous adjustment of the real estate and construction sectors and consequently of public revenues linked to these activities. Public expenditure developments also contributed to the increase of public deficit, owing, largely, to higher social transfers.  </w:t>
      </w:r>
    </w:p>
    <w:p w:rsidR="00897884" w:rsidRPr="007A7801" w:rsidRDefault="00897884" w:rsidP="00897884">
      <w:pPr>
        <w:pStyle w:val="NormalJustified"/>
        <w:spacing w:after="0" w:line="240" w:lineRule="auto"/>
        <w:rPr>
          <w:rFonts w:ascii="Times New Roman" w:hAnsi="Times New Roman"/>
          <w:sz w:val="24"/>
          <w:szCs w:val="24"/>
          <w:lang w:val="en-GB"/>
        </w:rPr>
      </w:pPr>
    </w:p>
    <w:p w:rsidR="00897884" w:rsidRPr="007A7801" w:rsidRDefault="00897884" w:rsidP="00897884">
      <w:pPr>
        <w:pStyle w:val="NormalJustified"/>
        <w:spacing w:after="0" w:line="240" w:lineRule="auto"/>
        <w:rPr>
          <w:rFonts w:ascii="Times New Roman" w:hAnsi="Times New Roman"/>
          <w:sz w:val="24"/>
          <w:szCs w:val="24"/>
          <w:lang w:val="en-GB"/>
        </w:rPr>
      </w:pPr>
      <w:r w:rsidRPr="007A7801">
        <w:rPr>
          <w:rFonts w:ascii="Times New Roman" w:hAnsi="Times New Roman"/>
          <w:sz w:val="24"/>
          <w:szCs w:val="24"/>
          <w:lang w:val="en-GB"/>
        </w:rPr>
        <w:t xml:space="preserve">The general government nominal budget balance in 2010 reached a deficit of around 5,3% of GDP, compared to a deficit of some 6% in 2009. This has affected public debt, which reached some </w:t>
      </w:r>
      <w:r w:rsidR="0055040D">
        <w:rPr>
          <w:rFonts w:ascii="Times New Roman" w:hAnsi="Times New Roman"/>
          <w:sz w:val="24"/>
          <w:szCs w:val="24"/>
          <w:lang w:val="en-GB"/>
        </w:rPr>
        <w:t>60,9</w:t>
      </w:r>
      <w:r w:rsidRPr="007A7801">
        <w:rPr>
          <w:rFonts w:ascii="Times New Roman" w:hAnsi="Times New Roman"/>
          <w:sz w:val="24"/>
          <w:szCs w:val="24"/>
          <w:lang w:val="en-GB"/>
        </w:rPr>
        <w:t xml:space="preserve">% by the end of 2010, compared to 58% by the end of 2009. </w:t>
      </w:r>
    </w:p>
    <w:p w:rsidR="00897884" w:rsidRPr="007A7801" w:rsidRDefault="00897884" w:rsidP="00897884">
      <w:pPr>
        <w:pStyle w:val="NormalJustified"/>
        <w:spacing w:after="0" w:line="240" w:lineRule="auto"/>
        <w:rPr>
          <w:rFonts w:ascii="Times New Roman" w:hAnsi="Times New Roman"/>
          <w:sz w:val="24"/>
          <w:szCs w:val="24"/>
          <w:lang w:val="en-GB"/>
        </w:rPr>
      </w:pPr>
    </w:p>
    <w:p w:rsidR="00021AFA" w:rsidRDefault="00897884" w:rsidP="00897884">
      <w:pPr>
        <w:jc w:val="both"/>
        <w:sectPr w:rsidR="00021AFA" w:rsidSect="00021AFA">
          <w:headerReference w:type="default" r:id="rId17"/>
          <w:headerReference w:type="first" r:id="rId18"/>
          <w:type w:val="continuous"/>
          <w:pgSz w:w="12240" w:h="15840"/>
          <w:pgMar w:top="1560" w:right="1440" w:bottom="1296" w:left="1440" w:header="720" w:footer="720" w:gutter="0"/>
          <w:cols w:space="720"/>
          <w:titlePg/>
          <w:docGrid w:linePitch="360"/>
        </w:sectPr>
      </w:pPr>
      <w:r w:rsidRPr="007A7801">
        <w:rPr>
          <w:lang w:val="en-GB"/>
        </w:rPr>
        <w:t>During 2010, the Government has taken measures, mainly of permanent nature, to contain public expenditure. The number of civil servants employed by the Central Government was reduced by 1.000, while other public consumption expenditure was reduced in absolute terms</w:t>
      </w:r>
      <w:r w:rsidRPr="007A7801">
        <w:t>.</w:t>
      </w:r>
    </w:p>
    <w:p w:rsidR="00897884" w:rsidRPr="007A7801" w:rsidRDefault="00897884" w:rsidP="00897884">
      <w:pPr>
        <w:jc w:val="both"/>
      </w:pPr>
    </w:p>
    <w:p w:rsidR="009A7B6E" w:rsidRDefault="009A7B6E" w:rsidP="00897884">
      <w:pPr>
        <w:jc w:val="both"/>
        <w:sectPr w:rsidR="009A7B6E" w:rsidSect="00021AFA">
          <w:type w:val="continuous"/>
          <w:pgSz w:w="12240" w:h="15840"/>
          <w:pgMar w:top="1560" w:right="1440" w:bottom="1296" w:left="1440" w:header="720" w:footer="720" w:gutter="0"/>
          <w:cols w:space="720"/>
          <w:titlePg/>
          <w:docGrid w:linePitch="360"/>
        </w:sectPr>
      </w:pPr>
    </w:p>
    <w:p w:rsidR="00897884" w:rsidRPr="007A7801" w:rsidRDefault="00897884" w:rsidP="00897884">
      <w:pPr>
        <w:jc w:val="both"/>
      </w:pPr>
      <w:r w:rsidRPr="007A7801">
        <w:lastRenderedPageBreak/>
        <w:t>Following many years of tight labour market conditions, characteri</w:t>
      </w:r>
      <w:r w:rsidR="00104072">
        <w:t>s</w:t>
      </w:r>
      <w:r w:rsidRPr="007A7801">
        <w:t xml:space="preserve">ed by a significant inflow of foreign workers, the slowdown of economic activity has visibly affected employment growth and </w:t>
      </w:r>
      <w:r w:rsidRPr="007A7801">
        <w:lastRenderedPageBreak/>
        <w:t xml:space="preserve">unemployment. </w:t>
      </w:r>
      <w:r w:rsidRPr="007A7801">
        <w:rPr>
          <w:lang w:val="en-GB"/>
        </w:rPr>
        <w:t>For 2010, the unemployment reached around 6,2%</w:t>
      </w:r>
      <w:r w:rsidRPr="007A7801">
        <w:rPr>
          <w:i/>
        </w:rPr>
        <w:t>.</w:t>
      </w:r>
      <w:r w:rsidRPr="007A7801">
        <w:t xml:space="preserve"> The areas hit </w:t>
      </w:r>
      <w:r w:rsidRPr="007A7801">
        <w:rPr>
          <w:lang w:val="en-GB"/>
        </w:rPr>
        <w:t>t</w:t>
      </w:r>
      <w:r w:rsidRPr="007A7801">
        <w:t xml:space="preserve">he hardest in terms of unemployment are the new entrants into </w:t>
      </w:r>
      <w:r w:rsidR="005C6ECA">
        <w:t xml:space="preserve">the labour market as well as </w:t>
      </w:r>
      <w:r w:rsidR="006E768D">
        <w:t xml:space="preserve">trade, </w:t>
      </w:r>
      <w:r w:rsidRPr="007A7801">
        <w:t>tourism and construction</w:t>
      </w:r>
      <w:r w:rsidR="005C6ECA">
        <w:t>.</w:t>
      </w:r>
      <w:r w:rsidRPr="007A7801">
        <w:t xml:space="preserve"> It is noted, though, that employment exhibits a positive growth of some </w:t>
      </w:r>
      <w:r w:rsidRPr="005C6ECA">
        <w:t>0,5%,</w:t>
      </w:r>
      <w:r w:rsidRPr="007A7801">
        <w:t xml:space="preserve"> which is expected to lead to stabilisation and subsequently to a decline of unemployment. </w:t>
      </w:r>
    </w:p>
    <w:p w:rsidR="00897884" w:rsidRPr="007A7801" w:rsidRDefault="00897884" w:rsidP="00897884">
      <w:pPr>
        <w:jc w:val="both"/>
      </w:pPr>
    </w:p>
    <w:p w:rsidR="00897884" w:rsidRPr="007A7801" w:rsidRDefault="00897884" w:rsidP="00897884">
      <w:pPr>
        <w:jc w:val="both"/>
      </w:pPr>
      <w:r w:rsidRPr="007A7801">
        <w:t>Wages growth has moderated, reflecting the effect of slow</w:t>
      </w:r>
      <w:r w:rsidR="00F0627B">
        <w:t>-</w:t>
      </w:r>
      <w:r w:rsidRPr="007A7801">
        <w:t xml:space="preserve">down of economic growth on collective bargaining agreements. In particular, moderation was observed in the sectors mostly affected by the economic crisis (construction, manufacturing, tourism). As a consequence, real unit labour cost declined, containing the trend of deterioration of competitiveness observed in previous years. </w:t>
      </w:r>
    </w:p>
    <w:p w:rsidR="00897884" w:rsidRPr="007A7801" w:rsidRDefault="00897884" w:rsidP="00897884">
      <w:pPr>
        <w:jc w:val="both"/>
      </w:pPr>
    </w:p>
    <w:p w:rsidR="00897884" w:rsidRPr="007A7801" w:rsidRDefault="00897884" w:rsidP="00897884">
      <w:pPr>
        <w:jc w:val="both"/>
      </w:pPr>
      <w:r w:rsidRPr="007A7801">
        <w:t>After registering a very small increase in 2009 of the order of 0,2%, inflation accelerated in 2010 to 2,6%, reflecting the rise in the price of commodities, mainly of  oil. However, even though the headline inflation rate has been on the rise, core inflation remains under control.</w:t>
      </w:r>
    </w:p>
    <w:p w:rsidR="00897884" w:rsidRPr="007A7801" w:rsidRDefault="00897884" w:rsidP="00897884">
      <w:pPr>
        <w:jc w:val="both"/>
      </w:pPr>
    </w:p>
    <w:p w:rsidR="00897884" w:rsidRPr="007A7801" w:rsidRDefault="00897884" w:rsidP="00897884">
      <w:pPr>
        <w:jc w:val="both"/>
      </w:pPr>
      <w:r w:rsidRPr="007A7801">
        <w:t xml:space="preserve">In the </w:t>
      </w:r>
      <w:r w:rsidR="0055040D">
        <w:t>table</w:t>
      </w:r>
      <w:r w:rsidR="0055040D" w:rsidRPr="007A7801">
        <w:t xml:space="preserve"> </w:t>
      </w:r>
      <w:r w:rsidRPr="007A7801">
        <w:t>below, the main macroeconomic indicators are being presented for the years 2009-2014.</w:t>
      </w:r>
    </w:p>
    <w:p w:rsidR="00897884" w:rsidRPr="007A7801" w:rsidRDefault="00897884" w:rsidP="00897884">
      <w:pPr>
        <w:jc w:val="both"/>
      </w:pPr>
    </w:p>
    <w:p w:rsidR="00FC3062" w:rsidRPr="007A7801" w:rsidRDefault="000623A3" w:rsidP="00897884">
      <w:pPr>
        <w:jc w:val="both"/>
        <w:rPr>
          <w:b/>
          <w:i/>
          <w:lang w:val="en-GB"/>
        </w:rPr>
      </w:pPr>
      <w:r>
        <w:rPr>
          <w:b/>
          <w:i/>
          <w:lang w:val="en-GB"/>
        </w:rPr>
        <w:t>Table</w:t>
      </w:r>
      <w:r w:rsidR="00530713" w:rsidRPr="007A7801">
        <w:rPr>
          <w:b/>
          <w:i/>
          <w:lang w:val="en-GB"/>
        </w:rPr>
        <w:t xml:space="preserve"> 1: </w:t>
      </w:r>
      <w:r w:rsidR="00897884" w:rsidRPr="007A7801">
        <w:rPr>
          <w:b/>
          <w:i/>
          <w:lang w:val="en-GB"/>
        </w:rPr>
        <w:t>Medium-term macroeconomic scenario</w:t>
      </w:r>
    </w:p>
    <w:tbl>
      <w:tblPr>
        <w:tblStyle w:val="LightShading-Accent11"/>
        <w:tblW w:w="9356" w:type="dxa"/>
        <w:tblInd w:w="108" w:type="dxa"/>
        <w:tblLook w:val="04A0"/>
      </w:tblPr>
      <w:tblGrid>
        <w:gridCol w:w="3510"/>
        <w:gridCol w:w="709"/>
        <w:gridCol w:w="981"/>
        <w:gridCol w:w="996"/>
        <w:gridCol w:w="996"/>
        <w:gridCol w:w="996"/>
        <w:gridCol w:w="1168"/>
      </w:tblGrid>
      <w:tr w:rsidR="00FC3062" w:rsidRPr="007A7801" w:rsidTr="00C35E74">
        <w:trPr>
          <w:cnfStyle w:val="100000000000"/>
          <w:trHeight w:val="510"/>
        </w:trPr>
        <w:tc>
          <w:tcPr>
            <w:cnfStyle w:val="001000000000"/>
            <w:tcW w:w="3510" w:type="dxa"/>
            <w:vAlign w:val="center"/>
          </w:tcPr>
          <w:p w:rsidR="00FC3062" w:rsidRPr="00367F5B" w:rsidRDefault="00FC3062" w:rsidP="00FC3062">
            <w:pPr>
              <w:jc w:val="center"/>
              <w:rPr>
                <w:color w:val="548DD4" w:themeColor="text2" w:themeTint="99"/>
                <w:sz w:val="22"/>
                <w:szCs w:val="22"/>
              </w:rPr>
            </w:pPr>
          </w:p>
        </w:tc>
        <w:tc>
          <w:tcPr>
            <w:tcW w:w="709" w:type="dxa"/>
            <w:vAlign w:val="center"/>
          </w:tcPr>
          <w:p w:rsidR="00FC3062" w:rsidRPr="00367F5B" w:rsidRDefault="00FC3062" w:rsidP="00FC3062">
            <w:pPr>
              <w:jc w:val="center"/>
              <w:cnfStyle w:val="100000000000"/>
              <w:rPr>
                <w:color w:val="548DD4" w:themeColor="text2" w:themeTint="99"/>
                <w:sz w:val="22"/>
                <w:szCs w:val="22"/>
              </w:rPr>
            </w:pPr>
            <w:r w:rsidRPr="00367F5B">
              <w:rPr>
                <w:color w:val="548DD4" w:themeColor="text2" w:themeTint="99"/>
                <w:sz w:val="22"/>
                <w:szCs w:val="22"/>
              </w:rPr>
              <w:t>2009</w:t>
            </w:r>
          </w:p>
        </w:tc>
        <w:tc>
          <w:tcPr>
            <w:tcW w:w="981" w:type="dxa"/>
            <w:vAlign w:val="center"/>
          </w:tcPr>
          <w:p w:rsidR="00FC3062" w:rsidRPr="00367F5B" w:rsidRDefault="00FC3062" w:rsidP="00FC3062">
            <w:pPr>
              <w:jc w:val="center"/>
              <w:cnfStyle w:val="100000000000"/>
              <w:rPr>
                <w:color w:val="548DD4" w:themeColor="text2" w:themeTint="99"/>
                <w:sz w:val="22"/>
                <w:szCs w:val="22"/>
              </w:rPr>
            </w:pPr>
            <w:r w:rsidRPr="00367F5B">
              <w:rPr>
                <w:color w:val="548DD4" w:themeColor="text2" w:themeTint="99"/>
                <w:sz w:val="22"/>
                <w:szCs w:val="22"/>
              </w:rPr>
              <w:t>2010</w:t>
            </w:r>
          </w:p>
          <w:p w:rsidR="00FC3062" w:rsidRPr="00367F5B" w:rsidRDefault="00FC3062" w:rsidP="00FC3062">
            <w:pPr>
              <w:jc w:val="center"/>
              <w:cnfStyle w:val="100000000000"/>
              <w:rPr>
                <w:color w:val="548DD4" w:themeColor="text2" w:themeTint="99"/>
                <w:sz w:val="22"/>
                <w:szCs w:val="22"/>
              </w:rPr>
            </w:pPr>
            <w:r w:rsidRPr="00367F5B">
              <w:rPr>
                <w:color w:val="548DD4" w:themeColor="text2" w:themeTint="99"/>
                <w:sz w:val="22"/>
                <w:szCs w:val="22"/>
              </w:rPr>
              <w:t>(est.)*</w:t>
            </w:r>
          </w:p>
        </w:tc>
        <w:tc>
          <w:tcPr>
            <w:tcW w:w="996" w:type="dxa"/>
            <w:vAlign w:val="center"/>
          </w:tcPr>
          <w:p w:rsidR="00FC3062" w:rsidRPr="00367F5B" w:rsidRDefault="00FC3062" w:rsidP="00FC3062">
            <w:pPr>
              <w:jc w:val="center"/>
              <w:cnfStyle w:val="100000000000"/>
              <w:rPr>
                <w:color w:val="548DD4" w:themeColor="text2" w:themeTint="99"/>
                <w:sz w:val="22"/>
                <w:szCs w:val="22"/>
              </w:rPr>
            </w:pPr>
            <w:r w:rsidRPr="00367F5B">
              <w:rPr>
                <w:color w:val="548DD4" w:themeColor="text2" w:themeTint="99"/>
                <w:sz w:val="22"/>
                <w:szCs w:val="22"/>
              </w:rPr>
              <w:t>2011</w:t>
            </w:r>
          </w:p>
          <w:p w:rsidR="00FC3062" w:rsidRPr="00367F5B" w:rsidRDefault="00FC3062" w:rsidP="00FC3062">
            <w:pPr>
              <w:jc w:val="center"/>
              <w:cnfStyle w:val="100000000000"/>
              <w:rPr>
                <w:color w:val="548DD4" w:themeColor="text2" w:themeTint="99"/>
                <w:sz w:val="22"/>
                <w:szCs w:val="22"/>
              </w:rPr>
            </w:pPr>
            <w:r w:rsidRPr="00367F5B">
              <w:rPr>
                <w:color w:val="548DD4" w:themeColor="text2" w:themeTint="99"/>
                <w:sz w:val="22"/>
                <w:szCs w:val="22"/>
              </w:rPr>
              <w:t>(proj.)*</w:t>
            </w:r>
          </w:p>
        </w:tc>
        <w:tc>
          <w:tcPr>
            <w:tcW w:w="996" w:type="dxa"/>
            <w:vAlign w:val="center"/>
          </w:tcPr>
          <w:p w:rsidR="00FC3062" w:rsidRPr="00367F5B" w:rsidRDefault="00FC3062" w:rsidP="00FC3062">
            <w:pPr>
              <w:jc w:val="center"/>
              <w:cnfStyle w:val="100000000000"/>
              <w:rPr>
                <w:color w:val="548DD4" w:themeColor="text2" w:themeTint="99"/>
                <w:sz w:val="22"/>
                <w:szCs w:val="22"/>
              </w:rPr>
            </w:pPr>
            <w:r w:rsidRPr="00367F5B">
              <w:rPr>
                <w:color w:val="548DD4" w:themeColor="text2" w:themeTint="99"/>
                <w:sz w:val="22"/>
                <w:szCs w:val="22"/>
              </w:rPr>
              <w:t>2012</w:t>
            </w:r>
          </w:p>
          <w:p w:rsidR="00FC3062" w:rsidRPr="00367F5B" w:rsidRDefault="00FC3062" w:rsidP="00FC3062">
            <w:pPr>
              <w:jc w:val="center"/>
              <w:cnfStyle w:val="100000000000"/>
              <w:rPr>
                <w:color w:val="548DD4" w:themeColor="text2" w:themeTint="99"/>
                <w:sz w:val="22"/>
                <w:szCs w:val="22"/>
              </w:rPr>
            </w:pPr>
            <w:r w:rsidRPr="00367F5B">
              <w:rPr>
                <w:color w:val="548DD4" w:themeColor="text2" w:themeTint="99"/>
                <w:sz w:val="22"/>
                <w:szCs w:val="22"/>
              </w:rPr>
              <w:t>(proj.)*</w:t>
            </w:r>
          </w:p>
        </w:tc>
        <w:tc>
          <w:tcPr>
            <w:tcW w:w="996" w:type="dxa"/>
            <w:vAlign w:val="center"/>
          </w:tcPr>
          <w:p w:rsidR="00FC3062" w:rsidRPr="00367F5B" w:rsidRDefault="00FC3062" w:rsidP="00FC3062">
            <w:pPr>
              <w:jc w:val="center"/>
              <w:cnfStyle w:val="100000000000"/>
              <w:rPr>
                <w:color w:val="548DD4" w:themeColor="text2" w:themeTint="99"/>
                <w:sz w:val="22"/>
                <w:szCs w:val="22"/>
              </w:rPr>
            </w:pPr>
            <w:r w:rsidRPr="00367F5B">
              <w:rPr>
                <w:color w:val="548DD4" w:themeColor="text2" w:themeTint="99"/>
                <w:sz w:val="22"/>
                <w:szCs w:val="22"/>
              </w:rPr>
              <w:t>2013</w:t>
            </w:r>
          </w:p>
          <w:p w:rsidR="00FC3062" w:rsidRPr="00367F5B" w:rsidRDefault="00FC3062" w:rsidP="00FC3062">
            <w:pPr>
              <w:jc w:val="center"/>
              <w:cnfStyle w:val="100000000000"/>
              <w:rPr>
                <w:color w:val="548DD4" w:themeColor="text2" w:themeTint="99"/>
                <w:sz w:val="22"/>
                <w:szCs w:val="22"/>
              </w:rPr>
            </w:pPr>
            <w:r w:rsidRPr="00367F5B">
              <w:rPr>
                <w:color w:val="548DD4" w:themeColor="text2" w:themeTint="99"/>
                <w:sz w:val="22"/>
                <w:szCs w:val="22"/>
              </w:rPr>
              <w:t>(proj.)*</w:t>
            </w:r>
          </w:p>
        </w:tc>
        <w:tc>
          <w:tcPr>
            <w:tcW w:w="1168" w:type="dxa"/>
            <w:vAlign w:val="center"/>
          </w:tcPr>
          <w:p w:rsidR="00FC3062" w:rsidRPr="00367F5B" w:rsidRDefault="00FC3062" w:rsidP="00FC3062">
            <w:pPr>
              <w:jc w:val="center"/>
              <w:cnfStyle w:val="100000000000"/>
              <w:rPr>
                <w:color w:val="548DD4" w:themeColor="text2" w:themeTint="99"/>
                <w:sz w:val="22"/>
                <w:szCs w:val="22"/>
              </w:rPr>
            </w:pPr>
            <w:r w:rsidRPr="00367F5B">
              <w:rPr>
                <w:color w:val="548DD4" w:themeColor="text2" w:themeTint="99"/>
                <w:sz w:val="22"/>
                <w:szCs w:val="22"/>
              </w:rPr>
              <w:t>2014</w:t>
            </w:r>
          </w:p>
          <w:p w:rsidR="00FC3062" w:rsidRPr="00367F5B" w:rsidRDefault="00FC3062" w:rsidP="00FC3062">
            <w:pPr>
              <w:jc w:val="center"/>
              <w:cnfStyle w:val="100000000000"/>
              <w:rPr>
                <w:color w:val="548DD4" w:themeColor="text2" w:themeTint="99"/>
                <w:sz w:val="22"/>
                <w:szCs w:val="22"/>
              </w:rPr>
            </w:pPr>
            <w:r w:rsidRPr="00367F5B">
              <w:rPr>
                <w:color w:val="548DD4" w:themeColor="text2" w:themeTint="99"/>
                <w:sz w:val="22"/>
                <w:szCs w:val="22"/>
              </w:rPr>
              <w:t>(proj.)*</w:t>
            </w:r>
          </w:p>
        </w:tc>
      </w:tr>
      <w:tr w:rsidR="00FC3062" w:rsidRPr="007A7801" w:rsidTr="00C35E74">
        <w:trPr>
          <w:cnfStyle w:val="000000100000"/>
          <w:trHeight w:val="510"/>
        </w:trPr>
        <w:tc>
          <w:tcPr>
            <w:cnfStyle w:val="001000000000"/>
            <w:tcW w:w="3510" w:type="dxa"/>
            <w:vAlign w:val="center"/>
          </w:tcPr>
          <w:p w:rsidR="00FC3062" w:rsidRPr="00367F5B" w:rsidRDefault="00FC3062" w:rsidP="00FC3062">
            <w:pPr>
              <w:rPr>
                <w:color w:val="548DD4" w:themeColor="text2" w:themeTint="99"/>
                <w:sz w:val="22"/>
                <w:szCs w:val="22"/>
              </w:rPr>
            </w:pPr>
            <w:r w:rsidRPr="00367F5B">
              <w:rPr>
                <w:color w:val="548DD4" w:themeColor="text2" w:themeTint="99"/>
                <w:sz w:val="22"/>
                <w:szCs w:val="22"/>
              </w:rPr>
              <w:t>Real GDP (%)</w:t>
            </w:r>
          </w:p>
        </w:tc>
        <w:tc>
          <w:tcPr>
            <w:tcW w:w="709"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-1</w:t>
            </w:r>
            <w:r w:rsidR="00104072">
              <w:rPr>
                <w:color w:val="548DD4" w:themeColor="text2" w:themeTint="99"/>
                <w:sz w:val="22"/>
                <w:szCs w:val="22"/>
              </w:rPr>
              <w:t>,</w:t>
            </w:r>
            <w:r w:rsidRPr="00367F5B">
              <w:rPr>
                <w:color w:val="548DD4" w:themeColor="text2" w:themeTint="99"/>
                <w:sz w:val="22"/>
                <w:szCs w:val="22"/>
              </w:rPr>
              <w:t>7</w:t>
            </w:r>
          </w:p>
        </w:tc>
        <w:tc>
          <w:tcPr>
            <w:tcW w:w="981"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0</w:t>
            </w:r>
            <w:r w:rsidR="00104072">
              <w:rPr>
                <w:color w:val="548DD4" w:themeColor="text2" w:themeTint="99"/>
                <w:sz w:val="22"/>
                <w:szCs w:val="22"/>
              </w:rPr>
              <w:t>,</w:t>
            </w:r>
            <w:r w:rsidRPr="00367F5B">
              <w:rPr>
                <w:color w:val="548DD4" w:themeColor="text2" w:themeTint="99"/>
                <w:sz w:val="22"/>
                <w:szCs w:val="22"/>
              </w:rPr>
              <w:t>9</w:t>
            </w:r>
          </w:p>
        </w:tc>
        <w:tc>
          <w:tcPr>
            <w:tcW w:w="996"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1</w:t>
            </w:r>
            <w:r w:rsidR="00104072">
              <w:rPr>
                <w:color w:val="548DD4" w:themeColor="text2" w:themeTint="99"/>
                <w:sz w:val="22"/>
                <w:szCs w:val="22"/>
              </w:rPr>
              <w:t>,</w:t>
            </w:r>
            <w:r w:rsidRPr="00367F5B">
              <w:rPr>
                <w:color w:val="548DD4" w:themeColor="text2" w:themeTint="99"/>
                <w:sz w:val="22"/>
                <w:szCs w:val="22"/>
              </w:rPr>
              <w:t>5</w:t>
            </w:r>
          </w:p>
        </w:tc>
        <w:tc>
          <w:tcPr>
            <w:tcW w:w="996"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2</w:t>
            </w:r>
            <w:r w:rsidR="00104072">
              <w:rPr>
                <w:color w:val="548DD4" w:themeColor="text2" w:themeTint="99"/>
                <w:sz w:val="22"/>
                <w:szCs w:val="22"/>
              </w:rPr>
              <w:t>,</w:t>
            </w:r>
            <w:r w:rsidRPr="00367F5B">
              <w:rPr>
                <w:color w:val="548DD4" w:themeColor="text2" w:themeTint="99"/>
                <w:sz w:val="22"/>
                <w:szCs w:val="22"/>
              </w:rPr>
              <w:t>5</w:t>
            </w:r>
          </w:p>
        </w:tc>
        <w:tc>
          <w:tcPr>
            <w:tcW w:w="996"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2</w:t>
            </w:r>
            <w:r w:rsidR="00104072">
              <w:rPr>
                <w:color w:val="548DD4" w:themeColor="text2" w:themeTint="99"/>
                <w:sz w:val="22"/>
                <w:szCs w:val="22"/>
              </w:rPr>
              <w:t>,</w:t>
            </w:r>
            <w:r w:rsidRPr="00367F5B">
              <w:rPr>
                <w:color w:val="548DD4" w:themeColor="text2" w:themeTint="99"/>
                <w:sz w:val="22"/>
                <w:szCs w:val="22"/>
              </w:rPr>
              <w:t>7</w:t>
            </w:r>
          </w:p>
        </w:tc>
        <w:tc>
          <w:tcPr>
            <w:tcW w:w="1168"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3</w:t>
            </w:r>
            <w:r w:rsidR="00104072">
              <w:rPr>
                <w:color w:val="548DD4" w:themeColor="text2" w:themeTint="99"/>
                <w:sz w:val="22"/>
                <w:szCs w:val="22"/>
              </w:rPr>
              <w:t>,</w:t>
            </w:r>
            <w:r w:rsidRPr="00367F5B">
              <w:rPr>
                <w:color w:val="548DD4" w:themeColor="text2" w:themeTint="99"/>
                <w:sz w:val="22"/>
                <w:szCs w:val="22"/>
              </w:rPr>
              <w:t>0</w:t>
            </w:r>
          </w:p>
        </w:tc>
      </w:tr>
      <w:tr w:rsidR="00FC3062" w:rsidRPr="007A7801" w:rsidTr="00C35E74">
        <w:trPr>
          <w:trHeight w:val="510"/>
        </w:trPr>
        <w:tc>
          <w:tcPr>
            <w:cnfStyle w:val="001000000000"/>
            <w:tcW w:w="3510" w:type="dxa"/>
            <w:vAlign w:val="center"/>
          </w:tcPr>
          <w:p w:rsidR="00FC3062" w:rsidRPr="00367F5B" w:rsidRDefault="00FC3062" w:rsidP="00FC3062">
            <w:pPr>
              <w:rPr>
                <w:color w:val="548DD4" w:themeColor="text2" w:themeTint="99"/>
                <w:sz w:val="22"/>
                <w:szCs w:val="22"/>
              </w:rPr>
            </w:pPr>
            <w:r w:rsidRPr="00367F5B">
              <w:rPr>
                <w:color w:val="548DD4" w:themeColor="text2" w:themeTint="99"/>
                <w:sz w:val="22"/>
                <w:szCs w:val="22"/>
              </w:rPr>
              <w:t>Unemployment (%)</w:t>
            </w:r>
          </w:p>
        </w:tc>
        <w:tc>
          <w:tcPr>
            <w:tcW w:w="709" w:type="dxa"/>
            <w:vAlign w:val="center"/>
          </w:tcPr>
          <w:p w:rsidR="00FC3062" w:rsidRPr="00367F5B" w:rsidRDefault="00FC3062" w:rsidP="00FC3062">
            <w:pPr>
              <w:jc w:val="center"/>
              <w:cnfStyle w:val="000000000000"/>
              <w:rPr>
                <w:color w:val="548DD4" w:themeColor="text2" w:themeTint="99"/>
                <w:sz w:val="22"/>
                <w:szCs w:val="22"/>
              </w:rPr>
            </w:pPr>
            <w:r w:rsidRPr="00367F5B">
              <w:rPr>
                <w:color w:val="548DD4" w:themeColor="text2" w:themeTint="99"/>
                <w:sz w:val="22"/>
                <w:szCs w:val="22"/>
              </w:rPr>
              <w:t>5</w:t>
            </w:r>
            <w:r w:rsidR="00104072">
              <w:rPr>
                <w:color w:val="548DD4" w:themeColor="text2" w:themeTint="99"/>
                <w:sz w:val="22"/>
                <w:szCs w:val="22"/>
              </w:rPr>
              <w:t>,</w:t>
            </w:r>
            <w:r w:rsidRPr="00367F5B">
              <w:rPr>
                <w:color w:val="548DD4" w:themeColor="text2" w:themeTint="99"/>
                <w:sz w:val="22"/>
                <w:szCs w:val="22"/>
              </w:rPr>
              <w:t>3</w:t>
            </w:r>
          </w:p>
        </w:tc>
        <w:tc>
          <w:tcPr>
            <w:tcW w:w="981" w:type="dxa"/>
            <w:vAlign w:val="center"/>
          </w:tcPr>
          <w:p w:rsidR="00FC3062" w:rsidRPr="00367F5B" w:rsidRDefault="00FC3062" w:rsidP="00FC3062">
            <w:pPr>
              <w:jc w:val="center"/>
              <w:cnfStyle w:val="000000000000"/>
              <w:rPr>
                <w:color w:val="548DD4" w:themeColor="text2" w:themeTint="99"/>
                <w:sz w:val="22"/>
                <w:szCs w:val="22"/>
              </w:rPr>
            </w:pPr>
            <w:r w:rsidRPr="00367F5B">
              <w:rPr>
                <w:color w:val="548DD4" w:themeColor="text2" w:themeTint="99"/>
                <w:sz w:val="22"/>
                <w:szCs w:val="22"/>
              </w:rPr>
              <w:t>6</w:t>
            </w:r>
            <w:r w:rsidR="00104072">
              <w:rPr>
                <w:color w:val="548DD4" w:themeColor="text2" w:themeTint="99"/>
                <w:sz w:val="22"/>
                <w:szCs w:val="22"/>
              </w:rPr>
              <w:t>,</w:t>
            </w:r>
            <w:r w:rsidRPr="00367F5B">
              <w:rPr>
                <w:color w:val="548DD4" w:themeColor="text2" w:themeTint="99"/>
                <w:sz w:val="22"/>
                <w:szCs w:val="22"/>
              </w:rPr>
              <w:t>2</w:t>
            </w:r>
          </w:p>
        </w:tc>
        <w:tc>
          <w:tcPr>
            <w:tcW w:w="996" w:type="dxa"/>
            <w:vAlign w:val="center"/>
          </w:tcPr>
          <w:p w:rsidR="00FC3062" w:rsidRPr="00367F5B" w:rsidRDefault="00FC3062" w:rsidP="00FC3062">
            <w:pPr>
              <w:jc w:val="center"/>
              <w:cnfStyle w:val="000000000000"/>
              <w:rPr>
                <w:color w:val="548DD4" w:themeColor="text2" w:themeTint="99"/>
                <w:sz w:val="22"/>
                <w:szCs w:val="22"/>
              </w:rPr>
            </w:pPr>
            <w:r w:rsidRPr="00367F5B">
              <w:rPr>
                <w:color w:val="548DD4" w:themeColor="text2" w:themeTint="99"/>
                <w:sz w:val="22"/>
                <w:szCs w:val="22"/>
              </w:rPr>
              <w:t>6</w:t>
            </w:r>
            <w:r w:rsidR="00104072">
              <w:rPr>
                <w:color w:val="548DD4" w:themeColor="text2" w:themeTint="99"/>
                <w:sz w:val="22"/>
                <w:szCs w:val="22"/>
              </w:rPr>
              <w:t>,</w:t>
            </w:r>
            <w:r w:rsidRPr="00367F5B">
              <w:rPr>
                <w:color w:val="548DD4" w:themeColor="text2" w:themeTint="99"/>
                <w:sz w:val="22"/>
                <w:szCs w:val="22"/>
              </w:rPr>
              <w:t>0</w:t>
            </w:r>
          </w:p>
        </w:tc>
        <w:tc>
          <w:tcPr>
            <w:tcW w:w="996" w:type="dxa"/>
            <w:vAlign w:val="center"/>
          </w:tcPr>
          <w:p w:rsidR="00FC3062" w:rsidRPr="00367F5B" w:rsidRDefault="00FC3062" w:rsidP="00FC3062">
            <w:pPr>
              <w:jc w:val="center"/>
              <w:cnfStyle w:val="000000000000"/>
              <w:rPr>
                <w:color w:val="548DD4" w:themeColor="text2" w:themeTint="99"/>
                <w:sz w:val="22"/>
                <w:szCs w:val="22"/>
              </w:rPr>
            </w:pPr>
            <w:r w:rsidRPr="00367F5B">
              <w:rPr>
                <w:color w:val="548DD4" w:themeColor="text2" w:themeTint="99"/>
                <w:sz w:val="22"/>
                <w:szCs w:val="22"/>
              </w:rPr>
              <w:t>5</w:t>
            </w:r>
            <w:r w:rsidR="00104072">
              <w:rPr>
                <w:color w:val="548DD4" w:themeColor="text2" w:themeTint="99"/>
                <w:sz w:val="22"/>
                <w:szCs w:val="22"/>
              </w:rPr>
              <w:t>,</w:t>
            </w:r>
            <w:r w:rsidRPr="00367F5B">
              <w:rPr>
                <w:color w:val="548DD4" w:themeColor="text2" w:themeTint="99"/>
                <w:sz w:val="22"/>
                <w:szCs w:val="22"/>
              </w:rPr>
              <w:t>8</w:t>
            </w:r>
          </w:p>
        </w:tc>
        <w:tc>
          <w:tcPr>
            <w:tcW w:w="996" w:type="dxa"/>
            <w:vAlign w:val="center"/>
          </w:tcPr>
          <w:p w:rsidR="00FC3062" w:rsidRPr="00367F5B" w:rsidRDefault="00FC3062" w:rsidP="00FC3062">
            <w:pPr>
              <w:jc w:val="center"/>
              <w:cnfStyle w:val="000000000000"/>
              <w:rPr>
                <w:color w:val="548DD4" w:themeColor="text2" w:themeTint="99"/>
                <w:sz w:val="22"/>
                <w:szCs w:val="22"/>
              </w:rPr>
            </w:pPr>
            <w:r w:rsidRPr="00367F5B">
              <w:rPr>
                <w:color w:val="548DD4" w:themeColor="text2" w:themeTint="99"/>
                <w:sz w:val="22"/>
                <w:szCs w:val="22"/>
              </w:rPr>
              <w:t>5</w:t>
            </w:r>
            <w:r w:rsidR="00104072">
              <w:rPr>
                <w:color w:val="548DD4" w:themeColor="text2" w:themeTint="99"/>
                <w:sz w:val="22"/>
                <w:szCs w:val="22"/>
              </w:rPr>
              <w:t>,</w:t>
            </w:r>
            <w:r w:rsidRPr="00367F5B">
              <w:rPr>
                <w:color w:val="548DD4" w:themeColor="text2" w:themeTint="99"/>
                <w:sz w:val="22"/>
                <w:szCs w:val="22"/>
              </w:rPr>
              <w:t>5</w:t>
            </w:r>
          </w:p>
        </w:tc>
        <w:tc>
          <w:tcPr>
            <w:tcW w:w="1168" w:type="dxa"/>
            <w:vAlign w:val="center"/>
          </w:tcPr>
          <w:p w:rsidR="00FC3062" w:rsidRPr="00367F5B" w:rsidRDefault="00FC3062" w:rsidP="00FC3062">
            <w:pPr>
              <w:jc w:val="center"/>
              <w:cnfStyle w:val="000000000000"/>
              <w:rPr>
                <w:color w:val="548DD4" w:themeColor="text2" w:themeTint="99"/>
                <w:sz w:val="22"/>
                <w:szCs w:val="22"/>
              </w:rPr>
            </w:pPr>
            <w:r w:rsidRPr="00367F5B">
              <w:rPr>
                <w:color w:val="548DD4" w:themeColor="text2" w:themeTint="99"/>
                <w:sz w:val="22"/>
                <w:szCs w:val="22"/>
              </w:rPr>
              <w:t>5</w:t>
            </w:r>
            <w:r w:rsidR="00104072">
              <w:rPr>
                <w:color w:val="548DD4" w:themeColor="text2" w:themeTint="99"/>
                <w:sz w:val="22"/>
                <w:szCs w:val="22"/>
              </w:rPr>
              <w:t>,</w:t>
            </w:r>
            <w:r w:rsidRPr="00367F5B">
              <w:rPr>
                <w:color w:val="548DD4" w:themeColor="text2" w:themeTint="99"/>
                <w:sz w:val="22"/>
                <w:szCs w:val="22"/>
              </w:rPr>
              <w:t>3</w:t>
            </w:r>
          </w:p>
        </w:tc>
      </w:tr>
      <w:tr w:rsidR="00FC3062" w:rsidRPr="007A7801" w:rsidTr="00C35E74">
        <w:trPr>
          <w:cnfStyle w:val="000000100000"/>
          <w:trHeight w:val="510"/>
        </w:trPr>
        <w:tc>
          <w:tcPr>
            <w:cnfStyle w:val="001000000000"/>
            <w:tcW w:w="3510" w:type="dxa"/>
            <w:vAlign w:val="center"/>
          </w:tcPr>
          <w:p w:rsidR="00FC3062" w:rsidRPr="00367F5B" w:rsidRDefault="00FC3062" w:rsidP="00FC3062">
            <w:pPr>
              <w:rPr>
                <w:color w:val="548DD4" w:themeColor="text2" w:themeTint="99"/>
                <w:sz w:val="22"/>
                <w:szCs w:val="22"/>
              </w:rPr>
            </w:pPr>
            <w:r w:rsidRPr="00367F5B">
              <w:rPr>
                <w:color w:val="548DD4" w:themeColor="text2" w:themeTint="99"/>
                <w:sz w:val="22"/>
                <w:szCs w:val="22"/>
              </w:rPr>
              <w:t>Inflation (HICP, %)</w:t>
            </w:r>
          </w:p>
        </w:tc>
        <w:tc>
          <w:tcPr>
            <w:tcW w:w="709"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0</w:t>
            </w:r>
            <w:r w:rsidR="00104072">
              <w:rPr>
                <w:color w:val="548DD4" w:themeColor="text2" w:themeTint="99"/>
                <w:sz w:val="22"/>
                <w:szCs w:val="22"/>
              </w:rPr>
              <w:t>,</w:t>
            </w:r>
            <w:r w:rsidRPr="00367F5B">
              <w:rPr>
                <w:color w:val="548DD4" w:themeColor="text2" w:themeTint="99"/>
                <w:sz w:val="22"/>
                <w:szCs w:val="22"/>
              </w:rPr>
              <w:t>2</w:t>
            </w:r>
          </w:p>
        </w:tc>
        <w:tc>
          <w:tcPr>
            <w:tcW w:w="981"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2</w:t>
            </w:r>
            <w:r w:rsidR="00104072">
              <w:rPr>
                <w:color w:val="548DD4" w:themeColor="text2" w:themeTint="99"/>
                <w:sz w:val="22"/>
                <w:szCs w:val="22"/>
              </w:rPr>
              <w:t>,</w:t>
            </w:r>
            <w:r w:rsidRPr="00367F5B">
              <w:rPr>
                <w:color w:val="548DD4" w:themeColor="text2" w:themeTint="99"/>
                <w:sz w:val="22"/>
                <w:szCs w:val="22"/>
              </w:rPr>
              <w:t>6</w:t>
            </w:r>
          </w:p>
        </w:tc>
        <w:tc>
          <w:tcPr>
            <w:tcW w:w="996" w:type="dxa"/>
            <w:vAlign w:val="center"/>
          </w:tcPr>
          <w:p w:rsidR="00FC3062" w:rsidRPr="003077B6" w:rsidRDefault="00FC3062" w:rsidP="00FC3062">
            <w:pPr>
              <w:jc w:val="center"/>
              <w:cnfStyle w:val="000000100000"/>
              <w:rPr>
                <w:color w:val="548DD4" w:themeColor="text2" w:themeTint="99"/>
                <w:sz w:val="22"/>
                <w:szCs w:val="22"/>
              </w:rPr>
            </w:pPr>
            <w:r w:rsidRPr="003077B6">
              <w:rPr>
                <w:color w:val="548DD4" w:themeColor="text2" w:themeTint="99"/>
                <w:sz w:val="22"/>
                <w:szCs w:val="22"/>
              </w:rPr>
              <w:t>3</w:t>
            </w:r>
            <w:r w:rsidR="00104072" w:rsidRPr="003077B6">
              <w:rPr>
                <w:color w:val="548DD4" w:themeColor="text2" w:themeTint="99"/>
                <w:sz w:val="22"/>
                <w:szCs w:val="22"/>
              </w:rPr>
              <w:t>,</w:t>
            </w:r>
            <w:r w:rsidR="00DE2946" w:rsidRPr="003077B6">
              <w:rPr>
                <w:color w:val="548DD4" w:themeColor="text2" w:themeTint="99"/>
                <w:sz w:val="22"/>
                <w:szCs w:val="22"/>
              </w:rPr>
              <w:t>4</w:t>
            </w:r>
          </w:p>
        </w:tc>
        <w:tc>
          <w:tcPr>
            <w:tcW w:w="996" w:type="dxa"/>
            <w:vAlign w:val="center"/>
          </w:tcPr>
          <w:p w:rsidR="00FC3062" w:rsidRPr="003077B6" w:rsidRDefault="00FC3062" w:rsidP="00FC3062">
            <w:pPr>
              <w:jc w:val="center"/>
              <w:cnfStyle w:val="000000100000"/>
              <w:rPr>
                <w:color w:val="548DD4" w:themeColor="text2" w:themeTint="99"/>
                <w:sz w:val="22"/>
                <w:szCs w:val="22"/>
              </w:rPr>
            </w:pPr>
            <w:r w:rsidRPr="003077B6">
              <w:rPr>
                <w:color w:val="548DD4" w:themeColor="text2" w:themeTint="99"/>
                <w:sz w:val="22"/>
                <w:szCs w:val="22"/>
              </w:rPr>
              <w:t>2</w:t>
            </w:r>
            <w:r w:rsidR="00104072" w:rsidRPr="003077B6">
              <w:rPr>
                <w:color w:val="548DD4" w:themeColor="text2" w:themeTint="99"/>
                <w:sz w:val="22"/>
                <w:szCs w:val="22"/>
              </w:rPr>
              <w:t>,</w:t>
            </w:r>
            <w:r w:rsidR="00DE2946" w:rsidRPr="003077B6">
              <w:rPr>
                <w:color w:val="548DD4" w:themeColor="text2" w:themeTint="99"/>
                <w:sz w:val="22"/>
                <w:szCs w:val="22"/>
              </w:rPr>
              <w:t>1</w:t>
            </w:r>
          </w:p>
        </w:tc>
        <w:tc>
          <w:tcPr>
            <w:tcW w:w="996" w:type="dxa"/>
            <w:vAlign w:val="center"/>
          </w:tcPr>
          <w:p w:rsidR="00FC3062" w:rsidRPr="003077B6" w:rsidRDefault="00FC3062" w:rsidP="00DE2946">
            <w:pPr>
              <w:jc w:val="center"/>
              <w:cnfStyle w:val="000000100000"/>
              <w:rPr>
                <w:color w:val="548DD4" w:themeColor="text2" w:themeTint="99"/>
                <w:sz w:val="22"/>
                <w:szCs w:val="22"/>
              </w:rPr>
            </w:pPr>
            <w:r w:rsidRPr="003077B6">
              <w:rPr>
                <w:color w:val="548DD4" w:themeColor="text2" w:themeTint="99"/>
                <w:sz w:val="22"/>
                <w:szCs w:val="22"/>
              </w:rPr>
              <w:t>2</w:t>
            </w:r>
            <w:r w:rsidR="00104072" w:rsidRPr="003077B6">
              <w:rPr>
                <w:color w:val="548DD4" w:themeColor="text2" w:themeTint="99"/>
                <w:sz w:val="22"/>
                <w:szCs w:val="22"/>
              </w:rPr>
              <w:t>,</w:t>
            </w:r>
            <w:r w:rsidR="00DE2946" w:rsidRPr="003077B6">
              <w:rPr>
                <w:color w:val="548DD4" w:themeColor="text2" w:themeTint="99"/>
                <w:sz w:val="22"/>
                <w:szCs w:val="22"/>
              </w:rPr>
              <w:t>3</w:t>
            </w:r>
          </w:p>
        </w:tc>
        <w:tc>
          <w:tcPr>
            <w:tcW w:w="1168" w:type="dxa"/>
            <w:vAlign w:val="center"/>
          </w:tcPr>
          <w:p w:rsidR="00FC3062" w:rsidRPr="003077B6" w:rsidRDefault="00FC3062" w:rsidP="00FC3062">
            <w:pPr>
              <w:jc w:val="center"/>
              <w:cnfStyle w:val="000000100000"/>
              <w:rPr>
                <w:color w:val="548DD4" w:themeColor="text2" w:themeTint="99"/>
                <w:sz w:val="22"/>
                <w:szCs w:val="22"/>
              </w:rPr>
            </w:pPr>
            <w:r w:rsidRPr="003077B6">
              <w:rPr>
                <w:color w:val="548DD4" w:themeColor="text2" w:themeTint="99"/>
                <w:sz w:val="22"/>
                <w:szCs w:val="22"/>
              </w:rPr>
              <w:t>2</w:t>
            </w:r>
            <w:r w:rsidR="00104072" w:rsidRPr="003077B6">
              <w:rPr>
                <w:color w:val="548DD4" w:themeColor="text2" w:themeTint="99"/>
                <w:sz w:val="22"/>
                <w:szCs w:val="22"/>
              </w:rPr>
              <w:t>,</w:t>
            </w:r>
            <w:r w:rsidR="00DE2946" w:rsidRPr="003077B6">
              <w:rPr>
                <w:color w:val="548DD4" w:themeColor="text2" w:themeTint="99"/>
                <w:sz w:val="22"/>
                <w:szCs w:val="22"/>
              </w:rPr>
              <w:t>5</w:t>
            </w:r>
          </w:p>
        </w:tc>
      </w:tr>
      <w:tr w:rsidR="00FC3062" w:rsidRPr="007A7801" w:rsidTr="00C35E74">
        <w:trPr>
          <w:trHeight w:val="510"/>
        </w:trPr>
        <w:tc>
          <w:tcPr>
            <w:cnfStyle w:val="001000000000"/>
            <w:tcW w:w="3510" w:type="dxa"/>
            <w:vAlign w:val="center"/>
          </w:tcPr>
          <w:p w:rsidR="00FC3062" w:rsidRPr="00367F5B" w:rsidRDefault="00FC3062" w:rsidP="00FC3062">
            <w:pPr>
              <w:rPr>
                <w:color w:val="548DD4" w:themeColor="text2" w:themeTint="99"/>
                <w:sz w:val="22"/>
                <w:szCs w:val="22"/>
              </w:rPr>
            </w:pPr>
            <w:r w:rsidRPr="00367F5B">
              <w:rPr>
                <w:color w:val="548DD4" w:themeColor="text2" w:themeTint="99"/>
                <w:sz w:val="22"/>
                <w:szCs w:val="22"/>
              </w:rPr>
              <w:t>Fiscal Deficit (% of GDP)</w:t>
            </w:r>
          </w:p>
        </w:tc>
        <w:tc>
          <w:tcPr>
            <w:tcW w:w="709" w:type="dxa"/>
            <w:vAlign w:val="center"/>
          </w:tcPr>
          <w:p w:rsidR="00FC3062" w:rsidRPr="00367F5B" w:rsidRDefault="00FC3062" w:rsidP="00FC3062">
            <w:pPr>
              <w:jc w:val="center"/>
              <w:cnfStyle w:val="000000000000"/>
              <w:rPr>
                <w:color w:val="548DD4" w:themeColor="text2" w:themeTint="99"/>
                <w:sz w:val="22"/>
                <w:szCs w:val="22"/>
              </w:rPr>
            </w:pPr>
            <w:r w:rsidRPr="00367F5B">
              <w:rPr>
                <w:color w:val="548DD4" w:themeColor="text2" w:themeTint="99"/>
                <w:sz w:val="22"/>
                <w:szCs w:val="22"/>
              </w:rPr>
              <w:t>-6</w:t>
            </w:r>
            <w:r w:rsidR="00104072">
              <w:rPr>
                <w:color w:val="548DD4" w:themeColor="text2" w:themeTint="99"/>
                <w:sz w:val="22"/>
                <w:szCs w:val="22"/>
              </w:rPr>
              <w:t>,</w:t>
            </w:r>
            <w:r w:rsidRPr="00367F5B">
              <w:rPr>
                <w:color w:val="548DD4" w:themeColor="text2" w:themeTint="99"/>
                <w:sz w:val="22"/>
                <w:szCs w:val="22"/>
              </w:rPr>
              <w:t>0</w:t>
            </w:r>
          </w:p>
        </w:tc>
        <w:tc>
          <w:tcPr>
            <w:tcW w:w="981" w:type="dxa"/>
            <w:vAlign w:val="center"/>
          </w:tcPr>
          <w:p w:rsidR="00FC3062" w:rsidRPr="00367F5B" w:rsidRDefault="00FC3062" w:rsidP="00FC3062">
            <w:pPr>
              <w:jc w:val="center"/>
              <w:cnfStyle w:val="000000000000"/>
              <w:rPr>
                <w:color w:val="548DD4" w:themeColor="text2" w:themeTint="99"/>
                <w:sz w:val="22"/>
                <w:szCs w:val="22"/>
              </w:rPr>
            </w:pPr>
            <w:r w:rsidRPr="00367F5B">
              <w:rPr>
                <w:color w:val="548DD4" w:themeColor="text2" w:themeTint="99"/>
                <w:sz w:val="22"/>
                <w:szCs w:val="22"/>
              </w:rPr>
              <w:t>-5</w:t>
            </w:r>
            <w:r w:rsidR="00104072">
              <w:rPr>
                <w:color w:val="548DD4" w:themeColor="text2" w:themeTint="99"/>
                <w:sz w:val="22"/>
                <w:szCs w:val="22"/>
              </w:rPr>
              <w:t>,</w:t>
            </w:r>
            <w:r w:rsidRPr="00367F5B">
              <w:rPr>
                <w:color w:val="548DD4" w:themeColor="text2" w:themeTint="99"/>
                <w:sz w:val="22"/>
                <w:szCs w:val="22"/>
              </w:rPr>
              <w:t>3</w:t>
            </w:r>
          </w:p>
        </w:tc>
        <w:tc>
          <w:tcPr>
            <w:tcW w:w="996" w:type="dxa"/>
            <w:vAlign w:val="center"/>
          </w:tcPr>
          <w:p w:rsidR="00FC3062" w:rsidRPr="00367F5B" w:rsidRDefault="00FC3062" w:rsidP="00FC3062">
            <w:pPr>
              <w:jc w:val="center"/>
              <w:cnfStyle w:val="000000000000"/>
              <w:rPr>
                <w:color w:val="548DD4" w:themeColor="text2" w:themeTint="99"/>
                <w:sz w:val="22"/>
                <w:szCs w:val="22"/>
              </w:rPr>
            </w:pPr>
            <w:r w:rsidRPr="00367F5B">
              <w:rPr>
                <w:color w:val="548DD4" w:themeColor="text2" w:themeTint="99"/>
                <w:sz w:val="22"/>
                <w:szCs w:val="22"/>
              </w:rPr>
              <w:t>-4</w:t>
            </w:r>
            <w:r w:rsidR="00104072">
              <w:rPr>
                <w:color w:val="548DD4" w:themeColor="text2" w:themeTint="99"/>
                <w:sz w:val="22"/>
                <w:szCs w:val="22"/>
              </w:rPr>
              <w:t>,</w:t>
            </w:r>
            <w:r w:rsidRPr="00367F5B">
              <w:rPr>
                <w:color w:val="548DD4" w:themeColor="text2" w:themeTint="99"/>
                <w:sz w:val="22"/>
                <w:szCs w:val="22"/>
              </w:rPr>
              <w:t>0</w:t>
            </w:r>
          </w:p>
        </w:tc>
        <w:tc>
          <w:tcPr>
            <w:tcW w:w="996" w:type="dxa"/>
            <w:vAlign w:val="center"/>
          </w:tcPr>
          <w:p w:rsidR="00FC3062" w:rsidRPr="00367F5B" w:rsidRDefault="00FC3062" w:rsidP="00FC3062">
            <w:pPr>
              <w:jc w:val="center"/>
              <w:cnfStyle w:val="000000000000"/>
              <w:rPr>
                <w:color w:val="548DD4" w:themeColor="text2" w:themeTint="99"/>
                <w:sz w:val="22"/>
                <w:szCs w:val="22"/>
              </w:rPr>
            </w:pPr>
            <w:r w:rsidRPr="00367F5B">
              <w:rPr>
                <w:color w:val="548DD4" w:themeColor="text2" w:themeTint="99"/>
                <w:sz w:val="22"/>
                <w:szCs w:val="22"/>
              </w:rPr>
              <w:t>-2</w:t>
            </w:r>
            <w:r w:rsidR="00104072">
              <w:rPr>
                <w:color w:val="548DD4" w:themeColor="text2" w:themeTint="99"/>
                <w:sz w:val="22"/>
                <w:szCs w:val="22"/>
              </w:rPr>
              <w:t>,</w:t>
            </w:r>
            <w:r w:rsidRPr="00367F5B">
              <w:rPr>
                <w:color w:val="548DD4" w:themeColor="text2" w:themeTint="99"/>
                <w:sz w:val="22"/>
                <w:szCs w:val="22"/>
              </w:rPr>
              <w:t>6</w:t>
            </w:r>
          </w:p>
        </w:tc>
        <w:tc>
          <w:tcPr>
            <w:tcW w:w="996" w:type="dxa"/>
            <w:vAlign w:val="center"/>
          </w:tcPr>
          <w:p w:rsidR="00FC3062" w:rsidRPr="00367F5B" w:rsidRDefault="00FC3062" w:rsidP="00FC3062">
            <w:pPr>
              <w:jc w:val="center"/>
              <w:cnfStyle w:val="000000000000"/>
              <w:rPr>
                <w:color w:val="548DD4" w:themeColor="text2" w:themeTint="99"/>
                <w:sz w:val="22"/>
                <w:szCs w:val="22"/>
              </w:rPr>
            </w:pPr>
            <w:r w:rsidRPr="00367F5B">
              <w:rPr>
                <w:color w:val="548DD4" w:themeColor="text2" w:themeTint="99"/>
                <w:sz w:val="22"/>
                <w:szCs w:val="22"/>
              </w:rPr>
              <w:t>-2</w:t>
            </w:r>
            <w:r w:rsidR="00104072">
              <w:rPr>
                <w:color w:val="548DD4" w:themeColor="text2" w:themeTint="99"/>
                <w:sz w:val="22"/>
                <w:szCs w:val="22"/>
              </w:rPr>
              <w:t>,</w:t>
            </w:r>
            <w:r w:rsidRPr="00367F5B">
              <w:rPr>
                <w:color w:val="548DD4" w:themeColor="text2" w:themeTint="99"/>
                <w:sz w:val="22"/>
                <w:szCs w:val="22"/>
              </w:rPr>
              <w:t>0</w:t>
            </w:r>
          </w:p>
        </w:tc>
        <w:tc>
          <w:tcPr>
            <w:tcW w:w="1168" w:type="dxa"/>
            <w:vAlign w:val="center"/>
          </w:tcPr>
          <w:p w:rsidR="00FC3062" w:rsidRPr="00367F5B" w:rsidRDefault="00FC3062" w:rsidP="00FC3062">
            <w:pPr>
              <w:jc w:val="center"/>
              <w:cnfStyle w:val="000000000000"/>
              <w:rPr>
                <w:color w:val="548DD4" w:themeColor="text2" w:themeTint="99"/>
                <w:sz w:val="22"/>
                <w:szCs w:val="22"/>
              </w:rPr>
            </w:pPr>
            <w:r w:rsidRPr="00367F5B">
              <w:rPr>
                <w:color w:val="548DD4" w:themeColor="text2" w:themeTint="99"/>
                <w:sz w:val="22"/>
                <w:szCs w:val="22"/>
              </w:rPr>
              <w:t>-1</w:t>
            </w:r>
            <w:r w:rsidR="00104072">
              <w:rPr>
                <w:color w:val="548DD4" w:themeColor="text2" w:themeTint="99"/>
                <w:sz w:val="22"/>
                <w:szCs w:val="22"/>
              </w:rPr>
              <w:t>,</w:t>
            </w:r>
            <w:r w:rsidRPr="00367F5B">
              <w:rPr>
                <w:color w:val="548DD4" w:themeColor="text2" w:themeTint="99"/>
                <w:sz w:val="22"/>
                <w:szCs w:val="22"/>
              </w:rPr>
              <w:t>6</w:t>
            </w:r>
          </w:p>
        </w:tc>
      </w:tr>
      <w:tr w:rsidR="00FC3062" w:rsidRPr="007A7801" w:rsidTr="00C35E74">
        <w:trPr>
          <w:cnfStyle w:val="000000100000"/>
          <w:trHeight w:val="510"/>
        </w:trPr>
        <w:tc>
          <w:tcPr>
            <w:cnfStyle w:val="001000000000"/>
            <w:tcW w:w="3510" w:type="dxa"/>
            <w:vAlign w:val="center"/>
          </w:tcPr>
          <w:p w:rsidR="00FC3062" w:rsidRPr="00367F5B" w:rsidRDefault="00FC3062" w:rsidP="00FC3062">
            <w:pPr>
              <w:rPr>
                <w:color w:val="548DD4" w:themeColor="text2" w:themeTint="99"/>
                <w:sz w:val="22"/>
                <w:szCs w:val="22"/>
              </w:rPr>
            </w:pPr>
            <w:r w:rsidRPr="00367F5B">
              <w:rPr>
                <w:color w:val="548DD4" w:themeColor="text2" w:themeTint="99"/>
                <w:sz w:val="22"/>
                <w:szCs w:val="22"/>
              </w:rPr>
              <w:t>Public Debt  (% of GDP)</w:t>
            </w:r>
          </w:p>
        </w:tc>
        <w:tc>
          <w:tcPr>
            <w:tcW w:w="709"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58</w:t>
            </w:r>
            <w:r w:rsidR="00104072">
              <w:rPr>
                <w:color w:val="548DD4" w:themeColor="text2" w:themeTint="99"/>
                <w:sz w:val="22"/>
                <w:szCs w:val="22"/>
              </w:rPr>
              <w:t>,</w:t>
            </w:r>
            <w:r w:rsidRPr="00367F5B">
              <w:rPr>
                <w:color w:val="548DD4" w:themeColor="text2" w:themeTint="99"/>
                <w:sz w:val="22"/>
                <w:szCs w:val="22"/>
              </w:rPr>
              <w:t>0</w:t>
            </w:r>
          </w:p>
        </w:tc>
        <w:tc>
          <w:tcPr>
            <w:tcW w:w="981"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60</w:t>
            </w:r>
            <w:r w:rsidR="00104072">
              <w:rPr>
                <w:color w:val="548DD4" w:themeColor="text2" w:themeTint="99"/>
                <w:sz w:val="22"/>
                <w:szCs w:val="22"/>
              </w:rPr>
              <w:t>,</w:t>
            </w:r>
            <w:r w:rsidRPr="00367F5B">
              <w:rPr>
                <w:color w:val="548DD4" w:themeColor="text2" w:themeTint="99"/>
                <w:sz w:val="22"/>
                <w:szCs w:val="22"/>
              </w:rPr>
              <w:t>9</w:t>
            </w:r>
          </w:p>
        </w:tc>
        <w:tc>
          <w:tcPr>
            <w:tcW w:w="996"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61</w:t>
            </w:r>
            <w:r w:rsidR="00104072">
              <w:rPr>
                <w:color w:val="548DD4" w:themeColor="text2" w:themeTint="99"/>
                <w:sz w:val="22"/>
                <w:szCs w:val="22"/>
              </w:rPr>
              <w:t>,</w:t>
            </w:r>
            <w:r w:rsidRPr="00367F5B">
              <w:rPr>
                <w:color w:val="548DD4" w:themeColor="text2" w:themeTint="99"/>
                <w:sz w:val="22"/>
                <w:szCs w:val="22"/>
              </w:rPr>
              <w:t>6</w:t>
            </w:r>
          </w:p>
        </w:tc>
        <w:tc>
          <w:tcPr>
            <w:tcW w:w="996"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62</w:t>
            </w:r>
            <w:r w:rsidR="00104072">
              <w:rPr>
                <w:color w:val="548DD4" w:themeColor="text2" w:themeTint="99"/>
                <w:sz w:val="22"/>
                <w:szCs w:val="22"/>
              </w:rPr>
              <w:t>,</w:t>
            </w:r>
            <w:r w:rsidRPr="00367F5B">
              <w:rPr>
                <w:color w:val="548DD4" w:themeColor="text2" w:themeTint="99"/>
                <w:sz w:val="22"/>
                <w:szCs w:val="22"/>
              </w:rPr>
              <w:t>0</w:t>
            </w:r>
          </w:p>
        </w:tc>
        <w:tc>
          <w:tcPr>
            <w:tcW w:w="996"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61</w:t>
            </w:r>
            <w:r w:rsidR="00104072">
              <w:rPr>
                <w:color w:val="548DD4" w:themeColor="text2" w:themeTint="99"/>
                <w:sz w:val="22"/>
                <w:szCs w:val="22"/>
              </w:rPr>
              <w:t>,</w:t>
            </w:r>
            <w:r w:rsidRPr="00367F5B">
              <w:rPr>
                <w:color w:val="548DD4" w:themeColor="text2" w:themeTint="99"/>
                <w:sz w:val="22"/>
                <w:szCs w:val="22"/>
              </w:rPr>
              <w:t>3</w:t>
            </w:r>
          </w:p>
        </w:tc>
        <w:tc>
          <w:tcPr>
            <w:tcW w:w="1168" w:type="dxa"/>
            <w:vAlign w:val="center"/>
          </w:tcPr>
          <w:p w:rsidR="00FC3062" w:rsidRPr="00367F5B" w:rsidRDefault="00FC3062" w:rsidP="00FC3062">
            <w:pPr>
              <w:jc w:val="center"/>
              <w:cnfStyle w:val="000000100000"/>
              <w:rPr>
                <w:color w:val="548DD4" w:themeColor="text2" w:themeTint="99"/>
                <w:sz w:val="22"/>
                <w:szCs w:val="22"/>
              </w:rPr>
            </w:pPr>
            <w:r w:rsidRPr="00367F5B">
              <w:rPr>
                <w:color w:val="548DD4" w:themeColor="text2" w:themeTint="99"/>
                <w:sz w:val="22"/>
                <w:szCs w:val="22"/>
              </w:rPr>
              <w:t>60</w:t>
            </w:r>
            <w:r w:rsidR="00104072">
              <w:rPr>
                <w:color w:val="548DD4" w:themeColor="text2" w:themeTint="99"/>
                <w:sz w:val="22"/>
                <w:szCs w:val="22"/>
              </w:rPr>
              <w:t>,</w:t>
            </w:r>
            <w:r w:rsidRPr="00367F5B">
              <w:rPr>
                <w:color w:val="548DD4" w:themeColor="text2" w:themeTint="99"/>
                <w:sz w:val="22"/>
                <w:szCs w:val="22"/>
              </w:rPr>
              <w:t>1</w:t>
            </w:r>
          </w:p>
        </w:tc>
      </w:tr>
    </w:tbl>
    <w:p w:rsidR="00897884" w:rsidRPr="007A7801" w:rsidRDefault="00897884" w:rsidP="00897884">
      <w:pPr>
        <w:jc w:val="both"/>
        <w:rPr>
          <w:i/>
          <w:sz w:val="20"/>
          <w:szCs w:val="20"/>
        </w:rPr>
      </w:pPr>
      <w:r w:rsidRPr="007A7801">
        <w:rPr>
          <w:i/>
          <w:sz w:val="20"/>
          <w:szCs w:val="20"/>
        </w:rPr>
        <w:t>* Revised projections compared to the Stability Programme 2009-2013</w:t>
      </w:r>
    </w:p>
    <w:p w:rsidR="00897884" w:rsidRPr="007A7801" w:rsidRDefault="00897884" w:rsidP="00897884"/>
    <w:p w:rsidR="00897884" w:rsidRPr="007A7801" w:rsidRDefault="00897884" w:rsidP="00897884">
      <w:pPr>
        <w:jc w:val="both"/>
      </w:pPr>
      <w:r w:rsidRPr="007A7801">
        <w:t>Notwithstanding the high degree of uncertainty for the short-term and medium-term prospects of the economy of Cyprus, the medium-term scenario incorporated in the SP envisages a gradual recovery towards a lower, compared to pre-financial crisis period, potential GDP growth. This macroeconomic scenario takes a conservative stance with regards to the recovery prospects in 2011, and in particular of key sectors of the economy such as tourism, while it foresees further adjustment and contraction in construction.</w:t>
      </w:r>
    </w:p>
    <w:p w:rsidR="00897884" w:rsidRPr="007A7801" w:rsidRDefault="00897884" w:rsidP="00897884">
      <w:pPr>
        <w:jc w:val="both"/>
      </w:pPr>
    </w:p>
    <w:p w:rsidR="00021AFA" w:rsidRDefault="00897884" w:rsidP="00897884">
      <w:pPr>
        <w:jc w:val="both"/>
        <w:sectPr w:rsidR="00021AFA" w:rsidSect="00021AFA">
          <w:type w:val="continuous"/>
          <w:pgSz w:w="12240" w:h="15840"/>
          <w:pgMar w:top="1560" w:right="1440" w:bottom="1296" w:left="1440" w:header="720" w:footer="720" w:gutter="0"/>
          <w:cols w:space="720"/>
          <w:titlePg/>
          <w:docGrid w:linePitch="360"/>
        </w:sectPr>
      </w:pPr>
      <w:r w:rsidRPr="007A7801">
        <w:t xml:space="preserve">This profile is reflected in key determinants of demand. In exports, a gradual recovery is foreseen, in line with the envisaged rebound in foreign demand. For other key components of demand, primarily investment in construction, the SP assumes a further downward correction. </w:t>
      </w:r>
    </w:p>
    <w:p w:rsidR="00897884" w:rsidRPr="007A7801" w:rsidRDefault="00897884" w:rsidP="00897884">
      <w:pPr>
        <w:jc w:val="both"/>
      </w:pPr>
      <w:r w:rsidRPr="007A7801">
        <w:lastRenderedPageBreak/>
        <w:t xml:space="preserve">On the other hand, the SP assumes that private consumption will grow in line with disposable income, thus allowing for some rebalancing of household balance sheets, especially compared with the past few years when consumption expanded briskly. </w:t>
      </w:r>
    </w:p>
    <w:p w:rsidR="00897884" w:rsidRPr="007A7801" w:rsidRDefault="00897884" w:rsidP="00897884">
      <w:pPr>
        <w:jc w:val="both"/>
      </w:pPr>
    </w:p>
    <w:p w:rsidR="00897884" w:rsidRPr="007A7801" w:rsidRDefault="00897884" w:rsidP="00897884">
      <w:pPr>
        <w:jc w:val="both"/>
      </w:pPr>
      <w:r w:rsidRPr="007A7801">
        <w:lastRenderedPageBreak/>
        <w:t xml:space="preserve">Against this background, the </w:t>
      </w:r>
      <w:r w:rsidR="00731D68">
        <w:t>C</w:t>
      </w:r>
      <w:r w:rsidRPr="007A7801">
        <w:t xml:space="preserve">urrent </w:t>
      </w:r>
      <w:r w:rsidR="00731D68">
        <w:t>A</w:t>
      </w:r>
      <w:r w:rsidRPr="007A7801">
        <w:t>ccount deficit is expected to register a gradual downward trend throughout the programming period,</w:t>
      </w:r>
      <w:r w:rsidR="007C364F" w:rsidRPr="007C364F">
        <w:t xml:space="preserve"> </w:t>
      </w:r>
      <w:r w:rsidR="007C364F" w:rsidRPr="003077B6">
        <w:t>reflecting the implied improvement in the public savings investment balance.</w:t>
      </w:r>
    </w:p>
    <w:p w:rsidR="00897884" w:rsidRPr="007A7801" w:rsidRDefault="00897884" w:rsidP="00897884"/>
    <w:p w:rsidR="00514CED" w:rsidRDefault="00897884" w:rsidP="00514CED">
      <w:pPr>
        <w:jc w:val="both"/>
        <w:rPr>
          <w:lang w:val="en-GB"/>
        </w:rPr>
      </w:pPr>
      <w:r w:rsidRPr="007A7801">
        <w:t>In the labour market, the medium-term scenario envisages further, albeit relatively small, employment gains compared to pre-crisis period, mainly resulting from increased participation of foreign workers and a gradual increase in the participation rate of female and old-aged workers. While employment growth will remain positive in some sectors, in other sectors more directly exposed to the foreign demand, such as hotels and restaurants and construction, some increase in unemployment is forecasted. Overall, the gainfully employed population is forecasted to continue increasing at around 0,8% on average per annum. The unemployment rate is expected to fall to around 6% in 2011 and decline thereafter to 5</w:t>
      </w:r>
      <w:r w:rsidRPr="007A7801">
        <w:rPr>
          <w:lang w:val="en-GB"/>
        </w:rPr>
        <w:t>,3</w:t>
      </w:r>
      <w:r w:rsidRPr="007A7801">
        <w:t>% as growth resumes in 2014. Productivity growth is expected to average 1,6% per annum over the medium term, which is above the performance recorded over the period 2004-2008. Real earnings are forecast</w:t>
      </w:r>
      <w:r w:rsidR="00104072">
        <w:t>ed</w:t>
      </w:r>
      <w:r w:rsidRPr="007A7801">
        <w:t xml:space="preserve"> to</w:t>
      </w:r>
      <w:r w:rsidRPr="007A7801">
        <w:rPr>
          <w:lang w:val="en-GB"/>
        </w:rPr>
        <w:t xml:space="preserve"> rise by 1% in 2011-2014 and real unit labour costs will remain negative over the same period. </w:t>
      </w:r>
    </w:p>
    <w:p w:rsidR="00514CED" w:rsidRDefault="00514CED" w:rsidP="00514CED">
      <w:pPr>
        <w:jc w:val="both"/>
        <w:rPr>
          <w:lang w:val="en-GB"/>
        </w:rPr>
      </w:pPr>
    </w:p>
    <w:p w:rsidR="00021AFA" w:rsidRDefault="00514CED" w:rsidP="00021AFA">
      <w:pPr>
        <w:jc w:val="both"/>
        <w:rPr>
          <w:lang w:val="en-GB"/>
        </w:rPr>
      </w:pPr>
      <w:bookmarkStart w:id="4" w:name="_Hlt89764139"/>
      <w:bookmarkStart w:id="5" w:name="_Hlt89764142"/>
      <w:bookmarkStart w:id="6" w:name="_Hlt90277047"/>
      <w:bookmarkStart w:id="7" w:name="_Hlt89764146"/>
      <w:bookmarkStart w:id="8" w:name="_Hlt89764157"/>
      <w:bookmarkStart w:id="9" w:name="_Hlt89764166"/>
      <w:bookmarkStart w:id="10" w:name="_Hlt89764169"/>
      <w:bookmarkStart w:id="11" w:name="_Hlt89764177"/>
      <w:bookmarkStart w:id="12" w:name="_Hlt89764179"/>
      <w:bookmarkStart w:id="13" w:name="_Toc152734628"/>
      <w:bookmarkStart w:id="14" w:name="_Toc152671094"/>
      <w:bookmarkStart w:id="15" w:name="_Toc152667546"/>
      <w:bookmarkStart w:id="16" w:name="_Toc152666246"/>
      <w:bookmarkStart w:id="17" w:name="_Toc152664652"/>
      <w:bookmarkStart w:id="18" w:name="_Toc152663253"/>
      <w:bookmarkStart w:id="19" w:name="_Toc152663173"/>
      <w:bookmarkStart w:id="20" w:name="_Toc152663139"/>
      <w:bookmarkStart w:id="21" w:name="_Toc152660103"/>
      <w:bookmarkStart w:id="22" w:name="_Toc152657163"/>
      <w:bookmarkStart w:id="23" w:name="_Toc152657045"/>
      <w:bookmarkStart w:id="24" w:name="_Toc152656958"/>
      <w:bookmarkStart w:id="25" w:name="_Toc152656901"/>
      <w:bookmarkStart w:id="26" w:name="_Toc152656868"/>
      <w:bookmarkStart w:id="27" w:name="_Toc152587514"/>
      <w:bookmarkStart w:id="28" w:name="_Toc152585149"/>
      <w:bookmarkStart w:id="29" w:name="_Toc152585005"/>
      <w:bookmarkStart w:id="30" w:name="_Toc152584862"/>
      <w:bookmarkStart w:id="31" w:name="_Toc152584793"/>
      <w:bookmarkStart w:id="32" w:name="_Toc152584705"/>
      <w:bookmarkStart w:id="33" w:name="_Toc152584676"/>
      <w:bookmarkStart w:id="34" w:name="_Toc152584350"/>
      <w:bookmarkStart w:id="35" w:name="_Toc152571409"/>
      <w:bookmarkStart w:id="36" w:name="_Toc152571325"/>
      <w:bookmarkStart w:id="37" w:name="_Toc152566959"/>
      <w:bookmarkStart w:id="38" w:name="_Toc152565375"/>
      <w:bookmarkStart w:id="39" w:name="_Toc152564272"/>
      <w:bookmarkStart w:id="40" w:name="_Toc152562847"/>
      <w:bookmarkStart w:id="41" w:name="_Toc152562813"/>
      <w:bookmarkStart w:id="42" w:name="_Toc152562735"/>
      <w:bookmarkStart w:id="43" w:name="_Toc152562300"/>
      <w:bookmarkStart w:id="44" w:name="_Toc152562250"/>
      <w:bookmarkStart w:id="45" w:name="_Toc15256214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14CED">
        <w:rPr>
          <w:lang w:val="en-GB"/>
        </w:rPr>
        <w:t xml:space="preserve">The measures for ensuring the quality and the sustainability of public finances are analysed extensively in the </w:t>
      </w:r>
      <w:r w:rsidR="00104072">
        <w:rPr>
          <w:lang w:val="en-GB"/>
        </w:rPr>
        <w:t>SP</w:t>
      </w:r>
      <w:r w:rsidRPr="00514CED">
        <w:rPr>
          <w:lang w:val="en-GB"/>
        </w:rPr>
        <w:t xml:space="preserve"> which is submitted with the </w:t>
      </w:r>
      <w:r w:rsidR="00104072">
        <w:rPr>
          <w:lang w:val="en-GB"/>
        </w:rPr>
        <w:t>NRP</w:t>
      </w:r>
      <w:r w:rsidRPr="00514CED">
        <w:rPr>
          <w:lang w:val="en-GB"/>
        </w:rPr>
        <w:t>, for the first time, in the context of the “European semester”.</w:t>
      </w:r>
    </w:p>
    <w:p w:rsidR="00021AFA" w:rsidRDefault="00021AFA" w:rsidP="00021AFA">
      <w:pPr>
        <w:jc w:val="both"/>
        <w:rPr>
          <w:b/>
          <w:lang w:val="en-GB"/>
        </w:rPr>
        <w:sectPr w:rsidR="00021AFA" w:rsidSect="00021AFA">
          <w:type w:val="continuous"/>
          <w:pgSz w:w="12240" w:h="15840"/>
          <w:pgMar w:top="1560" w:right="1440" w:bottom="1296" w:left="1440" w:header="720" w:footer="720" w:gutter="0"/>
          <w:cols w:space="720"/>
          <w:titlePg/>
          <w:docGrid w:linePitch="360"/>
        </w:sectPr>
      </w:pPr>
    </w:p>
    <w:p w:rsidR="00897884" w:rsidRPr="00514CED" w:rsidRDefault="00E15E2C" w:rsidP="00E15E2C">
      <w:pPr>
        <w:pStyle w:val="Heading1"/>
        <w:spacing w:before="0"/>
        <w:rPr>
          <w:lang w:val="en-GB"/>
        </w:rPr>
      </w:pPr>
      <w:bookmarkStart w:id="46" w:name="_Toc292454616"/>
      <w:r>
        <w:lastRenderedPageBreak/>
        <w:t>3</w:t>
      </w:r>
      <w:r w:rsidR="00514CED">
        <w:t>. MACROECONOMIC SURVEILLANCE</w:t>
      </w:r>
      <w:bookmarkEnd w:id="46"/>
    </w:p>
    <w:p w:rsidR="00897884" w:rsidRPr="007A7801" w:rsidRDefault="00897884" w:rsidP="007A7801">
      <w:pPr>
        <w:rPr>
          <w:sz w:val="40"/>
          <w:szCs w:val="40"/>
          <w:lang w:val="en-GB"/>
        </w:rPr>
      </w:pPr>
    </w:p>
    <w:p w:rsidR="007A7801" w:rsidRDefault="007A7801" w:rsidP="007A7801">
      <w:pPr>
        <w:jc w:val="both"/>
        <w:rPr>
          <w:highlight w:val="yellow"/>
          <w:lang w:val="en-GB"/>
        </w:rPr>
      </w:pPr>
    </w:p>
    <w:p w:rsidR="00076DF9" w:rsidRPr="007A7801" w:rsidRDefault="00076DF9" w:rsidP="007A7801">
      <w:pPr>
        <w:jc w:val="both"/>
        <w:rPr>
          <w:lang w:val="en-GB"/>
        </w:rPr>
      </w:pPr>
      <w:r w:rsidRPr="00C46D30">
        <w:rPr>
          <w:lang w:val="en-GB"/>
        </w:rPr>
        <w:t>In order to facilitate growth and deliver Europe 2020’s objectives, the European Council has highlighted the need to address bottlenecks constraining growth at national and EU level, including those related to infrastructure and to the working of the internal market. The focus is on medium to long</w:t>
      </w:r>
      <w:r w:rsidR="00104072">
        <w:rPr>
          <w:lang w:val="en-GB"/>
        </w:rPr>
        <w:t>-</w:t>
      </w:r>
      <w:r w:rsidRPr="00C46D30">
        <w:rPr>
          <w:lang w:val="en-GB"/>
        </w:rPr>
        <w:t xml:space="preserve">term challenges and specifically the macro-structural bottlenecks to growth. This encompasses both framework conditions to growth at macro level (budgetary, macro-financial, external imbalances) and growth drivers at macro level (labour utilisation, investment, productivity, competitiveness). The macro-structural bottlenecks to growth have been agreed by the European Commission and each respective Member State. For Cyprus the following </w:t>
      </w:r>
      <w:r w:rsidRPr="00C46D30">
        <w:rPr>
          <w:b/>
          <w:lang w:val="en-GB"/>
        </w:rPr>
        <w:t>five</w:t>
      </w:r>
      <w:r w:rsidRPr="00C46D30">
        <w:rPr>
          <w:lang w:val="en-GB"/>
        </w:rPr>
        <w:t xml:space="preserve"> bottlenecks have been identified:</w:t>
      </w:r>
    </w:p>
    <w:p w:rsidR="00076DF9" w:rsidRPr="007A7801" w:rsidRDefault="00076DF9" w:rsidP="00076DF9">
      <w:pPr>
        <w:jc w:val="both"/>
        <w:rPr>
          <w:b/>
          <w:sz w:val="32"/>
          <w:szCs w:val="32"/>
          <w:lang w:val="en-GB"/>
        </w:rPr>
      </w:pPr>
    </w:p>
    <w:p w:rsidR="00076DF9" w:rsidRPr="007A7801" w:rsidRDefault="00076DF9" w:rsidP="00076DF9">
      <w:pPr>
        <w:jc w:val="both"/>
        <w:rPr>
          <w:b/>
          <w:sz w:val="32"/>
          <w:szCs w:val="32"/>
          <w:lang w:val="en-GB"/>
        </w:rPr>
      </w:pPr>
    </w:p>
    <w:tbl>
      <w:tblPr>
        <w:tblStyle w:val="TableGrid"/>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B8CCE4" w:themeFill="accent1" w:themeFillTint="66"/>
        <w:tblLook w:val="04A0"/>
      </w:tblPr>
      <w:tblGrid>
        <w:gridCol w:w="9356"/>
      </w:tblGrid>
      <w:tr w:rsidR="00076DF9" w:rsidRPr="007A7801" w:rsidTr="00DA2A91">
        <w:trPr>
          <w:trHeight w:val="880"/>
        </w:trPr>
        <w:tc>
          <w:tcPr>
            <w:tcW w:w="9356" w:type="dxa"/>
            <w:shd w:val="clear" w:color="auto" w:fill="B8CCE4" w:themeFill="accent1" w:themeFillTint="66"/>
            <w:vAlign w:val="center"/>
          </w:tcPr>
          <w:p w:rsidR="00076DF9" w:rsidRPr="007A7801" w:rsidRDefault="00076DF9" w:rsidP="00076DF9">
            <w:pPr>
              <w:ind w:left="284" w:hanging="284"/>
              <w:jc w:val="both"/>
              <w:rPr>
                <w:b/>
                <w:color w:val="365F91" w:themeColor="accent1" w:themeShade="BF"/>
                <w:sz w:val="28"/>
                <w:szCs w:val="28"/>
                <w:lang w:val="en-GB"/>
              </w:rPr>
            </w:pPr>
            <w:r w:rsidRPr="007A7801">
              <w:rPr>
                <w:b/>
                <w:color w:val="365F91" w:themeColor="accent1" w:themeShade="BF"/>
                <w:sz w:val="28"/>
                <w:szCs w:val="28"/>
                <w:lang w:val="en-GB"/>
              </w:rPr>
              <w:t>1. Reducing the high general government structural deficit and ensuring the long-term sustainability of public finances in view of population ageing</w:t>
            </w:r>
          </w:p>
        </w:tc>
      </w:tr>
    </w:tbl>
    <w:p w:rsidR="00897884" w:rsidRPr="007A7801" w:rsidRDefault="00897884" w:rsidP="00897884">
      <w:pPr>
        <w:ind w:left="432" w:hanging="432"/>
        <w:jc w:val="both"/>
        <w:rPr>
          <w:b/>
          <w:i/>
          <w:u w:val="single"/>
          <w:lang w:val="en-GB"/>
        </w:rPr>
      </w:pPr>
    </w:p>
    <w:p w:rsidR="00897884" w:rsidRPr="007A7801" w:rsidRDefault="00897884" w:rsidP="00897884">
      <w:pPr>
        <w:tabs>
          <w:tab w:val="left" w:pos="540"/>
        </w:tabs>
        <w:jc w:val="both"/>
        <w:rPr>
          <w:b/>
          <w:i/>
        </w:rPr>
      </w:pPr>
      <w:r w:rsidRPr="007A7801">
        <w:rPr>
          <w:b/>
          <w:i/>
          <w:lang w:val="en-GB"/>
        </w:rPr>
        <w:t xml:space="preserve">“Ensuring the quality and the sustainability of public finances” </w:t>
      </w:r>
      <w:r w:rsidRPr="007A7801">
        <w:rPr>
          <w:b/>
          <w:i/>
        </w:rPr>
        <w:t>(Guideline 1)</w:t>
      </w:r>
    </w:p>
    <w:p w:rsidR="00DA2A91" w:rsidRPr="007A7801" w:rsidRDefault="00DA2A91" w:rsidP="00897884">
      <w:pPr>
        <w:ind w:left="432" w:hanging="432"/>
        <w:jc w:val="both"/>
        <w:rPr>
          <w:b/>
        </w:rPr>
      </w:pPr>
    </w:p>
    <w:p w:rsidR="00897884" w:rsidRPr="007A7801" w:rsidRDefault="00897884" w:rsidP="00897884">
      <w:pPr>
        <w:ind w:left="432" w:hanging="432"/>
        <w:jc w:val="both"/>
        <w:rPr>
          <w:b/>
          <w:lang w:val="en-GB"/>
        </w:rPr>
      </w:pPr>
      <w:r w:rsidRPr="007A7801">
        <w:rPr>
          <w:b/>
        </w:rPr>
        <w:t xml:space="preserve">1.1 </w:t>
      </w:r>
      <w:r w:rsidRPr="007A7801">
        <w:rPr>
          <w:b/>
          <w:lang w:val="en-GB"/>
        </w:rPr>
        <w:t>Fiscal Consolidation</w:t>
      </w:r>
    </w:p>
    <w:p w:rsidR="00897884" w:rsidRPr="007A7801" w:rsidRDefault="00897884" w:rsidP="00897884">
      <w:pPr>
        <w:ind w:left="432" w:hanging="432"/>
        <w:jc w:val="both"/>
        <w:rPr>
          <w:b/>
          <w:lang w:val="en-GB"/>
        </w:rPr>
      </w:pPr>
    </w:p>
    <w:p w:rsidR="00897884" w:rsidRPr="007A7801" w:rsidRDefault="00897884" w:rsidP="00897884">
      <w:pPr>
        <w:pStyle w:val="BodyTextIndent"/>
        <w:spacing w:after="0" w:line="240" w:lineRule="auto"/>
        <w:ind w:left="0"/>
        <w:rPr>
          <w:rFonts w:ascii="Times New Roman" w:hAnsi="Times New Roman"/>
          <w:noProof w:val="0"/>
          <w:sz w:val="24"/>
          <w:szCs w:val="24"/>
          <w:lang w:val="en-GB"/>
        </w:rPr>
      </w:pPr>
      <w:r w:rsidRPr="007A7801">
        <w:rPr>
          <w:rFonts w:ascii="Times New Roman" w:hAnsi="Times New Roman"/>
          <w:noProof w:val="0"/>
          <w:sz w:val="24"/>
          <w:szCs w:val="24"/>
          <w:lang w:val="en-GB"/>
        </w:rPr>
        <w:t xml:space="preserve">The key policy objective is to promote growth and further enhance social cohesion while, at the same time, safeguarding macroeconomic stability, through a sound budgetary strategy. Within this framework, </w:t>
      </w:r>
      <w:r w:rsidRPr="007A7801">
        <w:rPr>
          <w:rFonts w:ascii="Times New Roman" w:hAnsi="Times New Roman"/>
          <w:sz w:val="24"/>
          <w:szCs w:val="24"/>
          <w:lang w:val="en-GB"/>
        </w:rPr>
        <w:t xml:space="preserve">the Government has adopted concrete measures, with a view to containing the fiscal deficit below 3% of GDP in 2012, as recommended by the Council and required by the Stability and Growth Pact.  </w:t>
      </w:r>
    </w:p>
    <w:p w:rsidR="00897884" w:rsidRPr="007A7801" w:rsidRDefault="00897884" w:rsidP="00897884">
      <w:pPr>
        <w:pStyle w:val="NormalJustified"/>
        <w:spacing w:after="0" w:line="240" w:lineRule="auto"/>
        <w:rPr>
          <w:rFonts w:ascii="Times New Roman" w:hAnsi="Times New Roman"/>
          <w:sz w:val="24"/>
          <w:szCs w:val="24"/>
          <w:lang w:val="en-GB"/>
        </w:rPr>
      </w:pPr>
    </w:p>
    <w:p w:rsidR="00897884" w:rsidRPr="007A7801" w:rsidRDefault="00897884" w:rsidP="00897884">
      <w:pPr>
        <w:pStyle w:val="BodyTextIndent"/>
        <w:spacing w:after="0" w:line="240" w:lineRule="auto"/>
        <w:ind w:left="0"/>
        <w:rPr>
          <w:rFonts w:ascii="Times New Roman" w:hAnsi="Times New Roman"/>
          <w:noProof w:val="0"/>
          <w:sz w:val="24"/>
          <w:szCs w:val="24"/>
          <w:lang w:val="en-GB"/>
        </w:rPr>
      </w:pPr>
      <w:r w:rsidRPr="007A7801">
        <w:rPr>
          <w:rFonts w:ascii="Times New Roman" w:hAnsi="Times New Roman"/>
          <w:noProof w:val="0"/>
          <w:sz w:val="24"/>
          <w:szCs w:val="24"/>
          <w:lang w:val="en-GB"/>
        </w:rPr>
        <w:t>Particular emphasis is placed on the need to curtail current expenditure and restructure public spending, in favour of capital expenditure, IT, health and education, which can boost the economy’s growth potential. Redirecting resources towards infrastructure is particularly important at this juncture, taking into consideration the expected negative growth of the construction sector. Emphasis is also attached to enhancing the effectiveness of social spending, through better targeting in favour of the disadvantaged social groups, based on income and other criteria.</w:t>
      </w:r>
    </w:p>
    <w:p w:rsidR="00897884" w:rsidRPr="007A7801" w:rsidRDefault="00897884" w:rsidP="00897884">
      <w:pPr>
        <w:pStyle w:val="BodyTextIndent"/>
        <w:spacing w:after="0" w:line="240" w:lineRule="auto"/>
        <w:ind w:left="0"/>
        <w:rPr>
          <w:rFonts w:ascii="Times New Roman" w:hAnsi="Times New Roman"/>
          <w:noProof w:val="0"/>
          <w:sz w:val="24"/>
          <w:szCs w:val="24"/>
          <w:lang w:val="en-GB"/>
        </w:rPr>
      </w:pPr>
    </w:p>
    <w:p w:rsidR="00897884" w:rsidRPr="007A7801" w:rsidRDefault="00897884" w:rsidP="00897884">
      <w:pPr>
        <w:pStyle w:val="BodyTextIndent"/>
        <w:spacing w:after="0" w:line="240" w:lineRule="auto"/>
        <w:ind w:left="0"/>
        <w:rPr>
          <w:rFonts w:ascii="Times New Roman" w:hAnsi="Times New Roman"/>
          <w:noProof w:val="0"/>
          <w:sz w:val="24"/>
          <w:szCs w:val="24"/>
          <w:lang w:val="en-GB"/>
        </w:rPr>
      </w:pPr>
      <w:r w:rsidRPr="007A7801">
        <w:rPr>
          <w:rFonts w:ascii="Times New Roman" w:hAnsi="Times New Roman"/>
          <w:noProof w:val="0"/>
          <w:sz w:val="24"/>
          <w:szCs w:val="24"/>
          <w:lang w:val="en-GB"/>
        </w:rPr>
        <w:t xml:space="preserve">The concrete measures adopted by the Government are the following: </w:t>
      </w:r>
    </w:p>
    <w:p w:rsidR="00897884" w:rsidRPr="007A7801" w:rsidRDefault="00897884" w:rsidP="00897884">
      <w:pPr>
        <w:pStyle w:val="BodyTextIndent"/>
        <w:spacing w:after="0" w:line="240" w:lineRule="auto"/>
        <w:ind w:left="0"/>
        <w:rPr>
          <w:rFonts w:ascii="Times New Roman" w:hAnsi="Times New Roman"/>
          <w:sz w:val="24"/>
          <w:szCs w:val="24"/>
          <w:lang w:val="en-GB"/>
        </w:rPr>
      </w:pPr>
    </w:p>
    <w:p w:rsidR="00897884" w:rsidRPr="007A7801" w:rsidRDefault="00897884" w:rsidP="00897884">
      <w:pPr>
        <w:rPr>
          <w:i/>
          <w:u w:val="single"/>
        </w:rPr>
      </w:pPr>
      <w:r w:rsidRPr="007A7801">
        <w:rPr>
          <w:i/>
          <w:u w:val="single"/>
        </w:rPr>
        <w:t>Expenditure Measures</w:t>
      </w:r>
    </w:p>
    <w:p w:rsidR="00897884" w:rsidRPr="007A7801" w:rsidRDefault="00897884" w:rsidP="001D09A7">
      <w:pPr>
        <w:numPr>
          <w:ilvl w:val="0"/>
          <w:numId w:val="1"/>
        </w:numPr>
        <w:jc w:val="both"/>
      </w:pPr>
      <w:r w:rsidRPr="007A7801">
        <w:t>Phasing out of fiscal stimulus measures introduced during 2009-2010.</w:t>
      </w:r>
    </w:p>
    <w:p w:rsidR="00897884" w:rsidRPr="007A7801" w:rsidRDefault="00897884" w:rsidP="001D09A7">
      <w:pPr>
        <w:numPr>
          <w:ilvl w:val="0"/>
          <w:numId w:val="1"/>
        </w:numPr>
        <w:jc w:val="both"/>
      </w:pPr>
      <w:r w:rsidRPr="007A7801">
        <w:t>Reduction in personnel numbers.</w:t>
      </w:r>
    </w:p>
    <w:p w:rsidR="00897884" w:rsidRDefault="00897884" w:rsidP="001D09A7">
      <w:pPr>
        <w:numPr>
          <w:ilvl w:val="0"/>
          <w:numId w:val="1"/>
        </w:numPr>
        <w:jc w:val="both"/>
      </w:pPr>
      <w:r w:rsidRPr="007A7801">
        <w:t xml:space="preserve">Cuts in operating expenditure. </w:t>
      </w:r>
    </w:p>
    <w:p w:rsidR="00021AFA" w:rsidRDefault="00021AFA" w:rsidP="00021AFA">
      <w:pPr>
        <w:jc w:val="both"/>
        <w:sectPr w:rsidR="00021AFA" w:rsidSect="00021AFA">
          <w:headerReference w:type="first" r:id="rId19"/>
          <w:pgSz w:w="12240" w:h="15840"/>
          <w:pgMar w:top="1560" w:right="1440" w:bottom="1296" w:left="1440" w:header="720" w:footer="720" w:gutter="0"/>
          <w:cols w:space="720"/>
          <w:titlePg/>
          <w:docGrid w:linePitch="360"/>
        </w:sectPr>
      </w:pPr>
    </w:p>
    <w:p w:rsidR="00F0709B" w:rsidRDefault="00F0709B">
      <w:pPr>
        <w:spacing w:after="200" w:line="276" w:lineRule="auto"/>
      </w:pPr>
      <w:r>
        <w:lastRenderedPageBreak/>
        <w:br w:type="page"/>
      </w:r>
    </w:p>
    <w:p w:rsidR="00F0709B" w:rsidRDefault="00F0709B" w:rsidP="00897884">
      <w:pPr>
        <w:rPr>
          <w:i/>
          <w:u w:val="single"/>
        </w:rPr>
        <w:sectPr w:rsidR="00F0709B" w:rsidSect="00021AFA">
          <w:type w:val="continuous"/>
          <w:pgSz w:w="12240" w:h="15840"/>
          <w:pgMar w:top="1560" w:right="1440" w:bottom="1296" w:left="1440" w:header="720" w:footer="720" w:gutter="0"/>
          <w:cols w:space="720"/>
          <w:titlePg/>
          <w:docGrid w:linePitch="360"/>
        </w:sectPr>
      </w:pPr>
    </w:p>
    <w:p w:rsidR="00897884" w:rsidRPr="007A7801" w:rsidRDefault="00897884" w:rsidP="00897884">
      <w:pPr>
        <w:rPr>
          <w:i/>
          <w:u w:val="single"/>
        </w:rPr>
      </w:pPr>
      <w:r w:rsidRPr="007A7801">
        <w:rPr>
          <w:i/>
          <w:u w:val="single"/>
        </w:rPr>
        <w:lastRenderedPageBreak/>
        <w:t xml:space="preserve">Revenue Measures </w:t>
      </w:r>
    </w:p>
    <w:p w:rsidR="00897884" w:rsidRPr="007A7801" w:rsidRDefault="00897884" w:rsidP="00A073EF">
      <w:pPr>
        <w:pStyle w:val="ListParagraph"/>
        <w:numPr>
          <w:ilvl w:val="0"/>
          <w:numId w:val="44"/>
        </w:numPr>
        <w:ind w:left="284" w:hanging="284"/>
        <w:jc w:val="both"/>
      </w:pPr>
      <w:r w:rsidRPr="007A7801">
        <w:t>Application of the reduced VAT rate on foodstuffs and pharmaceuticals.</w:t>
      </w:r>
    </w:p>
    <w:p w:rsidR="00897884" w:rsidRPr="007A7801" w:rsidRDefault="00897884" w:rsidP="00A073EF">
      <w:pPr>
        <w:pStyle w:val="ListParagraph"/>
        <w:numPr>
          <w:ilvl w:val="0"/>
          <w:numId w:val="44"/>
        </w:numPr>
        <w:ind w:left="284" w:hanging="284"/>
        <w:jc w:val="both"/>
      </w:pPr>
      <w:r w:rsidRPr="007A7801">
        <w:t>Increase of the excise duty rates levied on petroleum products used for transportation purposes.</w:t>
      </w:r>
    </w:p>
    <w:p w:rsidR="00897884" w:rsidRPr="007A7801" w:rsidRDefault="00897884" w:rsidP="00A073EF">
      <w:pPr>
        <w:pStyle w:val="ListParagraph"/>
        <w:numPr>
          <w:ilvl w:val="0"/>
          <w:numId w:val="44"/>
        </w:numPr>
        <w:ind w:left="284" w:hanging="284"/>
        <w:jc w:val="both"/>
      </w:pPr>
      <w:r w:rsidRPr="007A7801">
        <w:t xml:space="preserve">Increase of the excise duties levied on tobacco products.  </w:t>
      </w:r>
    </w:p>
    <w:p w:rsidR="00897884" w:rsidRPr="007A7801" w:rsidRDefault="00897884" w:rsidP="00897884">
      <w:pPr>
        <w:pStyle w:val="BodyTextIndent"/>
        <w:spacing w:after="0" w:line="240" w:lineRule="auto"/>
        <w:rPr>
          <w:rFonts w:ascii="Times New Roman" w:hAnsi="Times New Roman"/>
          <w:noProof w:val="0"/>
          <w:sz w:val="24"/>
          <w:szCs w:val="24"/>
          <w:lang w:val="en-GB"/>
        </w:rPr>
      </w:pPr>
    </w:p>
    <w:p w:rsidR="00897884" w:rsidRPr="007A7801" w:rsidRDefault="00897884" w:rsidP="00897884">
      <w:pPr>
        <w:pStyle w:val="BodyTextIndent"/>
        <w:spacing w:after="0" w:line="240" w:lineRule="auto"/>
        <w:ind w:left="0"/>
        <w:rPr>
          <w:rFonts w:ascii="Times New Roman" w:hAnsi="Times New Roman"/>
          <w:noProof w:val="0"/>
          <w:sz w:val="24"/>
          <w:szCs w:val="24"/>
          <w:lang w:val="en-GB"/>
        </w:rPr>
      </w:pPr>
      <w:r w:rsidRPr="007A7801">
        <w:rPr>
          <w:rFonts w:ascii="Times New Roman" w:hAnsi="Times New Roman"/>
          <w:noProof w:val="0"/>
          <w:sz w:val="24"/>
          <w:szCs w:val="24"/>
          <w:lang w:val="en-GB"/>
        </w:rPr>
        <w:t xml:space="preserve">Additional measures have been agreed with the parties supporting the Government and are planned to be implemented, during 2011, following consultations with stakeholders. These measures include:  </w:t>
      </w:r>
    </w:p>
    <w:p w:rsidR="00897884" w:rsidRPr="007A7801" w:rsidRDefault="00897884" w:rsidP="00A073EF">
      <w:pPr>
        <w:pStyle w:val="BodyTextIndent"/>
        <w:numPr>
          <w:ilvl w:val="0"/>
          <w:numId w:val="43"/>
        </w:numPr>
        <w:tabs>
          <w:tab w:val="clear" w:pos="720"/>
        </w:tabs>
        <w:spacing w:after="0" w:line="240" w:lineRule="auto"/>
        <w:ind w:left="284" w:hanging="284"/>
        <w:rPr>
          <w:rFonts w:ascii="Times New Roman" w:hAnsi="Times New Roman"/>
          <w:noProof w:val="0"/>
          <w:sz w:val="24"/>
          <w:szCs w:val="24"/>
          <w:lang w:val="en-GB"/>
        </w:rPr>
      </w:pPr>
      <w:r w:rsidRPr="007A7801">
        <w:rPr>
          <w:rFonts w:ascii="Times New Roman" w:hAnsi="Times New Roman"/>
          <w:noProof w:val="0"/>
          <w:sz w:val="24"/>
          <w:szCs w:val="24"/>
          <w:lang w:val="en-GB"/>
        </w:rPr>
        <w:t>Application of appropriate tariffs on the consumption of water (EU acquis).</w:t>
      </w:r>
    </w:p>
    <w:p w:rsidR="00897884" w:rsidRPr="007A7801" w:rsidRDefault="00897884" w:rsidP="00A073EF">
      <w:pPr>
        <w:pStyle w:val="BodyTextIndent"/>
        <w:numPr>
          <w:ilvl w:val="0"/>
          <w:numId w:val="43"/>
        </w:numPr>
        <w:tabs>
          <w:tab w:val="clear" w:pos="720"/>
        </w:tabs>
        <w:spacing w:after="0" w:line="240" w:lineRule="auto"/>
        <w:ind w:left="284" w:hanging="284"/>
        <w:rPr>
          <w:rFonts w:ascii="Times New Roman" w:hAnsi="Times New Roman"/>
          <w:noProof w:val="0"/>
          <w:sz w:val="24"/>
          <w:szCs w:val="24"/>
          <w:lang w:val="en-GB"/>
        </w:rPr>
      </w:pPr>
      <w:r w:rsidRPr="007A7801">
        <w:rPr>
          <w:rFonts w:ascii="Times New Roman" w:hAnsi="Times New Roman"/>
          <w:noProof w:val="0"/>
          <w:sz w:val="24"/>
          <w:szCs w:val="24"/>
          <w:lang w:val="en-GB"/>
        </w:rPr>
        <w:t>Levies on the deposits of banks for two years (subject to a minimum profitability).</w:t>
      </w:r>
    </w:p>
    <w:p w:rsidR="00897884" w:rsidRPr="007A7801" w:rsidRDefault="00897884" w:rsidP="00A073EF">
      <w:pPr>
        <w:pStyle w:val="BodyTextIndent"/>
        <w:numPr>
          <w:ilvl w:val="0"/>
          <w:numId w:val="43"/>
        </w:numPr>
        <w:tabs>
          <w:tab w:val="clear" w:pos="720"/>
        </w:tabs>
        <w:spacing w:after="0" w:line="240" w:lineRule="auto"/>
        <w:ind w:left="284" w:hanging="284"/>
        <w:rPr>
          <w:rFonts w:ascii="Times New Roman" w:eastAsia="Times New Roman" w:hAnsi="Times New Roman"/>
          <w:i/>
          <w:noProof w:val="0"/>
          <w:sz w:val="24"/>
          <w:szCs w:val="24"/>
          <w:u w:val="single"/>
        </w:rPr>
      </w:pPr>
      <w:r w:rsidRPr="007A7801">
        <w:rPr>
          <w:rFonts w:ascii="Times New Roman" w:hAnsi="Times New Roman"/>
          <w:noProof w:val="0"/>
          <w:sz w:val="24"/>
          <w:szCs w:val="24"/>
          <w:lang w:val="en-GB"/>
        </w:rPr>
        <w:t>Dialogue with social partners for wage moderation in the broad public sector.</w:t>
      </w:r>
    </w:p>
    <w:p w:rsidR="00897884" w:rsidRPr="007A7801" w:rsidRDefault="00897884" w:rsidP="00897884">
      <w:pPr>
        <w:pStyle w:val="BodyTextIndent"/>
        <w:spacing w:after="0" w:line="240" w:lineRule="auto"/>
        <w:ind w:left="284"/>
        <w:rPr>
          <w:rFonts w:ascii="Times New Roman" w:eastAsia="Times New Roman" w:hAnsi="Times New Roman"/>
          <w:i/>
          <w:noProof w:val="0"/>
          <w:sz w:val="24"/>
          <w:szCs w:val="24"/>
          <w:u w:val="single"/>
        </w:rPr>
      </w:pPr>
    </w:p>
    <w:p w:rsidR="00897884" w:rsidRPr="007A7801" w:rsidRDefault="00897884" w:rsidP="00897884">
      <w:pPr>
        <w:pStyle w:val="BodyTextIndent"/>
        <w:spacing w:after="0" w:line="240" w:lineRule="auto"/>
        <w:ind w:left="0"/>
        <w:rPr>
          <w:rFonts w:ascii="Times New Roman" w:hAnsi="Times New Roman"/>
          <w:noProof w:val="0"/>
          <w:sz w:val="24"/>
          <w:szCs w:val="24"/>
          <w:lang w:val="en-GB"/>
        </w:rPr>
      </w:pPr>
      <w:r w:rsidRPr="007A7801">
        <w:rPr>
          <w:rFonts w:ascii="Times New Roman" w:hAnsi="Times New Roman"/>
          <w:noProof w:val="0"/>
          <w:sz w:val="24"/>
          <w:szCs w:val="24"/>
        </w:rPr>
        <w:t xml:space="preserve">Furthermore, </w:t>
      </w:r>
      <w:r w:rsidRPr="007A7801">
        <w:rPr>
          <w:rFonts w:ascii="Times New Roman" w:hAnsi="Times New Roman"/>
          <w:noProof w:val="0"/>
          <w:sz w:val="24"/>
          <w:szCs w:val="24"/>
          <w:lang w:val="en-GB"/>
        </w:rPr>
        <w:t xml:space="preserve">the Government initiated a dialogue with social partners, with a view to strengthening the viability of the government pension system. In this context, an agreement has been reached with the social partners to appoint an independent actuarial firm, to evaluate the impact of the government pension scheme on public finances. The findings of this study will form the basis for discussions on measures required to improve the viability of the government pensions.  </w:t>
      </w:r>
    </w:p>
    <w:p w:rsidR="00897884" w:rsidRPr="007A7801" w:rsidRDefault="00897884" w:rsidP="00897884">
      <w:pPr>
        <w:rPr>
          <w:i/>
          <w:u w:val="single"/>
          <w:lang w:val="en-GB"/>
        </w:rPr>
      </w:pPr>
    </w:p>
    <w:p w:rsidR="00897884" w:rsidRPr="007A7801" w:rsidRDefault="00897884" w:rsidP="00897884">
      <w:pPr>
        <w:rPr>
          <w:i/>
          <w:u w:val="single"/>
        </w:rPr>
      </w:pPr>
      <w:r w:rsidRPr="007A7801">
        <w:rPr>
          <w:i/>
          <w:u w:val="single"/>
        </w:rPr>
        <w:t>Medium-Term Budgetary Framework</w:t>
      </w:r>
    </w:p>
    <w:p w:rsidR="00897884" w:rsidRPr="007A7801" w:rsidRDefault="00897884" w:rsidP="00897884">
      <w:pPr>
        <w:pStyle w:val="BodyTextIndent"/>
        <w:spacing w:after="0" w:line="240" w:lineRule="auto"/>
        <w:ind w:left="0"/>
        <w:rPr>
          <w:rFonts w:ascii="Times New Roman" w:hAnsi="Times New Roman"/>
          <w:noProof w:val="0"/>
          <w:sz w:val="24"/>
          <w:szCs w:val="24"/>
          <w:lang w:val="en-GB"/>
        </w:rPr>
      </w:pPr>
      <w:r w:rsidRPr="007A7801">
        <w:rPr>
          <w:rFonts w:ascii="Times New Roman" w:hAnsi="Times New Roman"/>
          <w:noProof w:val="0"/>
          <w:sz w:val="24"/>
          <w:szCs w:val="24"/>
          <w:lang w:val="en-GB"/>
        </w:rPr>
        <w:t xml:space="preserve">The Government, in line with the Council’s Recommendation is proceeding with the phased adoption of a 3-year Medium Term Budgetary Framework, which foresees overall expenditure ceilings for each Ministry. The Medium Term Budgetary Framework is still at an early stage of implementation. At this early stage, it has an indicative non-binding character. Furthermore, it is not based on explicit fiscal rules. The Government intends to gradually introduce binding fiscal rules, in order to strengthen the framework.  </w:t>
      </w:r>
    </w:p>
    <w:p w:rsidR="00897884" w:rsidRPr="007A7801" w:rsidRDefault="00897884" w:rsidP="00897884">
      <w:pPr>
        <w:rPr>
          <w:lang w:val="en-GB"/>
        </w:rPr>
      </w:pPr>
    </w:p>
    <w:p w:rsidR="00897884" w:rsidRPr="007A7801" w:rsidRDefault="00897884" w:rsidP="00897884">
      <w:pPr>
        <w:rPr>
          <w:b/>
          <w:lang w:val="en-GB"/>
        </w:rPr>
      </w:pPr>
      <w:r w:rsidRPr="007A7801">
        <w:rPr>
          <w:b/>
        </w:rPr>
        <w:t xml:space="preserve">1.2 </w:t>
      </w:r>
      <w:r w:rsidRPr="007A7801">
        <w:rPr>
          <w:b/>
          <w:lang w:val="en-GB"/>
        </w:rPr>
        <w:t>Reform of the Pension system</w:t>
      </w:r>
    </w:p>
    <w:p w:rsidR="00897884" w:rsidRPr="007A7801" w:rsidRDefault="00897884" w:rsidP="00897884">
      <w:pPr>
        <w:rPr>
          <w:b/>
          <w:u w:val="single"/>
          <w:lang w:val="en-GB"/>
        </w:rPr>
      </w:pPr>
    </w:p>
    <w:p w:rsidR="00897884" w:rsidRPr="007A7801" w:rsidRDefault="00897884" w:rsidP="00897884">
      <w:pPr>
        <w:jc w:val="both"/>
        <w:rPr>
          <w:lang w:val="en-GB"/>
        </w:rPr>
      </w:pPr>
      <w:r w:rsidRPr="007A7801">
        <w:rPr>
          <w:lang w:val="en-GB"/>
        </w:rPr>
        <w:t>Following the parametric reforms introduced in previous years, which have led to a noteworthy extension of the viability of the social security scheme to about the year 2048, draft l</w:t>
      </w:r>
      <w:r w:rsidR="00001F96">
        <w:rPr>
          <w:lang w:val="en-GB"/>
        </w:rPr>
        <w:t>egislation has been prepared aiming</w:t>
      </w:r>
      <w:r w:rsidRPr="007A7801">
        <w:rPr>
          <w:lang w:val="en-GB"/>
        </w:rPr>
        <w:t xml:space="preserve"> at upgrading the investment framework for the reserve of the Social Insurance Fund. Moreover, the Government deposited the amount of €</w:t>
      </w:r>
      <w:r w:rsidRPr="007A7801">
        <w:t>400</w:t>
      </w:r>
      <w:r w:rsidRPr="007A7801">
        <w:rPr>
          <w:lang w:val="en-GB"/>
        </w:rPr>
        <w:t xml:space="preserve"> mln in two instalments, in order to gradually establish €1 bln real reserve by 2013.</w:t>
      </w:r>
    </w:p>
    <w:p w:rsidR="00897884" w:rsidRPr="007A7801" w:rsidRDefault="00897884" w:rsidP="00897884">
      <w:pPr>
        <w:jc w:val="both"/>
        <w:rPr>
          <w:lang w:val="en-GB"/>
        </w:rPr>
      </w:pPr>
    </w:p>
    <w:p w:rsidR="00897884" w:rsidRPr="007A7801" w:rsidRDefault="00897884" w:rsidP="00897884">
      <w:pPr>
        <w:jc w:val="both"/>
        <w:rPr>
          <w:lang w:val="en-GB"/>
        </w:rPr>
      </w:pPr>
      <w:r w:rsidRPr="007A7801">
        <w:rPr>
          <w:lang w:val="en-GB" w:eastAsia="en-GB"/>
        </w:rPr>
        <w:t xml:space="preserve">According to the social insurance legislation, every three years an actuarial valuation exercise takes place primarily to assess the financial position of the </w:t>
      </w:r>
      <w:r w:rsidRPr="007A7801">
        <w:rPr>
          <w:lang w:val="en-GB"/>
        </w:rPr>
        <w:t>Social Insurance System (SIS)</w:t>
      </w:r>
      <w:r w:rsidRPr="007A7801">
        <w:rPr>
          <w:lang w:val="en-GB" w:eastAsia="en-GB"/>
        </w:rPr>
        <w:t xml:space="preserve"> in the long-term. If the study indicates that reforms are required, the Minister of Labour and Social Insurance, after consultation with social partners, may submit proposals to secure the long-term viability of the SIS. </w:t>
      </w:r>
      <w:r w:rsidRPr="007A7801">
        <w:rPr>
          <w:lang w:val="en-GB"/>
        </w:rPr>
        <w:t>Currently, a new actuarial study is being undertaken.</w:t>
      </w:r>
    </w:p>
    <w:p w:rsidR="00F0709B" w:rsidRDefault="00F0709B" w:rsidP="00897884">
      <w:pPr>
        <w:ind w:left="432" w:hanging="432"/>
        <w:jc w:val="both"/>
        <w:rPr>
          <w:b/>
          <w:i/>
          <w:lang w:val="en-GB"/>
        </w:rPr>
        <w:sectPr w:rsidR="00F0709B" w:rsidSect="00021AFA">
          <w:type w:val="continuous"/>
          <w:pgSz w:w="12240" w:h="15840"/>
          <w:pgMar w:top="1560" w:right="1440" w:bottom="1296" w:left="1440" w:header="720" w:footer="720" w:gutter="0"/>
          <w:cols w:space="720"/>
          <w:titlePg/>
          <w:docGrid w:linePitch="360"/>
        </w:sectPr>
      </w:pPr>
    </w:p>
    <w:p w:rsidR="00C35E74" w:rsidRDefault="00C35E74" w:rsidP="00897884">
      <w:pPr>
        <w:ind w:left="432" w:hanging="432"/>
        <w:jc w:val="both"/>
        <w:rPr>
          <w:b/>
          <w:i/>
          <w:lang w:val="en-GB"/>
        </w:rPr>
      </w:pPr>
    </w:p>
    <w:p w:rsidR="00F0709B" w:rsidRDefault="00F0709B" w:rsidP="00897884">
      <w:pPr>
        <w:ind w:left="432" w:hanging="432"/>
        <w:jc w:val="both"/>
        <w:rPr>
          <w:b/>
          <w:i/>
          <w:lang w:val="en-GB"/>
        </w:rPr>
        <w:sectPr w:rsidR="00F0709B" w:rsidSect="00021AFA">
          <w:type w:val="continuous"/>
          <w:pgSz w:w="12240" w:h="15840"/>
          <w:pgMar w:top="1560" w:right="1440" w:bottom="1296" w:left="1440" w:header="720" w:footer="720" w:gutter="0"/>
          <w:cols w:space="720"/>
          <w:titlePg/>
          <w:docGrid w:linePitch="360"/>
        </w:sectPr>
      </w:pPr>
    </w:p>
    <w:p w:rsidR="00F0709B" w:rsidRDefault="00F0709B" w:rsidP="00897884">
      <w:pPr>
        <w:ind w:left="432" w:hanging="432"/>
        <w:jc w:val="both"/>
        <w:rPr>
          <w:b/>
          <w:i/>
          <w:lang w:val="en-GB"/>
        </w:rPr>
      </w:pPr>
    </w:p>
    <w:p w:rsidR="00F0709B" w:rsidRDefault="00F0709B" w:rsidP="00897884">
      <w:pPr>
        <w:ind w:left="432" w:hanging="432"/>
        <w:jc w:val="both"/>
        <w:rPr>
          <w:b/>
          <w:i/>
          <w:lang w:val="en-GB"/>
        </w:rPr>
      </w:pPr>
    </w:p>
    <w:p w:rsidR="00F0709B" w:rsidRDefault="00F0709B" w:rsidP="00897884">
      <w:pPr>
        <w:ind w:left="432" w:hanging="432"/>
        <w:jc w:val="both"/>
        <w:rPr>
          <w:b/>
          <w:i/>
          <w:lang w:val="en-GB"/>
        </w:rPr>
      </w:pPr>
    </w:p>
    <w:p w:rsidR="00F0709B" w:rsidRDefault="00F0709B" w:rsidP="00897884">
      <w:pPr>
        <w:ind w:left="432" w:hanging="432"/>
        <w:jc w:val="both"/>
        <w:rPr>
          <w:b/>
          <w:i/>
          <w:lang w:val="en-GB"/>
        </w:rPr>
        <w:sectPr w:rsidR="00F0709B" w:rsidSect="00021AFA">
          <w:type w:val="continuous"/>
          <w:pgSz w:w="12240" w:h="15840"/>
          <w:pgMar w:top="1560" w:right="1440" w:bottom="1296" w:left="1440" w:header="720" w:footer="720" w:gutter="0"/>
          <w:cols w:space="720"/>
          <w:titlePg/>
          <w:docGrid w:linePitch="360"/>
        </w:sectPr>
      </w:pPr>
    </w:p>
    <w:p w:rsidR="00F0709B" w:rsidRDefault="00F0709B" w:rsidP="00897884">
      <w:pPr>
        <w:ind w:left="432" w:hanging="432"/>
        <w:jc w:val="both"/>
        <w:rPr>
          <w:b/>
          <w:i/>
          <w:lang w:val="en-GB"/>
        </w:rPr>
      </w:pPr>
    </w:p>
    <w:p w:rsidR="00F0709B" w:rsidRPr="007A7801" w:rsidRDefault="00F0709B" w:rsidP="00897884">
      <w:pPr>
        <w:ind w:left="432" w:hanging="432"/>
        <w:jc w:val="both"/>
        <w:rPr>
          <w:b/>
          <w:i/>
          <w:lang w:val="en-GB"/>
        </w:rPr>
      </w:pPr>
    </w:p>
    <w:p w:rsidR="005158D6" w:rsidRDefault="005158D6" w:rsidP="00897884">
      <w:pPr>
        <w:ind w:left="432" w:hanging="432"/>
        <w:jc w:val="both"/>
        <w:rPr>
          <w:b/>
        </w:rPr>
        <w:sectPr w:rsidR="005158D6" w:rsidSect="00021AFA">
          <w:type w:val="continuous"/>
          <w:pgSz w:w="12240" w:h="15840"/>
          <w:pgMar w:top="1560" w:right="1440" w:bottom="1296" w:left="1440" w:header="720" w:footer="720" w:gutter="0"/>
          <w:cols w:space="720"/>
          <w:titlePg/>
          <w:docGrid w:linePitch="360"/>
        </w:sectPr>
      </w:pPr>
    </w:p>
    <w:p w:rsidR="00897884" w:rsidRPr="007A7801" w:rsidRDefault="00897884" w:rsidP="00897884">
      <w:pPr>
        <w:ind w:left="432" w:hanging="432"/>
        <w:jc w:val="both"/>
        <w:rPr>
          <w:b/>
          <w:lang w:val="en-GB"/>
        </w:rPr>
      </w:pPr>
      <w:r w:rsidRPr="007A7801">
        <w:rPr>
          <w:b/>
        </w:rPr>
        <w:lastRenderedPageBreak/>
        <w:t>1.</w:t>
      </w:r>
      <w:r w:rsidRPr="007A7801">
        <w:rPr>
          <w:b/>
          <w:lang w:val="en-GB"/>
        </w:rPr>
        <w:t>3</w:t>
      </w:r>
      <w:r w:rsidRPr="007A7801">
        <w:rPr>
          <w:b/>
        </w:rPr>
        <w:t xml:space="preserve"> </w:t>
      </w:r>
      <w:r w:rsidRPr="007A7801">
        <w:rPr>
          <w:b/>
          <w:lang w:val="en-GB"/>
        </w:rPr>
        <w:t xml:space="preserve">Reform of the Health Care System </w:t>
      </w:r>
    </w:p>
    <w:p w:rsidR="00897884" w:rsidRPr="007A7801" w:rsidRDefault="00897884" w:rsidP="00897884">
      <w:pPr>
        <w:ind w:left="432" w:hanging="432"/>
        <w:jc w:val="both"/>
        <w:rPr>
          <w:b/>
          <w:u w:val="single"/>
          <w:lang w:val="en-GB"/>
        </w:rPr>
      </w:pPr>
    </w:p>
    <w:p w:rsidR="00897884" w:rsidRPr="007A7801" w:rsidRDefault="00897884" w:rsidP="001D09A7">
      <w:pPr>
        <w:pStyle w:val="ListParagraph"/>
        <w:numPr>
          <w:ilvl w:val="0"/>
          <w:numId w:val="26"/>
        </w:numPr>
        <w:ind w:left="284" w:hanging="284"/>
        <w:jc w:val="both"/>
        <w:rPr>
          <w:b/>
          <w:u w:val="single"/>
          <w:lang w:val="en-GB"/>
        </w:rPr>
      </w:pPr>
      <w:r w:rsidRPr="007A7801">
        <w:rPr>
          <w:b/>
          <w:u w:val="single"/>
          <w:lang w:val="en-GB"/>
        </w:rPr>
        <w:t>Public Hospitals Transformation (</w:t>
      </w:r>
      <w:r w:rsidRPr="007A7801">
        <w:rPr>
          <w:b/>
          <w:u w:val="single"/>
        </w:rPr>
        <w:t xml:space="preserve">Autonomisation/ </w:t>
      </w:r>
      <w:r w:rsidRPr="007A7801">
        <w:rPr>
          <w:b/>
          <w:u w:val="single"/>
          <w:lang w:val="en-GB"/>
        </w:rPr>
        <w:t>Reorganisation)</w:t>
      </w:r>
    </w:p>
    <w:p w:rsidR="00897884" w:rsidRPr="007A7801" w:rsidRDefault="00897884" w:rsidP="00897884">
      <w:pPr>
        <w:ind w:left="360"/>
        <w:jc w:val="both"/>
        <w:rPr>
          <w:b/>
          <w:u w:val="single"/>
          <w:lang w:val="en-GB"/>
        </w:rPr>
      </w:pPr>
    </w:p>
    <w:p w:rsidR="00897884" w:rsidRPr="007A7801" w:rsidRDefault="00897884" w:rsidP="00897884">
      <w:pPr>
        <w:jc w:val="both"/>
        <w:rPr>
          <w:lang w:val="en-GB"/>
        </w:rPr>
      </w:pPr>
      <w:r w:rsidRPr="007A7801">
        <w:rPr>
          <w:lang w:val="en-GB"/>
        </w:rPr>
        <w:t>To be able to adapt to anticipated challenges, exercise effective cost control on health spending and improve the quality of health care provision</w:t>
      </w:r>
      <w:r w:rsidRPr="007A7801">
        <w:t>,</w:t>
      </w:r>
      <w:r w:rsidRPr="007A7801">
        <w:rPr>
          <w:lang w:val="en-GB"/>
        </w:rPr>
        <w:t xml:space="preserve"> the Ministry of Health aims at </w:t>
      </w:r>
      <w:r w:rsidR="00104072">
        <w:rPr>
          <w:lang w:val="en-GB"/>
        </w:rPr>
        <w:t xml:space="preserve">the </w:t>
      </w:r>
      <w:r w:rsidRPr="007A7801">
        <w:rPr>
          <w:lang w:val="en-GB"/>
        </w:rPr>
        <w:t xml:space="preserve">transitioning </w:t>
      </w:r>
      <w:r w:rsidR="00104072">
        <w:rPr>
          <w:lang w:val="en-GB"/>
        </w:rPr>
        <w:t xml:space="preserve">of </w:t>
      </w:r>
      <w:r w:rsidRPr="007A7801">
        <w:rPr>
          <w:lang w:val="en-GB"/>
        </w:rPr>
        <w:t xml:space="preserve">public hospitals from state – owned to autonomous hospitals. To this end, draft legislation was prepared as a starting point, to serve as a basis for a productive dialogue with stakeholders. However, the whole process is delayed mainly because of uncertainties concerning the change of the current employment status of employees in public hospitals. </w:t>
      </w:r>
    </w:p>
    <w:p w:rsidR="00897884" w:rsidRPr="007A7801" w:rsidRDefault="00897884" w:rsidP="00897884">
      <w:pPr>
        <w:jc w:val="both"/>
        <w:rPr>
          <w:lang w:val="en-GB"/>
        </w:rPr>
      </w:pPr>
    </w:p>
    <w:p w:rsidR="00897884" w:rsidRPr="007A7801" w:rsidRDefault="00897884" w:rsidP="001D09A7">
      <w:pPr>
        <w:pStyle w:val="ListParagraph"/>
        <w:numPr>
          <w:ilvl w:val="0"/>
          <w:numId w:val="26"/>
        </w:numPr>
        <w:ind w:left="284" w:hanging="284"/>
        <w:jc w:val="both"/>
        <w:rPr>
          <w:b/>
          <w:u w:val="single"/>
          <w:lang w:val="en-GB"/>
        </w:rPr>
      </w:pPr>
      <w:r w:rsidRPr="007A7801">
        <w:rPr>
          <w:b/>
          <w:u w:val="single"/>
          <w:lang w:val="en-GB"/>
        </w:rPr>
        <w:t>Implementation of the National Health Insurance System (NHIS)</w:t>
      </w:r>
    </w:p>
    <w:p w:rsidR="00897884" w:rsidRPr="007A7801" w:rsidRDefault="00897884" w:rsidP="00897884">
      <w:pPr>
        <w:ind w:left="360"/>
        <w:jc w:val="both"/>
        <w:rPr>
          <w:b/>
          <w:u w:val="single"/>
          <w:lang w:val="en-GB"/>
        </w:rPr>
      </w:pPr>
    </w:p>
    <w:p w:rsidR="00897884" w:rsidRPr="007A7801" w:rsidRDefault="00897884" w:rsidP="00897884">
      <w:pPr>
        <w:jc w:val="both"/>
        <w:rPr>
          <w:lang w:val="en-GB"/>
        </w:rPr>
      </w:pPr>
      <w:r w:rsidRPr="007A7801">
        <w:rPr>
          <w:lang w:val="en-GB"/>
        </w:rPr>
        <w:t>The kick-off date of NHIS is repeatedly postponed and the implementation of the scheme is rather slow due to mainly three reasons: a) the government’s need to reassess the implementation of the scheme, especially as regards its costs implications, b) the negative impact the world financial turmoil had on the economy and the need of the government to ensure sound public finances and c) the unpredicted time consuming tender procedures associated with the introduction of the new system.</w:t>
      </w:r>
    </w:p>
    <w:p w:rsidR="00897884" w:rsidRPr="007A7801" w:rsidRDefault="00897884" w:rsidP="00897884">
      <w:pPr>
        <w:jc w:val="both"/>
        <w:rPr>
          <w:lang w:val="en-GB"/>
        </w:rPr>
      </w:pPr>
    </w:p>
    <w:p w:rsidR="00897884" w:rsidRPr="007A7801" w:rsidRDefault="00897884" w:rsidP="00897884">
      <w:pPr>
        <w:jc w:val="both"/>
        <w:rPr>
          <w:lang w:val="en-GB"/>
        </w:rPr>
      </w:pPr>
      <w:r w:rsidRPr="007A7801">
        <w:rPr>
          <w:lang w:val="en-GB"/>
        </w:rPr>
        <w:t>In spite of the slow overall progress of the scheme, the Health Insurance Organi</w:t>
      </w:r>
      <w:r w:rsidR="00104072">
        <w:rPr>
          <w:lang w:val="en-GB"/>
        </w:rPr>
        <w:t>s</w:t>
      </w:r>
      <w:r w:rsidRPr="007A7801">
        <w:rPr>
          <w:lang w:val="en-GB"/>
        </w:rPr>
        <w:t>ation is working on the dialogue with the physicians of the private sector with regard to global budgeting and updating cost evaluation of the scheme taking into consideration current developments in the health sector.</w:t>
      </w:r>
    </w:p>
    <w:p w:rsidR="00897884" w:rsidRPr="007A7801" w:rsidRDefault="00897884" w:rsidP="00897884">
      <w:pPr>
        <w:jc w:val="both"/>
        <w:rPr>
          <w:lang w:val="en-GB"/>
        </w:rPr>
      </w:pPr>
    </w:p>
    <w:p w:rsidR="00897884" w:rsidRPr="007A7801" w:rsidRDefault="00897884" w:rsidP="00897884">
      <w:pPr>
        <w:ind w:left="432" w:hanging="432"/>
        <w:jc w:val="both"/>
        <w:rPr>
          <w:b/>
          <w:lang w:val="en-GB"/>
        </w:rPr>
      </w:pPr>
      <w:r w:rsidRPr="007A7801">
        <w:rPr>
          <w:b/>
          <w:lang w:val="en-GB"/>
        </w:rPr>
        <w:t>1.4 Medium-Term Budgetary Framework</w:t>
      </w:r>
    </w:p>
    <w:p w:rsidR="00897884" w:rsidRPr="007A7801" w:rsidRDefault="00897884" w:rsidP="00897884">
      <w:pPr>
        <w:ind w:left="432" w:hanging="432"/>
        <w:jc w:val="both"/>
        <w:rPr>
          <w:b/>
          <w:lang w:val="en-GB"/>
        </w:rPr>
      </w:pPr>
    </w:p>
    <w:p w:rsidR="00897884" w:rsidRPr="007A7801" w:rsidRDefault="00897884" w:rsidP="00897884">
      <w:pPr>
        <w:jc w:val="both"/>
        <w:rPr>
          <w:bCs/>
          <w:iCs/>
          <w:lang w:val="en-GB"/>
        </w:rPr>
      </w:pPr>
      <w:r w:rsidRPr="007A7801">
        <w:rPr>
          <w:bCs/>
          <w:iCs/>
          <w:lang w:val="en-GB"/>
        </w:rPr>
        <w:t xml:space="preserve">A Medium-Term Budgetary Framework (MTBF), which commenced in 2006, is intended to lead to a containment of expenditures by line ministries and, at the same time, promote the reallocation of expenditure in favour of growth - enhancing activities, consistent with the priorities set by the </w:t>
      </w:r>
      <w:r w:rsidR="00104072">
        <w:rPr>
          <w:bCs/>
          <w:iCs/>
          <w:lang w:val="en-GB"/>
        </w:rPr>
        <w:t>NRP</w:t>
      </w:r>
      <w:r w:rsidRPr="007A7801">
        <w:rPr>
          <w:bCs/>
          <w:iCs/>
          <w:lang w:val="en-GB"/>
        </w:rPr>
        <w:t>.</w:t>
      </w:r>
    </w:p>
    <w:p w:rsidR="00897884" w:rsidRPr="007A7801" w:rsidRDefault="00897884" w:rsidP="00897884">
      <w:pPr>
        <w:jc w:val="both"/>
        <w:rPr>
          <w:bCs/>
          <w:iCs/>
          <w:lang w:val="en-GB"/>
        </w:rPr>
      </w:pPr>
    </w:p>
    <w:p w:rsidR="00897884" w:rsidRPr="007A7801" w:rsidRDefault="00897884" w:rsidP="00897884">
      <w:pPr>
        <w:jc w:val="both"/>
        <w:rPr>
          <w:lang w:val="en-GB"/>
        </w:rPr>
      </w:pPr>
      <w:r w:rsidRPr="007A7801">
        <w:rPr>
          <w:lang w:val="en-GB"/>
        </w:rPr>
        <w:t xml:space="preserve">More specifically, budgetary reforms require that ministries and other government spending agencies enter a process of redesigning their annual budgets, using </w:t>
      </w:r>
      <w:r w:rsidR="00104072">
        <w:rPr>
          <w:lang w:val="en-GB"/>
        </w:rPr>
        <w:t xml:space="preserve">the </w:t>
      </w:r>
      <w:r w:rsidRPr="007A7801">
        <w:rPr>
          <w:lang w:val="en-GB"/>
        </w:rPr>
        <w:t>new Medium-Term Budgetary Framework (MTBF) and Programme and Performance Budgeting (PPB) methods.</w:t>
      </w:r>
    </w:p>
    <w:p w:rsidR="00897884" w:rsidRPr="007A7801" w:rsidRDefault="00897884" w:rsidP="00897884">
      <w:pPr>
        <w:jc w:val="both"/>
        <w:rPr>
          <w:highlight w:val="yellow"/>
          <w:lang w:val="en-GB"/>
        </w:rPr>
      </w:pPr>
    </w:p>
    <w:p w:rsidR="00897884" w:rsidRPr="007A7801" w:rsidRDefault="00897884" w:rsidP="00897884">
      <w:pPr>
        <w:jc w:val="both"/>
        <w:rPr>
          <w:lang w:val="en-GB"/>
        </w:rPr>
      </w:pPr>
      <w:r w:rsidRPr="007A7801">
        <w:rPr>
          <w:lang w:val="en-GB"/>
        </w:rPr>
        <w:t>These new methods are being introduced progressively from 2007, with all spending agencies being required to prepare rolling over three-year budget of indicative nature. The first steps for introducing the new PPB framework were taken in 2007, with the implementation of pilot projects, covering three ministries. In 2008, the number of ministries and spending agencies, adopting this approach, increased and it is expected that all agencies will prepare their financial year (FY) 2013 budgets according to both the traditional (input-based) budget method and the new PPB/MTBF format. This will enable all spending agencies to have at least two “trial” years, in which the new methods can be developed, tested and refined.</w:t>
      </w:r>
    </w:p>
    <w:p w:rsidR="00897884" w:rsidRPr="007A7801" w:rsidRDefault="00897884" w:rsidP="00897884">
      <w:pPr>
        <w:jc w:val="both"/>
        <w:rPr>
          <w:highlight w:val="yellow"/>
          <w:lang w:val="en-GB"/>
        </w:rPr>
      </w:pPr>
    </w:p>
    <w:p w:rsidR="008B2893" w:rsidRDefault="00897884" w:rsidP="00897884">
      <w:pPr>
        <w:jc w:val="both"/>
        <w:rPr>
          <w:lang w:val="en-GB"/>
        </w:rPr>
        <w:sectPr w:rsidR="008B2893" w:rsidSect="00021AFA">
          <w:type w:val="continuous"/>
          <w:pgSz w:w="12240" w:h="15840"/>
          <w:pgMar w:top="1560" w:right="1440" w:bottom="1296" w:left="1440" w:header="720" w:footer="720" w:gutter="0"/>
          <w:cols w:space="720"/>
          <w:titlePg/>
          <w:docGrid w:linePitch="360"/>
        </w:sectPr>
      </w:pPr>
      <w:r w:rsidRPr="007A7801">
        <w:rPr>
          <w:lang w:val="en-GB"/>
        </w:rPr>
        <w:t xml:space="preserve">During this trial period, the Treasury Department has been upgrading the accounting software Financial Management Accounting System (FIMAS) to a newer version that is capable of </w:t>
      </w:r>
    </w:p>
    <w:p w:rsidR="00897884" w:rsidRPr="007A7801" w:rsidRDefault="00897884" w:rsidP="00897884">
      <w:pPr>
        <w:jc w:val="both"/>
        <w:rPr>
          <w:lang w:val="en-GB"/>
        </w:rPr>
      </w:pPr>
      <w:r w:rsidRPr="007A7801">
        <w:rPr>
          <w:lang w:val="en-GB"/>
        </w:rPr>
        <w:lastRenderedPageBreak/>
        <w:t>supporting the new budgetary methods and classifications. The new MTBF/PPB approach will become the official (and only) budget method from FY 2014 onwards.</w:t>
      </w:r>
    </w:p>
    <w:p w:rsidR="00897884" w:rsidRPr="007A7801" w:rsidRDefault="00897884" w:rsidP="00897884">
      <w:pPr>
        <w:jc w:val="both"/>
        <w:rPr>
          <w:lang w:val="en-GB"/>
        </w:rPr>
      </w:pPr>
    </w:p>
    <w:p w:rsidR="00897884" w:rsidRPr="007A7801" w:rsidRDefault="00897884" w:rsidP="00897884">
      <w:pPr>
        <w:jc w:val="both"/>
        <w:rPr>
          <w:lang w:val="en-GB"/>
        </w:rPr>
      </w:pPr>
      <w:r w:rsidRPr="007A7801">
        <w:rPr>
          <w:lang w:val="en-GB"/>
        </w:rPr>
        <w:t xml:space="preserve">Overall, the MTBF budgeting should enable managers to plan activities more effectively, by incorporating the amount of financing required to sustain a particular government policy, budget activity or expenditure project over several years. </w:t>
      </w:r>
    </w:p>
    <w:p w:rsidR="00897884" w:rsidRPr="007A7801" w:rsidRDefault="00897884" w:rsidP="00897884">
      <w:pPr>
        <w:jc w:val="both"/>
        <w:rPr>
          <w:lang w:val="en-GB"/>
        </w:rPr>
      </w:pPr>
    </w:p>
    <w:p w:rsidR="00897884" w:rsidRPr="007A7801" w:rsidRDefault="00897884" w:rsidP="00897884">
      <w:pPr>
        <w:jc w:val="both"/>
      </w:pPr>
      <w:r w:rsidRPr="007A7801">
        <w:rPr>
          <w:lang w:val="en-GB"/>
        </w:rPr>
        <w:t xml:space="preserve">The Budgetary framework described above as well as additional fiscal rules will be embedded </w:t>
      </w:r>
      <w:r w:rsidRPr="007A7801">
        <w:t xml:space="preserve">in national legislation covering the preparation and implementation of forthcoming Budget Laws thus increasing its effectiveness and binding nature. </w:t>
      </w:r>
    </w:p>
    <w:p w:rsidR="00897884" w:rsidRPr="007A7801" w:rsidRDefault="00897884" w:rsidP="00897884">
      <w:pPr>
        <w:ind w:left="432" w:hanging="432"/>
        <w:jc w:val="both"/>
        <w:rPr>
          <w:b/>
          <w:lang w:val="en-GB"/>
        </w:rPr>
      </w:pPr>
    </w:p>
    <w:p w:rsidR="00076DF9" w:rsidRPr="007A7801" w:rsidRDefault="00076DF9" w:rsidP="00897884">
      <w:pPr>
        <w:ind w:left="432" w:hanging="432"/>
        <w:jc w:val="both"/>
        <w:rPr>
          <w:b/>
          <w:lang w:val="en-GB"/>
        </w:rPr>
      </w:pPr>
    </w:p>
    <w:tbl>
      <w:tblPr>
        <w:tblStyle w:val="TableGrid"/>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B8CCE4" w:themeFill="accent1" w:themeFillTint="66"/>
        <w:tblLook w:val="04A0"/>
      </w:tblPr>
      <w:tblGrid>
        <w:gridCol w:w="9356"/>
      </w:tblGrid>
      <w:tr w:rsidR="00076DF9" w:rsidRPr="007A7801" w:rsidTr="00DA2A91">
        <w:trPr>
          <w:trHeight w:val="1331"/>
        </w:trPr>
        <w:tc>
          <w:tcPr>
            <w:tcW w:w="9356" w:type="dxa"/>
            <w:shd w:val="clear" w:color="auto" w:fill="B8CCE4" w:themeFill="accent1" w:themeFillTint="66"/>
            <w:vAlign w:val="center"/>
          </w:tcPr>
          <w:p w:rsidR="00076DF9" w:rsidRPr="007A7801" w:rsidRDefault="00076DF9" w:rsidP="00076DF9">
            <w:pPr>
              <w:ind w:left="318" w:hanging="318"/>
              <w:jc w:val="both"/>
              <w:rPr>
                <w:b/>
                <w:color w:val="365F91" w:themeColor="accent1" w:themeShade="BF"/>
                <w:lang w:val="en-GB"/>
              </w:rPr>
            </w:pPr>
            <w:r w:rsidRPr="007A7801">
              <w:rPr>
                <w:b/>
                <w:color w:val="365F91" w:themeColor="accent1" w:themeShade="BF"/>
                <w:sz w:val="28"/>
                <w:szCs w:val="28"/>
                <w:lang w:val="en-GB"/>
              </w:rPr>
              <w:t xml:space="preserve">2. Improving efficiency of public spending and ensuring a reallocation of public expenditure towards growth-enhancing items including weakness in energy and transport infrastructure </w:t>
            </w:r>
          </w:p>
        </w:tc>
      </w:tr>
    </w:tbl>
    <w:p w:rsidR="00897884" w:rsidRPr="007A7801" w:rsidRDefault="00897884" w:rsidP="00897884">
      <w:pPr>
        <w:ind w:left="432" w:hanging="432"/>
        <w:jc w:val="both"/>
        <w:rPr>
          <w:b/>
          <w:lang w:val="en-GB"/>
        </w:rPr>
      </w:pPr>
    </w:p>
    <w:p w:rsidR="00897884" w:rsidRPr="007A7801" w:rsidRDefault="00897884" w:rsidP="00897884">
      <w:pPr>
        <w:jc w:val="both"/>
        <w:rPr>
          <w:b/>
          <w:i/>
        </w:rPr>
      </w:pPr>
      <w:r w:rsidRPr="007A7801">
        <w:rPr>
          <w:b/>
          <w:i/>
          <w:lang w:val="en-GB"/>
        </w:rPr>
        <w:t xml:space="preserve">“Ensuring the quality and the sustainability of public finances” </w:t>
      </w:r>
      <w:r w:rsidRPr="007A7801">
        <w:rPr>
          <w:b/>
          <w:i/>
        </w:rPr>
        <w:t>(Guideline 1)</w:t>
      </w:r>
    </w:p>
    <w:p w:rsidR="00897884" w:rsidRDefault="00897884" w:rsidP="00897884">
      <w:pPr>
        <w:jc w:val="both"/>
        <w:rPr>
          <w:bCs/>
          <w:iCs/>
          <w:lang w:val="en-GB"/>
        </w:rPr>
      </w:pPr>
    </w:p>
    <w:p w:rsidR="00897884" w:rsidRPr="007A7801" w:rsidRDefault="00897884" w:rsidP="00897884">
      <w:pPr>
        <w:pStyle w:val="Intent"/>
        <w:spacing w:before="0" w:after="0" w:line="240" w:lineRule="auto"/>
        <w:ind w:left="0"/>
        <w:rPr>
          <w:rFonts w:ascii="Times New Roman" w:hAnsi="Times New Roman"/>
          <w:sz w:val="24"/>
          <w:szCs w:val="24"/>
          <w:lang w:val="en-GB"/>
        </w:rPr>
      </w:pPr>
      <w:r w:rsidRPr="007A7801">
        <w:rPr>
          <w:rFonts w:ascii="Times New Roman" w:hAnsi="Times New Roman"/>
          <w:sz w:val="24"/>
          <w:szCs w:val="24"/>
          <w:lang w:val="en-GB"/>
        </w:rPr>
        <w:t>Improvement in the quality of public finances is an important element of fiscal policy for realising the growth potential and ensuring long-term sustainability of public finances. Considerable attention is being paid to the quality aspects of public expenditure to ensure that growth</w:t>
      </w:r>
      <w:r w:rsidR="00104072">
        <w:rPr>
          <w:rFonts w:ascii="Times New Roman" w:hAnsi="Times New Roman"/>
          <w:sz w:val="24"/>
          <w:szCs w:val="24"/>
          <w:lang w:val="en-GB"/>
        </w:rPr>
        <w:t>-</w:t>
      </w:r>
      <w:r w:rsidRPr="007A7801">
        <w:rPr>
          <w:rFonts w:ascii="Times New Roman" w:hAnsi="Times New Roman"/>
          <w:sz w:val="24"/>
          <w:szCs w:val="24"/>
          <w:lang w:val="en-GB"/>
        </w:rPr>
        <w:t xml:space="preserve">enhancing budgetary items are not squeezed out by uncontrolled expenditure costs or by the growth of inefficient expenditure categories. </w:t>
      </w:r>
    </w:p>
    <w:p w:rsidR="00897884" w:rsidRPr="007A7801" w:rsidRDefault="00897884" w:rsidP="00897884">
      <w:pPr>
        <w:pStyle w:val="Intent"/>
        <w:spacing w:before="0" w:after="0" w:line="240" w:lineRule="auto"/>
        <w:ind w:left="0"/>
        <w:rPr>
          <w:rFonts w:ascii="Times New Roman" w:hAnsi="Times New Roman"/>
          <w:sz w:val="24"/>
          <w:szCs w:val="24"/>
          <w:lang w:val="en-GB"/>
        </w:rPr>
      </w:pPr>
    </w:p>
    <w:p w:rsidR="00897884" w:rsidRPr="007A7801" w:rsidRDefault="00897884" w:rsidP="00897884">
      <w:pPr>
        <w:pStyle w:val="Intent"/>
        <w:spacing w:before="0" w:after="0" w:line="240" w:lineRule="auto"/>
        <w:ind w:left="0"/>
        <w:rPr>
          <w:rFonts w:ascii="Times New Roman" w:hAnsi="Times New Roman"/>
          <w:sz w:val="24"/>
          <w:szCs w:val="24"/>
          <w:lang w:val="en-GB"/>
        </w:rPr>
      </w:pPr>
      <w:r w:rsidRPr="007A7801">
        <w:rPr>
          <w:rFonts w:ascii="Times New Roman" w:hAnsi="Times New Roman"/>
          <w:sz w:val="24"/>
          <w:szCs w:val="24"/>
          <w:lang w:val="en-GB"/>
        </w:rPr>
        <w:t>The spending priorities include infrastructural investment,</w:t>
      </w:r>
      <w:r w:rsidR="00001F96">
        <w:rPr>
          <w:rFonts w:ascii="Times New Roman" w:hAnsi="Times New Roman"/>
          <w:sz w:val="24"/>
          <w:szCs w:val="24"/>
          <w:lang w:val="en-GB"/>
        </w:rPr>
        <w:t xml:space="preserve"> with emphasis on energy and transport,</w:t>
      </w:r>
      <w:r w:rsidRPr="007A7801">
        <w:rPr>
          <w:rFonts w:ascii="Times New Roman" w:hAnsi="Times New Roman"/>
          <w:sz w:val="24"/>
          <w:szCs w:val="24"/>
          <w:lang w:val="en-GB"/>
        </w:rPr>
        <w:t xml:space="preserve"> IT-development, innovation, research, education and health.</w:t>
      </w:r>
    </w:p>
    <w:p w:rsidR="00897884" w:rsidRPr="007A7801" w:rsidRDefault="00897884" w:rsidP="00897884">
      <w:pPr>
        <w:pStyle w:val="Intent"/>
        <w:spacing w:before="0" w:after="0" w:line="240" w:lineRule="auto"/>
        <w:ind w:left="0"/>
        <w:rPr>
          <w:rFonts w:ascii="Times New Roman" w:hAnsi="Times New Roman"/>
          <w:sz w:val="24"/>
          <w:szCs w:val="24"/>
          <w:lang w:val="en-GB"/>
        </w:rPr>
      </w:pPr>
    </w:p>
    <w:p w:rsidR="00897884" w:rsidRPr="007A7801" w:rsidRDefault="00897884" w:rsidP="00897884">
      <w:pPr>
        <w:pStyle w:val="Intent"/>
        <w:spacing w:before="0" w:after="0" w:line="240" w:lineRule="auto"/>
        <w:ind w:left="0"/>
        <w:rPr>
          <w:rFonts w:ascii="Times New Roman" w:hAnsi="Times New Roman"/>
          <w:sz w:val="24"/>
          <w:szCs w:val="24"/>
          <w:lang w:val="en-GB"/>
        </w:rPr>
      </w:pPr>
      <w:r w:rsidRPr="007A7801">
        <w:rPr>
          <w:rFonts w:ascii="Times New Roman" w:hAnsi="Times New Roman"/>
          <w:sz w:val="24"/>
          <w:szCs w:val="24"/>
          <w:lang w:val="en-GB"/>
        </w:rPr>
        <w:t xml:space="preserve">On the revenue side, Government policies aim at preserving the current system, characterised by low marginal tax rates and a wide tax base. </w:t>
      </w:r>
    </w:p>
    <w:p w:rsidR="00897884" w:rsidRPr="007A7801" w:rsidRDefault="00897884" w:rsidP="00897884">
      <w:pPr>
        <w:jc w:val="both"/>
        <w:rPr>
          <w:bCs/>
          <w:iCs/>
          <w:lang w:val="en-GB"/>
        </w:rPr>
      </w:pPr>
    </w:p>
    <w:p w:rsidR="00897884" w:rsidRPr="007A7801" w:rsidRDefault="00897884" w:rsidP="00897884">
      <w:pPr>
        <w:jc w:val="both"/>
        <w:rPr>
          <w:bCs/>
          <w:iCs/>
        </w:rPr>
      </w:pPr>
      <w:r w:rsidRPr="007A7801">
        <w:rPr>
          <w:bCs/>
          <w:iCs/>
        </w:rPr>
        <w:t>A number of structural reforms will assist in the development of strong and flexible public finances, in order to resist any external shocks. The phased introduction of a MTBF is destined to help in containing expenditures by line ministries and, at the same time, promoting the reallocation of expenditure in favour of growth-enhancing activities</w:t>
      </w:r>
      <w:r w:rsidRPr="007A7801">
        <w:rPr>
          <w:rFonts w:eastAsia="Arial Unicode MS"/>
          <w:lang w:eastAsia="zh-CN"/>
        </w:rPr>
        <w:t xml:space="preserve">. </w:t>
      </w:r>
    </w:p>
    <w:p w:rsidR="00897884" w:rsidRPr="007A7801" w:rsidRDefault="00897884" w:rsidP="00897884">
      <w:pPr>
        <w:ind w:left="432" w:hanging="432"/>
        <w:jc w:val="both"/>
        <w:rPr>
          <w:b/>
          <w:lang w:val="en-GB"/>
        </w:rPr>
      </w:pPr>
    </w:p>
    <w:p w:rsidR="00C35E74" w:rsidRPr="007A7801" w:rsidRDefault="00C35E74" w:rsidP="00897884">
      <w:pPr>
        <w:ind w:left="432" w:hanging="432"/>
        <w:jc w:val="both"/>
        <w:rPr>
          <w:b/>
          <w:lang w:val="en-GB"/>
        </w:rPr>
      </w:pPr>
    </w:p>
    <w:p w:rsidR="00C35E74" w:rsidRPr="007A7801" w:rsidRDefault="00C35E74" w:rsidP="00897884">
      <w:pPr>
        <w:ind w:left="432" w:hanging="432"/>
        <w:jc w:val="both"/>
        <w:rPr>
          <w:b/>
          <w:lang w:val="en-GB"/>
        </w:rPr>
      </w:pPr>
    </w:p>
    <w:p w:rsidR="00C35E74" w:rsidRPr="007A7801" w:rsidRDefault="00C35E74" w:rsidP="00897884">
      <w:pPr>
        <w:ind w:left="432" w:hanging="432"/>
        <w:jc w:val="both"/>
        <w:rPr>
          <w:b/>
          <w:lang w:val="en-GB"/>
        </w:rPr>
      </w:pPr>
    </w:p>
    <w:p w:rsidR="00C35E74" w:rsidRPr="007A7801" w:rsidRDefault="00C35E74" w:rsidP="00897884">
      <w:pPr>
        <w:ind w:left="432" w:hanging="432"/>
        <w:jc w:val="both"/>
        <w:rPr>
          <w:b/>
          <w:lang w:val="en-GB"/>
        </w:rPr>
      </w:pPr>
    </w:p>
    <w:p w:rsidR="00C35E74" w:rsidRPr="007A7801" w:rsidRDefault="00C35E74" w:rsidP="00897884">
      <w:pPr>
        <w:ind w:left="432" w:hanging="432"/>
        <w:jc w:val="both"/>
        <w:rPr>
          <w:b/>
          <w:lang w:val="en-GB"/>
        </w:rPr>
      </w:pPr>
    </w:p>
    <w:p w:rsidR="00C35E74" w:rsidRPr="007A7801" w:rsidRDefault="00C35E74" w:rsidP="00897884">
      <w:pPr>
        <w:ind w:left="432" w:hanging="432"/>
        <w:jc w:val="both"/>
        <w:rPr>
          <w:b/>
          <w:lang w:val="en-GB"/>
        </w:rPr>
      </w:pPr>
    </w:p>
    <w:p w:rsidR="005A660A" w:rsidRPr="007A7801" w:rsidRDefault="005A660A" w:rsidP="00897884">
      <w:pPr>
        <w:ind w:left="432" w:hanging="432"/>
        <w:jc w:val="both"/>
        <w:rPr>
          <w:b/>
          <w:lang w:val="en-GB"/>
        </w:rPr>
      </w:pPr>
    </w:p>
    <w:p w:rsidR="008B2893" w:rsidRDefault="008B2893" w:rsidP="00076DF9">
      <w:pPr>
        <w:ind w:left="318" w:hanging="318"/>
        <w:jc w:val="both"/>
        <w:rPr>
          <w:b/>
          <w:color w:val="365F91" w:themeColor="accent1" w:themeShade="BF"/>
          <w:sz w:val="28"/>
          <w:szCs w:val="28"/>
          <w:lang w:val="en-GB"/>
        </w:rPr>
        <w:sectPr w:rsidR="008B2893" w:rsidSect="00021AFA">
          <w:type w:val="continuous"/>
          <w:pgSz w:w="12240" w:h="15840"/>
          <w:pgMar w:top="1560" w:right="1440" w:bottom="1296" w:left="1440" w:header="720" w:footer="720" w:gutter="0"/>
          <w:cols w:space="720"/>
          <w:titlePg/>
          <w:docGrid w:linePitch="360"/>
        </w:sectPr>
      </w:pPr>
    </w:p>
    <w:tbl>
      <w:tblPr>
        <w:tblStyle w:val="TableGrid"/>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B8CCE4" w:themeFill="accent1" w:themeFillTint="66"/>
        <w:tblLook w:val="04A0"/>
      </w:tblPr>
      <w:tblGrid>
        <w:gridCol w:w="9356"/>
      </w:tblGrid>
      <w:tr w:rsidR="00076DF9" w:rsidRPr="007A7801" w:rsidTr="00DA2A91">
        <w:trPr>
          <w:trHeight w:val="856"/>
        </w:trPr>
        <w:tc>
          <w:tcPr>
            <w:tcW w:w="9356" w:type="dxa"/>
            <w:shd w:val="clear" w:color="auto" w:fill="B8CCE4" w:themeFill="accent1" w:themeFillTint="66"/>
            <w:vAlign w:val="center"/>
          </w:tcPr>
          <w:p w:rsidR="00076DF9" w:rsidRPr="007A7801" w:rsidRDefault="00076DF9" w:rsidP="00076DF9">
            <w:pPr>
              <w:ind w:left="318" w:hanging="318"/>
              <w:jc w:val="both"/>
              <w:rPr>
                <w:b/>
                <w:color w:val="365F91" w:themeColor="accent1" w:themeShade="BF"/>
                <w:sz w:val="28"/>
                <w:szCs w:val="28"/>
                <w:u w:val="single"/>
                <w:lang w:val="en-GB"/>
              </w:rPr>
            </w:pPr>
            <w:r w:rsidRPr="007A7801">
              <w:rPr>
                <w:b/>
                <w:color w:val="365F91" w:themeColor="accent1" w:themeShade="BF"/>
                <w:sz w:val="28"/>
                <w:szCs w:val="28"/>
                <w:lang w:val="en-GB"/>
              </w:rPr>
              <w:lastRenderedPageBreak/>
              <w:t>3. Ensuring wage and price adjustment to regain and sustain competitiveness</w:t>
            </w:r>
            <w:r w:rsidRPr="007A7801">
              <w:rPr>
                <w:b/>
                <w:color w:val="365F91" w:themeColor="accent1" w:themeShade="BF"/>
                <w:sz w:val="28"/>
                <w:szCs w:val="28"/>
                <w:u w:val="single"/>
                <w:lang w:val="en-GB"/>
              </w:rPr>
              <w:t xml:space="preserve"> </w:t>
            </w:r>
          </w:p>
        </w:tc>
      </w:tr>
    </w:tbl>
    <w:p w:rsidR="00897884" w:rsidRPr="007A7801" w:rsidRDefault="00897884" w:rsidP="00897884">
      <w:pPr>
        <w:tabs>
          <w:tab w:val="left" w:pos="540"/>
        </w:tabs>
        <w:jc w:val="both"/>
        <w:rPr>
          <w:b/>
          <w:i/>
        </w:rPr>
      </w:pPr>
    </w:p>
    <w:p w:rsidR="00897884" w:rsidRPr="007A7801" w:rsidRDefault="00897884" w:rsidP="00897884">
      <w:pPr>
        <w:tabs>
          <w:tab w:val="left" w:pos="540"/>
        </w:tabs>
        <w:jc w:val="both"/>
        <w:rPr>
          <w:b/>
          <w:i/>
        </w:rPr>
      </w:pPr>
      <w:r w:rsidRPr="007A7801">
        <w:rPr>
          <w:b/>
          <w:i/>
        </w:rPr>
        <w:t>“Addressing macroeconomic imbalances” (Guideline 2)</w:t>
      </w:r>
    </w:p>
    <w:p w:rsidR="00897884" w:rsidRPr="007A7801" w:rsidRDefault="00897884" w:rsidP="00897884">
      <w:pPr>
        <w:tabs>
          <w:tab w:val="left" w:pos="540"/>
        </w:tabs>
        <w:jc w:val="both"/>
        <w:rPr>
          <w:b/>
          <w:i/>
        </w:rPr>
      </w:pPr>
      <w:r w:rsidRPr="007A7801">
        <w:rPr>
          <w:b/>
          <w:i/>
        </w:rPr>
        <w:t>“Reducing imbalances within the euro area” (Guideline 3)</w:t>
      </w:r>
    </w:p>
    <w:p w:rsidR="00897884" w:rsidRPr="007A7801" w:rsidRDefault="00897884" w:rsidP="00897884">
      <w:pPr>
        <w:jc w:val="both"/>
        <w:outlineLvl w:val="1"/>
      </w:pPr>
    </w:p>
    <w:p w:rsidR="00897884" w:rsidRPr="007A7801" w:rsidRDefault="00897884" w:rsidP="00897884">
      <w:pPr>
        <w:jc w:val="both"/>
        <w:rPr>
          <w:lang w:val="en-GB"/>
        </w:rPr>
      </w:pPr>
      <w:bookmarkStart w:id="47" w:name="_Toc277591919"/>
      <w:r w:rsidRPr="007A7801">
        <w:rPr>
          <w:lang w:val="en-GB"/>
        </w:rPr>
        <w:t xml:space="preserve">The environment within a common currency area, such as the euro area, is challenging, given that the exchange rate is exogenously determined and it affects competitiveness vis-à-vis third countries. Moreover, competitiveness divergences among the members of the </w:t>
      </w:r>
      <w:r w:rsidR="005A660A" w:rsidRPr="007A7801">
        <w:rPr>
          <w:lang w:val="en-GB"/>
        </w:rPr>
        <w:t>Euro zone</w:t>
      </w:r>
      <w:r w:rsidRPr="007A7801">
        <w:rPr>
          <w:lang w:val="en-GB"/>
        </w:rPr>
        <w:t xml:space="preserve"> cannot be corrected via exchange rate adjustments, therefore price and wage developments play a crucial role in this respect.</w:t>
      </w:r>
      <w:bookmarkEnd w:id="47"/>
    </w:p>
    <w:p w:rsidR="00897884" w:rsidRPr="007A7801" w:rsidRDefault="00897884" w:rsidP="00897884">
      <w:pPr>
        <w:jc w:val="both"/>
        <w:rPr>
          <w:lang w:val="en-GB"/>
        </w:rPr>
      </w:pPr>
    </w:p>
    <w:p w:rsidR="00897884" w:rsidRPr="007A7801" w:rsidRDefault="00897884" w:rsidP="00897884">
      <w:pPr>
        <w:jc w:val="both"/>
        <w:rPr>
          <w:lang w:val="en-GB"/>
        </w:rPr>
      </w:pPr>
      <w:r w:rsidRPr="007A7801">
        <w:rPr>
          <w:lang w:val="en-GB"/>
        </w:rPr>
        <w:t xml:space="preserve">During the post-euro period, the appreciation of the real effective exchange rate (REER) in Cyprus is largely due to movements in the nominal exchange rate, particularly the euro/sterling exchange rate. The observed real appreciation of the REER within the euro area is mainly attributed to the fact that wages growth surpassed the average productivity growth, thus leading to increased unit labour cost. </w:t>
      </w:r>
    </w:p>
    <w:p w:rsidR="00897884" w:rsidRPr="007A7801" w:rsidRDefault="00897884" w:rsidP="00897884">
      <w:pPr>
        <w:jc w:val="both"/>
        <w:rPr>
          <w:lang w:val="en-GB"/>
        </w:rPr>
      </w:pPr>
    </w:p>
    <w:p w:rsidR="00897884" w:rsidRPr="007A7801" w:rsidRDefault="00897884" w:rsidP="00897884">
      <w:pPr>
        <w:jc w:val="both"/>
        <w:rPr>
          <w:lang w:val="en-GB"/>
        </w:rPr>
      </w:pPr>
      <w:r w:rsidRPr="007A7801">
        <w:rPr>
          <w:lang w:val="en-GB"/>
        </w:rPr>
        <w:t xml:space="preserve">However, during the last years, the accelerated influx of foreign workers into the Cypriot labour market, has exercised a downward pressure on wages, thus containing the deterioration of competitiveness. </w:t>
      </w:r>
    </w:p>
    <w:p w:rsidR="00897884" w:rsidRPr="007A7801" w:rsidRDefault="00897884" w:rsidP="00897884">
      <w:pPr>
        <w:jc w:val="both"/>
        <w:rPr>
          <w:lang w:val="en-GB"/>
        </w:rPr>
      </w:pPr>
    </w:p>
    <w:p w:rsidR="00897884" w:rsidRPr="007A7801" w:rsidRDefault="009311F2" w:rsidP="00897884">
      <w:pPr>
        <w:jc w:val="both"/>
        <w:rPr>
          <w:lang w:val="en-GB"/>
        </w:rPr>
      </w:pPr>
      <w:r w:rsidRPr="00B14006">
        <w:rPr>
          <w:lang w:val="en-GB"/>
        </w:rPr>
        <w:t>In terms of the level of labour productivity, Cyprus was ranked 15</w:t>
      </w:r>
      <w:r w:rsidRPr="00B14006">
        <w:rPr>
          <w:vertAlign w:val="superscript"/>
          <w:lang w:val="en-GB"/>
        </w:rPr>
        <w:t>th</w:t>
      </w:r>
      <w:r w:rsidRPr="00B14006">
        <w:rPr>
          <w:lang w:val="en-GB"/>
        </w:rPr>
        <w:t xml:space="preserve"> among the EU27 in 1998 and 16</w:t>
      </w:r>
      <w:r w:rsidRPr="00B14006">
        <w:rPr>
          <w:vertAlign w:val="superscript"/>
          <w:lang w:val="en-GB"/>
        </w:rPr>
        <w:t>th</w:t>
      </w:r>
      <w:r w:rsidRPr="00B14006">
        <w:rPr>
          <w:lang w:val="en-GB"/>
        </w:rPr>
        <w:t xml:space="preserve"> in 2008 but getting closer to the EU27 average (82% in 1998 compared to 88% in 2009).</w:t>
      </w:r>
    </w:p>
    <w:p w:rsidR="00897884" w:rsidRPr="007A7801" w:rsidRDefault="00897884" w:rsidP="00897884">
      <w:pPr>
        <w:jc w:val="both"/>
        <w:rPr>
          <w:lang w:val="en-GB"/>
        </w:rPr>
      </w:pPr>
    </w:p>
    <w:p w:rsidR="00897884" w:rsidRPr="007A7801" w:rsidRDefault="00731D68" w:rsidP="00897884">
      <w:pPr>
        <w:jc w:val="both"/>
        <w:rPr>
          <w:lang w:val="en-GB"/>
        </w:rPr>
      </w:pPr>
      <w:r>
        <w:rPr>
          <w:lang w:val="en-GB"/>
        </w:rPr>
        <w:t>The evolution of the C</w:t>
      </w:r>
      <w:r w:rsidR="00897884" w:rsidRPr="007A7801">
        <w:rPr>
          <w:lang w:val="en-GB"/>
        </w:rPr>
        <w:t xml:space="preserve">urrent </w:t>
      </w:r>
      <w:r>
        <w:rPr>
          <w:lang w:val="en-GB"/>
        </w:rPr>
        <w:t>A</w:t>
      </w:r>
      <w:r w:rsidR="00897884" w:rsidRPr="007A7801">
        <w:rPr>
          <w:lang w:val="en-GB"/>
        </w:rPr>
        <w:t xml:space="preserve">ccount balance shows large disparities between net trade in goods and services. The high deficit in goods and the relatively high surplus in services reflect the shift of the structure of the Cyprus economy towards the tertiary sector. </w:t>
      </w:r>
    </w:p>
    <w:p w:rsidR="00897884" w:rsidRPr="007A7801" w:rsidRDefault="00897884" w:rsidP="00897884">
      <w:pPr>
        <w:jc w:val="both"/>
        <w:rPr>
          <w:lang w:val="en-GB"/>
        </w:rPr>
      </w:pPr>
    </w:p>
    <w:p w:rsidR="00E16ED5" w:rsidRDefault="00731D68" w:rsidP="00897884">
      <w:pPr>
        <w:jc w:val="both"/>
        <w:rPr>
          <w:lang w:val="en-GB"/>
        </w:rPr>
      </w:pPr>
      <w:r>
        <w:rPr>
          <w:lang w:val="en-GB"/>
        </w:rPr>
        <w:t>The C</w:t>
      </w:r>
      <w:r w:rsidR="00897884" w:rsidRPr="007A7801">
        <w:rPr>
          <w:lang w:val="en-GB"/>
        </w:rPr>
        <w:t xml:space="preserve">urrent </w:t>
      </w:r>
      <w:r>
        <w:rPr>
          <w:lang w:val="en-GB"/>
        </w:rPr>
        <w:t>A</w:t>
      </w:r>
      <w:r w:rsidR="00897884" w:rsidRPr="007A7801">
        <w:rPr>
          <w:lang w:val="en-GB"/>
        </w:rPr>
        <w:t xml:space="preserve">ccount deficit has increased considerably in recent years, reaching 18% of GDP in 2008, due to a combination of factors, which include (i) intensified competition in tourism from low cost destinations, (ii) overheating of the economy, caused by a boost of imports and </w:t>
      </w:r>
    </w:p>
    <w:p w:rsidR="00897884" w:rsidRPr="007A7801" w:rsidRDefault="00897884" w:rsidP="00897884">
      <w:pPr>
        <w:jc w:val="both"/>
        <w:rPr>
          <w:lang w:val="en-GB"/>
        </w:rPr>
      </w:pPr>
      <w:r w:rsidRPr="007A7801">
        <w:rPr>
          <w:lang w:val="en-GB"/>
        </w:rPr>
        <w:t xml:space="preserve">(iii) rising oil prices. </w:t>
      </w:r>
    </w:p>
    <w:p w:rsidR="00897884" w:rsidRPr="007A7801" w:rsidRDefault="00897884" w:rsidP="00897884">
      <w:pPr>
        <w:jc w:val="both"/>
        <w:rPr>
          <w:lang w:val="en-GB"/>
        </w:rPr>
      </w:pPr>
    </w:p>
    <w:p w:rsidR="00897884" w:rsidRPr="007A7801" w:rsidRDefault="00897884" w:rsidP="00897884">
      <w:pPr>
        <w:jc w:val="both"/>
        <w:rPr>
          <w:lang w:val="en-GB"/>
        </w:rPr>
      </w:pPr>
      <w:r w:rsidRPr="007A7801">
        <w:rPr>
          <w:lang w:val="en-GB"/>
        </w:rPr>
        <w:t xml:space="preserve">During 2009-2010, the </w:t>
      </w:r>
      <w:r w:rsidR="00731D68">
        <w:rPr>
          <w:lang w:val="en-GB"/>
        </w:rPr>
        <w:t>C</w:t>
      </w:r>
      <w:r w:rsidRPr="007A7801">
        <w:rPr>
          <w:lang w:val="en-GB"/>
        </w:rPr>
        <w:t xml:space="preserve">urrent </w:t>
      </w:r>
      <w:r w:rsidR="00731D68">
        <w:rPr>
          <w:lang w:val="en-GB"/>
        </w:rPr>
        <w:t>A</w:t>
      </w:r>
      <w:r w:rsidRPr="007A7801">
        <w:rPr>
          <w:lang w:val="en-GB"/>
        </w:rPr>
        <w:t xml:space="preserve">ccount balance improved markedly, reflecting the satisfactory performance of exports of services other than tourism (mainly business and financial services) and the containment of import demand, reflecting the slowdown of economic growth. Nevertheless, the deficit remains relatively high and close monitoring as well as corrective measures are needed in order to bring about a sustained improvement. </w:t>
      </w:r>
    </w:p>
    <w:p w:rsidR="00897884" w:rsidRPr="007A7801" w:rsidRDefault="00897884" w:rsidP="00897884">
      <w:pPr>
        <w:jc w:val="both"/>
        <w:outlineLvl w:val="1"/>
        <w:rPr>
          <w:lang w:val="en-GB"/>
        </w:rPr>
      </w:pPr>
    </w:p>
    <w:p w:rsidR="00897884" w:rsidRPr="007A7801" w:rsidRDefault="00897884" w:rsidP="00897884">
      <w:pPr>
        <w:jc w:val="both"/>
        <w:rPr>
          <w:lang w:val="en-GB"/>
        </w:rPr>
      </w:pPr>
      <w:r w:rsidRPr="007A7801">
        <w:rPr>
          <w:lang w:val="en-GB"/>
        </w:rPr>
        <w:t>Based on the above, in order to address macroeconomic imbalances and safeguard the competitiveness of the Cyprus’ economy, the Government aims to adopt a number of measures such as:</w:t>
      </w:r>
    </w:p>
    <w:p w:rsidR="00897884" w:rsidRPr="007A7801" w:rsidRDefault="00897884" w:rsidP="00897884">
      <w:pPr>
        <w:jc w:val="both"/>
        <w:rPr>
          <w:lang w:val="en-GB"/>
        </w:rPr>
      </w:pPr>
    </w:p>
    <w:p w:rsidR="008B2893" w:rsidRDefault="008B2893" w:rsidP="001D09A7">
      <w:pPr>
        <w:numPr>
          <w:ilvl w:val="0"/>
          <w:numId w:val="27"/>
        </w:numPr>
        <w:tabs>
          <w:tab w:val="clear" w:pos="720"/>
          <w:tab w:val="num" w:pos="426"/>
        </w:tabs>
        <w:ind w:left="426" w:hanging="426"/>
        <w:jc w:val="both"/>
        <w:rPr>
          <w:lang w:val="en-GB"/>
        </w:rPr>
        <w:sectPr w:rsidR="008B2893" w:rsidSect="00021AFA">
          <w:type w:val="continuous"/>
          <w:pgSz w:w="12240" w:h="15840"/>
          <w:pgMar w:top="1560" w:right="1440" w:bottom="1296" w:left="1440" w:header="720" w:footer="720" w:gutter="0"/>
          <w:cols w:space="720"/>
          <w:titlePg/>
          <w:docGrid w:linePitch="360"/>
        </w:sectPr>
      </w:pPr>
    </w:p>
    <w:p w:rsidR="00897884" w:rsidRPr="0055040D" w:rsidRDefault="00897884" w:rsidP="001D09A7">
      <w:pPr>
        <w:numPr>
          <w:ilvl w:val="0"/>
          <w:numId w:val="27"/>
        </w:numPr>
        <w:tabs>
          <w:tab w:val="clear" w:pos="720"/>
          <w:tab w:val="num" w:pos="426"/>
        </w:tabs>
        <w:ind w:left="426" w:hanging="426"/>
        <w:jc w:val="both"/>
      </w:pPr>
      <w:r w:rsidRPr="007A7801">
        <w:rPr>
          <w:lang w:val="en-GB"/>
        </w:rPr>
        <w:lastRenderedPageBreak/>
        <w:t xml:space="preserve">Containing public consumption in order to contain import demand, through the adoption of a restrictive stance in budgetary expenditures during the forthcoming years. </w:t>
      </w:r>
    </w:p>
    <w:p w:rsidR="0055040D" w:rsidRPr="00367640" w:rsidRDefault="00F17721" w:rsidP="001D09A7">
      <w:pPr>
        <w:numPr>
          <w:ilvl w:val="0"/>
          <w:numId w:val="27"/>
        </w:numPr>
        <w:tabs>
          <w:tab w:val="clear" w:pos="720"/>
          <w:tab w:val="num" w:pos="426"/>
        </w:tabs>
        <w:ind w:left="426" w:hanging="426"/>
        <w:jc w:val="both"/>
      </w:pPr>
      <w:r w:rsidRPr="00F17721">
        <w:t>Initiating</w:t>
      </w:r>
      <w:r w:rsidRPr="00F17721">
        <w:rPr>
          <w:lang w:val="en-GB"/>
        </w:rPr>
        <w:t xml:space="preserve"> a public dialogue with trade unions for the containment of public sector payroll and the re-designing of the Cost of Living Adjustment (COLA) towards a fairer and more balanced wage indexation system (in the context of the Euro Plus Pact). </w:t>
      </w:r>
    </w:p>
    <w:p w:rsidR="00897884" w:rsidRPr="007A7801" w:rsidRDefault="00897884" w:rsidP="001D09A7">
      <w:pPr>
        <w:numPr>
          <w:ilvl w:val="0"/>
          <w:numId w:val="27"/>
        </w:numPr>
        <w:tabs>
          <w:tab w:val="clear" w:pos="720"/>
          <w:tab w:val="num" w:pos="426"/>
        </w:tabs>
        <w:ind w:left="426" w:hanging="426"/>
        <w:jc w:val="both"/>
      </w:pPr>
      <w:r w:rsidRPr="007A7801">
        <w:rPr>
          <w:lang w:val="en-GB"/>
        </w:rPr>
        <w:t>Promoting non-price competitiveness measures, such as upgrading the tourist product, by either upgrading existing facilities or building new ones (golf, marinas etc).</w:t>
      </w:r>
    </w:p>
    <w:p w:rsidR="00897884" w:rsidRPr="007A7801" w:rsidRDefault="00897884" w:rsidP="001D09A7">
      <w:pPr>
        <w:numPr>
          <w:ilvl w:val="0"/>
          <w:numId w:val="27"/>
        </w:numPr>
        <w:tabs>
          <w:tab w:val="clear" w:pos="720"/>
          <w:tab w:val="num" w:pos="426"/>
        </w:tabs>
        <w:ind w:left="426" w:hanging="426"/>
        <w:jc w:val="both"/>
      </w:pPr>
      <w:r w:rsidRPr="007A7801">
        <w:rPr>
          <w:lang w:val="en-GB"/>
        </w:rPr>
        <w:t xml:space="preserve">Developing further comparative advantages in business and other services in order to remain competitive. </w:t>
      </w:r>
    </w:p>
    <w:p w:rsidR="00897884" w:rsidRPr="007A7801" w:rsidRDefault="00897884" w:rsidP="001D09A7">
      <w:pPr>
        <w:numPr>
          <w:ilvl w:val="0"/>
          <w:numId w:val="27"/>
        </w:numPr>
        <w:tabs>
          <w:tab w:val="clear" w:pos="720"/>
          <w:tab w:val="num" w:pos="426"/>
        </w:tabs>
        <w:ind w:left="426" w:hanging="426"/>
        <w:jc w:val="both"/>
      </w:pPr>
      <w:r w:rsidRPr="007A7801">
        <w:rPr>
          <w:lang w:val="en-GB"/>
        </w:rPr>
        <w:t>Promoting energy efficiency and energy savings in the private and public sector, as this is very important given Cyprus’ huge reliance on importing oil for electricity.</w:t>
      </w:r>
    </w:p>
    <w:p w:rsidR="00897884" w:rsidRPr="007A7801" w:rsidRDefault="00897884" w:rsidP="001D09A7">
      <w:pPr>
        <w:numPr>
          <w:ilvl w:val="0"/>
          <w:numId w:val="27"/>
        </w:numPr>
        <w:tabs>
          <w:tab w:val="clear" w:pos="720"/>
          <w:tab w:val="num" w:pos="426"/>
        </w:tabs>
        <w:ind w:left="426" w:hanging="426"/>
        <w:jc w:val="both"/>
      </w:pPr>
      <w:r w:rsidRPr="007A7801">
        <w:rPr>
          <w:lang w:val="en-GB"/>
        </w:rPr>
        <w:t>Ensuring efficient functioning of the market for more competitive price setting.</w:t>
      </w:r>
    </w:p>
    <w:p w:rsidR="00897884" w:rsidRPr="007A7801" w:rsidRDefault="00897884" w:rsidP="00897884">
      <w:pPr>
        <w:jc w:val="both"/>
        <w:rPr>
          <w:b/>
        </w:rPr>
      </w:pPr>
    </w:p>
    <w:p w:rsidR="00076DF9" w:rsidRPr="007A7801" w:rsidRDefault="00076DF9" w:rsidP="00897884">
      <w:pPr>
        <w:jc w:val="both"/>
        <w:rPr>
          <w:b/>
          <w:lang w:val="en-GB"/>
        </w:rPr>
      </w:pPr>
    </w:p>
    <w:tbl>
      <w:tblPr>
        <w:tblStyle w:val="TableGrid"/>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B8CCE4" w:themeFill="accent1" w:themeFillTint="66"/>
        <w:tblLook w:val="04A0"/>
      </w:tblPr>
      <w:tblGrid>
        <w:gridCol w:w="9356"/>
      </w:tblGrid>
      <w:tr w:rsidR="00076DF9" w:rsidRPr="007A7801" w:rsidTr="00DA2A91">
        <w:trPr>
          <w:trHeight w:val="1298"/>
        </w:trPr>
        <w:tc>
          <w:tcPr>
            <w:tcW w:w="9356" w:type="dxa"/>
            <w:shd w:val="clear" w:color="auto" w:fill="B8CCE4" w:themeFill="accent1" w:themeFillTint="66"/>
            <w:vAlign w:val="center"/>
          </w:tcPr>
          <w:p w:rsidR="00076DF9" w:rsidRPr="007A7801" w:rsidRDefault="00076DF9" w:rsidP="00076DF9">
            <w:pPr>
              <w:ind w:left="284" w:hanging="284"/>
              <w:jc w:val="both"/>
              <w:rPr>
                <w:b/>
                <w:color w:val="365F91" w:themeColor="accent1" w:themeShade="BF"/>
                <w:sz w:val="28"/>
                <w:szCs w:val="28"/>
                <w:lang w:val="en-GB"/>
              </w:rPr>
            </w:pPr>
            <w:r w:rsidRPr="007A7801">
              <w:rPr>
                <w:b/>
                <w:color w:val="365F91" w:themeColor="accent1" w:themeShade="BF"/>
                <w:sz w:val="28"/>
                <w:szCs w:val="28"/>
                <w:lang w:val="en-GB"/>
              </w:rPr>
              <w:t>4. Promoting innovation and ICT capacity mainly of the private sector to support investment, diversification of the economy and orientation towards high value-added production and services</w:t>
            </w:r>
          </w:p>
        </w:tc>
      </w:tr>
    </w:tbl>
    <w:p w:rsidR="00076DF9" w:rsidRPr="007A7801" w:rsidRDefault="00076DF9" w:rsidP="00897884">
      <w:pPr>
        <w:jc w:val="both"/>
        <w:rPr>
          <w:b/>
          <w:lang w:val="en-GB"/>
        </w:rPr>
      </w:pPr>
    </w:p>
    <w:p w:rsidR="00897884" w:rsidRPr="007A7801" w:rsidRDefault="00897884" w:rsidP="00897884">
      <w:pPr>
        <w:jc w:val="both"/>
        <w:rPr>
          <w:b/>
          <w:i/>
          <w:lang w:val="en-GB"/>
        </w:rPr>
      </w:pPr>
      <w:r w:rsidRPr="007A7801">
        <w:rPr>
          <w:b/>
          <w:i/>
          <w:lang w:val="en-GB"/>
        </w:rPr>
        <w:t>Guideline 4: Optimising support for R&amp;D and innovation, strengthening the knowledge triangle and unleashing the potential of the digital economy</w:t>
      </w:r>
    </w:p>
    <w:p w:rsidR="00897884" w:rsidRPr="007A7801" w:rsidRDefault="00897884" w:rsidP="00897884">
      <w:pPr>
        <w:jc w:val="both"/>
        <w:rPr>
          <w:b/>
          <w:lang w:val="en-GB"/>
        </w:rPr>
      </w:pPr>
    </w:p>
    <w:p w:rsidR="00897884" w:rsidRPr="007A7801" w:rsidRDefault="00897884" w:rsidP="00897884">
      <w:pPr>
        <w:jc w:val="both"/>
      </w:pPr>
      <w:r w:rsidRPr="007A7801">
        <w:t xml:space="preserve">R&amp;D spending as a percentage of GDP remains at particularly low levels, in spite of rapid growth in absolute terms, mainly due to underinvestment by the business sector. This weakness of the private sector is attributed to the structure of the productive sector, where there is a significant number of small sized businesses specialising mainly in the service sector. The Government has introduced a series of measures to encourage the involvement of businesses in innovation activities, recognising that an increase in private R&amp;D expenditures is unlikely in the near future. The </w:t>
      </w:r>
      <w:r w:rsidRPr="00E16ED5">
        <w:rPr>
          <w:b/>
        </w:rPr>
        <w:t>shift of emphasis from R&amp;D towards innovation</w:t>
      </w:r>
      <w:r w:rsidRPr="007A7801">
        <w:t xml:space="preserve"> led to the upgrade of the classification of Cyprus to the group of “Innovation Followers” according to the European Innovation Scoreboard 2009 with Cyprus rank</w:t>
      </w:r>
      <w:r w:rsidR="00104072">
        <w:t>ing</w:t>
      </w:r>
      <w:r w:rsidRPr="007A7801">
        <w:t xml:space="preserve"> 13</w:t>
      </w:r>
      <w:r w:rsidRPr="007A7801">
        <w:rPr>
          <w:vertAlign w:val="superscript"/>
        </w:rPr>
        <w:t>th</w:t>
      </w:r>
      <w:r w:rsidRPr="007A7801">
        <w:t xml:space="preserve"> amongst the 27 Member States.</w:t>
      </w:r>
    </w:p>
    <w:p w:rsidR="00897884" w:rsidRPr="007A7801" w:rsidRDefault="00897884" w:rsidP="00897884">
      <w:pPr>
        <w:jc w:val="both"/>
      </w:pPr>
    </w:p>
    <w:p w:rsidR="00897884" w:rsidRPr="007A7801" w:rsidRDefault="00897884" w:rsidP="00897884">
      <w:pPr>
        <w:jc w:val="both"/>
      </w:pPr>
      <w:r w:rsidRPr="007A7801">
        <w:t xml:space="preserve">In order to </w:t>
      </w:r>
      <w:r w:rsidR="00104072">
        <w:t xml:space="preserve">further </w:t>
      </w:r>
      <w:r w:rsidRPr="007A7801">
        <w:t>improve the innovative capacity of enterprises, measures are</w:t>
      </w:r>
      <w:r w:rsidR="001E4F0C">
        <w:t xml:space="preserve"> envisaged in</w:t>
      </w:r>
      <w:r w:rsidRPr="007A7801">
        <w:t xml:space="preserve"> </w:t>
      </w:r>
      <w:r w:rsidR="001E4F0C">
        <w:rPr>
          <w:lang w:val="en-GB"/>
        </w:rPr>
        <w:t xml:space="preserve">Chapter 4-Innovation, </w:t>
      </w:r>
      <w:r w:rsidR="00E07738">
        <w:rPr>
          <w:lang w:val="en-GB"/>
        </w:rPr>
        <w:t xml:space="preserve">under </w:t>
      </w:r>
      <w:r w:rsidR="001E4F0C">
        <w:rPr>
          <w:lang w:val="en-GB"/>
        </w:rPr>
        <w:t>the following categories</w:t>
      </w:r>
      <w:r w:rsidR="001E4F0C" w:rsidRPr="007A7801">
        <w:t xml:space="preserve"> </w:t>
      </w:r>
      <w:r w:rsidRPr="007A7801">
        <w:t>:</w:t>
      </w:r>
    </w:p>
    <w:p w:rsidR="00897884" w:rsidRPr="007A7801" w:rsidRDefault="00897884" w:rsidP="00897884">
      <w:pPr>
        <w:jc w:val="both"/>
      </w:pPr>
    </w:p>
    <w:p w:rsidR="00897884" w:rsidRPr="007A7801" w:rsidRDefault="00897884" w:rsidP="001D09A7">
      <w:pPr>
        <w:pStyle w:val="ListParagraph"/>
        <w:numPr>
          <w:ilvl w:val="0"/>
          <w:numId w:val="5"/>
        </w:numPr>
        <w:ind w:left="284" w:hanging="284"/>
        <w:jc w:val="both"/>
      </w:pPr>
      <w:r w:rsidRPr="007A7801">
        <w:rPr>
          <w:lang w:val="en-GB"/>
        </w:rPr>
        <w:t>Encourage</w:t>
      </w:r>
      <w:r w:rsidR="00104072">
        <w:rPr>
          <w:lang w:val="en-GB"/>
        </w:rPr>
        <w:t>ment of</w:t>
      </w:r>
      <w:r w:rsidR="001E4F0C">
        <w:rPr>
          <w:lang w:val="en-GB"/>
        </w:rPr>
        <w:t xml:space="preserve"> SME to employ </w:t>
      </w:r>
      <w:r w:rsidRPr="007A7801">
        <w:rPr>
          <w:lang w:val="en-GB"/>
        </w:rPr>
        <w:t xml:space="preserve">young </w:t>
      </w:r>
      <w:r w:rsidR="001E4F0C">
        <w:rPr>
          <w:lang w:val="en-GB"/>
        </w:rPr>
        <w:t xml:space="preserve">researchers in order to enhance market –driven research. </w:t>
      </w:r>
    </w:p>
    <w:p w:rsidR="00897884" w:rsidRPr="007A7801" w:rsidRDefault="001E4F0C" w:rsidP="001D09A7">
      <w:pPr>
        <w:pStyle w:val="ListParagraph"/>
        <w:numPr>
          <w:ilvl w:val="0"/>
          <w:numId w:val="5"/>
        </w:numPr>
        <w:ind w:left="284" w:hanging="284"/>
        <w:jc w:val="both"/>
        <w:rPr>
          <w:lang w:val="en-GB"/>
        </w:rPr>
      </w:pPr>
      <w:r>
        <w:rPr>
          <w:lang w:val="en-GB"/>
        </w:rPr>
        <w:t>Promote research and innovation of enterprises in services, given that 61% of ent</w:t>
      </w:r>
      <w:r w:rsidR="00E07738">
        <w:rPr>
          <w:lang w:val="en-GB"/>
        </w:rPr>
        <w:t>erprises in Cyprus operate in the service sector. Emphasis will be in health, education, tourism, shipping, financial and legal services and ICT.</w:t>
      </w:r>
    </w:p>
    <w:p w:rsidR="00897884" w:rsidRPr="007A7801" w:rsidRDefault="00897884" w:rsidP="001D09A7">
      <w:pPr>
        <w:pStyle w:val="ListParagraph"/>
        <w:numPr>
          <w:ilvl w:val="0"/>
          <w:numId w:val="5"/>
        </w:numPr>
        <w:ind w:left="284" w:hanging="284"/>
        <w:jc w:val="both"/>
      </w:pPr>
      <w:r w:rsidRPr="007A7801">
        <w:rPr>
          <w:lang w:val="en-GB"/>
        </w:rPr>
        <w:t xml:space="preserve">Creation of cooperation and networking with </w:t>
      </w:r>
      <w:r w:rsidR="00E07738">
        <w:rPr>
          <w:lang w:val="en-GB"/>
        </w:rPr>
        <w:t xml:space="preserve">SMEs </w:t>
      </w:r>
      <w:r w:rsidRPr="007A7801">
        <w:rPr>
          <w:lang w:val="en-GB"/>
        </w:rPr>
        <w:t>and researcher institutions</w:t>
      </w:r>
      <w:r w:rsidR="00E07738">
        <w:rPr>
          <w:lang w:val="en-GB"/>
        </w:rPr>
        <w:t xml:space="preserve">, including with </w:t>
      </w:r>
      <w:r w:rsidR="00E07738" w:rsidRPr="007A7801">
        <w:rPr>
          <w:lang w:val="en-GB"/>
        </w:rPr>
        <w:t>foreign researchers</w:t>
      </w:r>
      <w:r w:rsidR="00E07738">
        <w:rPr>
          <w:lang w:val="en-GB"/>
        </w:rPr>
        <w:t>.</w:t>
      </w:r>
    </w:p>
    <w:p w:rsidR="00897884" w:rsidRPr="001E4F0C" w:rsidRDefault="00897884" w:rsidP="001D09A7">
      <w:pPr>
        <w:pStyle w:val="ListParagraph"/>
        <w:numPr>
          <w:ilvl w:val="0"/>
          <w:numId w:val="5"/>
        </w:numPr>
        <w:ind w:left="284" w:hanging="284"/>
        <w:jc w:val="both"/>
      </w:pPr>
      <w:r w:rsidRPr="007A7801">
        <w:rPr>
          <w:lang w:val="en-GB"/>
        </w:rPr>
        <w:t>Introduction of innovation, both technological and non-technological ones, in the public sector in order to improve the quality of the services provided as well as</w:t>
      </w:r>
      <w:r w:rsidR="00E07738">
        <w:rPr>
          <w:lang w:val="en-GB"/>
        </w:rPr>
        <w:t xml:space="preserve"> increase the demand for innovative products. </w:t>
      </w:r>
    </w:p>
    <w:p w:rsidR="001E4F0C" w:rsidRDefault="001E4F0C" w:rsidP="001E4F0C">
      <w:pPr>
        <w:jc w:val="both"/>
      </w:pPr>
    </w:p>
    <w:p w:rsidR="00897884" w:rsidRPr="007A7801" w:rsidRDefault="00897884" w:rsidP="00897884">
      <w:pPr>
        <w:jc w:val="both"/>
      </w:pPr>
    </w:p>
    <w:p w:rsidR="008B2893" w:rsidRDefault="008B2893" w:rsidP="00897884">
      <w:pPr>
        <w:jc w:val="both"/>
        <w:sectPr w:rsidR="008B2893" w:rsidSect="00021AFA">
          <w:headerReference w:type="default" r:id="rId20"/>
          <w:type w:val="continuous"/>
          <w:pgSz w:w="12240" w:h="15840"/>
          <w:pgMar w:top="1560" w:right="1440" w:bottom="1296" w:left="1440" w:header="720" w:footer="720" w:gutter="0"/>
          <w:cols w:space="720"/>
          <w:titlePg/>
          <w:docGrid w:linePitch="360"/>
        </w:sectPr>
      </w:pPr>
    </w:p>
    <w:p w:rsidR="00897884" w:rsidRPr="007A7801" w:rsidRDefault="00897884" w:rsidP="00897884">
      <w:pPr>
        <w:jc w:val="both"/>
      </w:pPr>
      <w:r w:rsidRPr="007A7801">
        <w:lastRenderedPageBreak/>
        <w:t>On the other hand, in the area of ICT, several initiatives and actions are promoted:</w:t>
      </w:r>
    </w:p>
    <w:p w:rsidR="00897884" w:rsidRPr="007A7801" w:rsidRDefault="00897884" w:rsidP="00897884">
      <w:pPr>
        <w:jc w:val="both"/>
      </w:pPr>
    </w:p>
    <w:p w:rsidR="00897884" w:rsidRPr="007A7801" w:rsidRDefault="00897884" w:rsidP="001D09A7">
      <w:pPr>
        <w:pStyle w:val="ListParagraph"/>
        <w:numPr>
          <w:ilvl w:val="0"/>
          <w:numId w:val="2"/>
        </w:numPr>
        <w:ind w:left="284" w:hanging="284"/>
        <w:contextualSpacing/>
        <w:jc w:val="both"/>
      </w:pPr>
      <w:r w:rsidRPr="007A7801">
        <w:t>A Digital Strategy is being prepared and a draft is under internal consultation with the involved departments. The Digital Strategy aims for a full broadband coverage, so that all citizens and businesses have access to information society and benefit from its use.</w:t>
      </w:r>
    </w:p>
    <w:p w:rsidR="00897884" w:rsidRPr="007A7801" w:rsidRDefault="00897884" w:rsidP="001D09A7">
      <w:pPr>
        <w:pStyle w:val="ListParagraph"/>
        <w:numPr>
          <w:ilvl w:val="0"/>
          <w:numId w:val="2"/>
        </w:numPr>
        <w:ind w:left="284" w:hanging="284"/>
        <w:contextualSpacing/>
        <w:jc w:val="both"/>
      </w:pPr>
      <w:r w:rsidRPr="007A7801">
        <w:t>Public and private partnerships to develop high speed broadband electronic communications networks in all geographic areas will be promoted.</w:t>
      </w:r>
    </w:p>
    <w:p w:rsidR="00897884" w:rsidRPr="007A7801" w:rsidRDefault="00897884" w:rsidP="001D09A7">
      <w:pPr>
        <w:pStyle w:val="ListParagraph"/>
        <w:numPr>
          <w:ilvl w:val="0"/>
          <w:numId w:val="2"/>
        </w:numPr>
        <w:ind w:left="284" w:hanging="284"/>
        <w:contextualSpacing/>
        <w:jc w:val="both"/>
      </w:pPr>
      <w:r w:rsidRPr="007A7801">
        <w:t>Other important measures to be included are the reduction of the price of electronic communications services, the online establishment of businesses, and the on</w:t>
      </w:r>
      <w:r w:rsidR="00812B88">
        <w:t>line use of government services</w:t>
      </w:r>
      <w:r w:rsidRPr="007A7801">
        <w:t xml:space="preserve"> (More analysis under Chapter 6</w:t>
      </w:r>
      <w:r w:rsidR="00942AFF">
        <w:t xml:space="preserve"> -</w:t>
      </w:r>
      <w:r w:rsidRPr="007A7801">
        <w:t xml:space="preserve"> Digital Society).</w:t>
      </w:r>
    </w:p>
    <w:p w:rsidR="00897884" w:rsidRPr="007A7801" w:rsidRDefault="00897884" w:rsidP="00897884">
      <w:pPr>
        <w:jc w:val="both"/>
        <w:rPr>
          <w:b/>
        </w:rPr>
      </w:pPr>
    </w:p>
    <w:p w:rsidR="00897884" w:rsidRPr="007A7801" w:rsidRDefault="00897884" w:rsidP="00897884">
      <w:pPr>
        <w:jc w:val="both"/>
        <w:rPr>
          <w:b/>
        </w:rPr>
      </w:pPr>
    </w:p>
    <w:tbl>
      <w:tblPr>
        <w:tblStyle w:val="TableGrid"/>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B8CCE4" w:themeFill="accent1" w:themeFillTint="66"/>
        <w:tblLook w:val="04A0"/>
      </w:tblPr>
      <w:tblGrid>
        <w:gridCol w:w="9356"/>
      </w:tblGrid>
      <w:tr w:rsidR="00076DF9" w:rsidRPr="007A7801" w:rsidTr="00AB602C">
        <w:trPr>
          <w:trHeight w:val="989"/>
        </w:trPr>
        <w:tc>
          <w:tcPr>
            <w:tcW w:w="9356" w:type="dxa"/>
            <w:shd w:val="clear" w:color="auto" w:fill="B8CCE4" w:themeFill="accent1" w:themeFillTint="66"/>
            <w:vAlign w:val="center"/>
          </w:tcPr>
          <w:p w:rsidR="00076DF9" w:rsidRPr="007A7801" w:rsidRDefault="00076DF9" w:rsidP="00076DF9">
            <w:pPr>
              <w:ind w:left="284" w:hanging="284"/>
              <w:jc w:val="both"/>
              <w:rPr>
                <w:b/>
                <w:color w:val="365F91" w:themeColor="accent1" w:themeShade="BF"/>
                <w:sz w:val="28"/>
                <w:szCs w:val="28"/>
              </w:rPr>
            </w:pPr>
            <w:r w:rsidRPr="007A7801">
              <w:rPr>
                <w:b/>
                <w:color w:val="365F91" w:themeColor="accent1" w:themeShade="BF"/>
                <w:sz w:val="28"/>
                <w:szCs w:val="28"/>
              </w:rPr>
              <w:t>5. Restructuring the economy with emphasis on high-skilled jobs and the training of the low skilled and disadvantaged groups</w:t>
            </w:r>
          </w:p>
        </w:tc>
      </w:tr>
    </w:tbl>
    <w:p w:rsidR="00897884" w:rsidRPr="007A7801" w:rsidRDefault="00897884" w:rsidP="00897884">
      <w:pPr>
        <w:jc w:val="both"/>
        <w:rPr>
          <w:b/>
          <w:i/>
          <w:lang w:val="en-GB"/>
        </w:rPr>
      </w:pPr>
    </w:p>
    <w:p w:rsidR="00897884" w:rsidRPr="007A7801" w:rsidRDefault="00897884" w:rsidP="00897884">
      <w:pPr>
        <w:jc w:val="both"/>
        <w:rPr>
          <w:b/>
          <w:i/>
          <w:lang w:val="en-GB"/>
        </w:rPr>
      </w:pPr>
      <w:r w:rsidRPr="007A7801">
        <w:rPr>
          <w:b/>
          <w:i/>
          <w:lang w:val="en-GB"/>
        </w:rPr>
        <w:t>Guideline 8: “Developing a skilled workforce responding to labour market needs, promoting job quality and lifelong learning”</w:t>
      </w:r>
    </w:p>
    <w:p w:rsidR="00897884" w:rsidRPr="007A7801" w:rsidRDefault="00897884" w:rsidP="00897884">
      <w:pPr>
        <w:jc w:val="both"/>
        <w:rPr>
          <w:lang w:val="en-GB"/>
        </w:rPr>
      </w:pPr>
    </w:p>
    <w:p w:rsidR="00897884" w:rsidRPr="007A7801" w:rsidRDefault="00897884" w:rsidP="00897884">
      <w:pPr>
        <w:jc w:val="both"/>
        <w:rPr>
          <w:lang w:val="en-GB"/>
        </w:rPr>
      </w:pPr>
      <w:r w:rsidRPr="007A7801">
        <w:rPr>
          <w:lang w:val="en-GB"/>
        </w:rPr>
        <w:t>One of the greatest challenges of the Cypriot economy is to successfully face its structural problem and shift its specialisation from low-skilled, low</w:t>
      </w:r>
      <w:r w:rsidR="00E07738">
        <w:rPr>
          <w:lang w:val="en-GB"/>
        </w:rPr>
        <w:t>-</w:t>
      </w:r>
      <w:r w:rsidRPr="007A7801">
        <w:rPr>
          <w:lang w:val="en-GB"/>
        </w:rPr>
        <w:t>technology sectors towards high growth activities with emphasis on high–skilled jobs, thus correcting a chronic competitiveness problem. It is evident that the limited use of advanced technology and innovative working methods, especially in the private sector,  has resulted in the development of low-growth sectors relying on low-skilled jobs, which to a great extent are covered by employing low-skilled foreign workers (</w:t>
      </w:r>
      <w:r w:rsidR="00E07738">
        <w:rPr>
          <w:lang w:val="en-GB"/>
        </w:rPr>
        <w:t xml:space="preserve">mainly </w:t>
      </w:r>
      <w:r w:rsidRPr="007A7801">
        <w:rPr>
          <w:lang w:val="en-GB"/>
        </w:rPr>
        <w:t xml:space="preserve">from third countries). </w:t>
      </w:r>
    </w:p>
    <w:p w:rsidR="00897884" w:rsidRPr="007A7801" w:rsidRDefault="00897884" w:rsidP="00897884">
      <w:pPr>
        <w:jc w:val="both"/>
        <w:rPr>
          <w:lang w:val="en-GB"/>
        </w:rPr>
      </w:pPr>
    </w:p>
    <w:p w:rsidR="00897884" w:rsidRPr="007A7801" w:rsidRDefault="00897884" w:rsidP="00897884">
      <w:pPr>
        <w:jc w:val="both"/>
        <w:rPr>
          <w:lang w:val="en-GB"/>
        </w:rPr>
      </w:pPr>
      <w:r w:rsidRPr="007A7801">
        <w:rPr>
          <w:lang w:val="en-GB"/>
        </w:rPr>
        <w:t xml:space="preserve">The increasing number of low-skilled foreign workers has had a dampening effect on both wages and productivity in the sectors where these workers are being employed. </w:t>
      </w:r>
      <w:r w:rsidRPr="007A7801">
        <w:rPr>
          <w:rFonts w:eastAsia="Arial Unicode MS"/>
        </w:rPr>
        <w:t>Even though Cyprus has the second best most highly qualified labour force among EU27, with 34,5%</w:t>
      </w:r>
      <w:r w:rsidRPr="007A7801">
        <w:rPr>
          <w:rFonts w:eastAsia="Arial Unicode MS"/>
          <w:color w:val="FF0000"/>
        </w:rPr>
        <w:t xml:space="preserve"> </w:t>
      </w:r>
      <w:r w:rsidRPr="007A7801">
        <w:rPr>
          <w:rFonts w:eastAsia="Arial Unicode MS"/>
        </w:rPr>
        <w:t xml:space="preserve">having tertiary education, the economy cannot gainfully absorb them, leaving many young university graduates unemployed or underemployed.  It must be noted that in 2010 the unemployment rate of young </w:t>
      </w:r>
      <w:r w:rsidR="005A660A" w:rsidRPr="007A7801">
        <w:rPr>
          <w:rFonts w:eastAsia="Arial Unicode MS"/>
        </w:rPr>
        <w:t>persons</w:t>
      </w:r>
      <w:r w:rsidRPr="007A7801">
        <w:rPr>
          <w:rFonts w:eastAsia="Arial Unicode MS"/>
        </w:rPr>
        <w:t xml:space="preserve"> </w:t>
      </w:r>
      <w:r w:rsidR="00E91396">
        <w:rPr>
          <w:rFonts w:eastAsia="Arial Unicode MS"/>
        </w:rPr>
        <w:t xml:space="preserve">was </w:t>
      </w:r>
      <w:r w:rsidRPr="007A7801">
        <w:rPr>
          <w:rFonts w:eastAsia="Arial Unicode MS"/>
        </w:rPr>
        <w:t xml:space="preserve"> more than double the general unemployment rate, climbing to about 20,4% (second quarter of 2010).</w:t>
      </w:r>
    </w:p>
    <w:p w:rsidR="00897884" w:rsidRPr="007A7801" w:rsidRDefault="00897884" w:rsidP="00897884">
      <w:pPr>
        <w:jc w:val="both"/>
        <w:rPr>
          <w:lang w:val="en-GB"/>
        </w:rPr>
      </w:pPr>
    </w:p>
    <w:p w:rsidR="00897884" w:rsidRPr="007A7801" w:rsidRDefault="00897884" w:rsidP="00897884">
      <w:pPr>
        <w:jc w:val="both"/>
        <w:rPr>
          <w:lang w:val="en-GB"/>
        </w:rPr>
      </w:pPr>
      <w:r w:rsidRPr="007A7801">
        <w:rPr>
          <w:lang w:val="en-GB"/>
        </w:rPr>
        <w:t>The Government is promoting several measures to help the private sector to shift from low to high-skilled jobs and increase labour productivity by investing in innovation, ICT, new technologies and by better utilisation of the highly qualified human capital. These measures include:</w:t>
      </w:r>
    </w:p>
    <w:p w:rsidR="00897884" w:rsidRPr="007A7801" w:rsidRDefault="00897884" w:rsidP="00897884">
      <w:pPr>
        <w:jc w:val="both"/>
        <w:rPr>
          <w:lang w:val="en-GB"/>
        </w:rPr>
      </w:pPr>
    </w:p>
    <w:p w:rsidR="00897884" w:rsidRPr="007A7801" w:rsidRDefault="00897884" w:rsidP="00897884">
      <w:pPr>
        <w:jc w:val="both"/>
        <w:rPr>
          <w:rFonts w:eastAsia="Arial Unicode MS"/>
          <w:u w:val="single"/>
        </w:rPr>
      </w:pPr>
      <w:r w:rsidRPr="007A7801">
        <w:rPr>
          <w:rFonts w:eastAsia="Arial Unicode MS"/>
          <w:b/>
          <w:u w:val="single"/>
        </w:rPr>
        <w:t xml:space="preserve">Improving the Competitiveness of the private sector and restructuring the economy </w:t>
      </w:r>
      <w:r w:rsidRPr="00AB602C">
        <w:rPr>
          <w:rFonts w:eastAsia="Arial Unicode MS"/>
        </w:rPr>
        <w:t>(</w:t>
      </w:r>
      <w:r w:rsidR="00AB602C" w:rsidRPr="00AB602C">
        <w:rPr>
          <w:rFonts w:eastAsia="Arial Unicode MS"/>
        </w:rPr>
        <w:t xml:space="preserve">more </w:t>
      </w:r>
      <w:r w:rsidRPr="007A7801">
        <w:rPr>
          <w:rFonts w:eastAsia="Arial Unicode MS"/>
        </w:rPr>
        <w:t xml:space="preserve">details in Chapter 4 </w:t>
      </w:r>
      <w:r w:rsidR="00942AFF">
        <w:rPr>
          <w:rFonts w:eastAsia="Arial Unicode MS"/>
        </w:rPr>
        <w:t xml:space="preserve">- </w:t>
      </w:r>
      <w:r w:rsidRPr="007A7801">
        <w:rPr>
          <w:rFonts w:eastAsia="Arial Unicode MS"/>
        </w:rPr>
        <w:t xml:space="preserve">Innovation, Chapter 8 </w:t>
      </w:r>
      <w:r w:rsidR="00942AFF">
        <w:rPr>
          <w:rFonts w:eastAsia="Arial Unicode MS"/>
        </w:rPr>
        <w:t xml:space="preserve">- </w:t>
      </w:r>
      <w:r w:rsidRPr="007A7801">
        <w:rPr>
          <w:rFonts w:eastAsia="Arial Unicode MS"/>
        </w:rPr>
        <w:t>Competitiveness and Chapter 9</w:t>
      </w:r>
      <w:r w:rsidR="00942AFF">
        <w:rPr>
          <w:rFonts w:eastAsia="Arial Unicode MS"/>
        </w:rPr>
        <w:t xml:space="preserve"> -</w:t>
      </w:r>
      <w:r w:rsidRPr="007A7801">
        <w:rPr>
          <w:rFonts w:eastAsia="Arial Unicode MS"/>
        </w:rPr>
        <w:t xml:space="preserve"> Employment and Skills):</w:t>
      </w:r>
    </w:p>
    <w:p w:rsidR="00897884" w:rsidRPr="007A7801" w:rsidRDefault="00897884" w:rsidP="00897884">
      <w:pPr>
        <w:jc w:val="both"/>
        <w:rPr>
          <w:rFonts w:eastAsia="Arial Unicode MS"/>
          <w:u w:val="single"/>
        </w:rPr>
      </w:pPr>
    </w:p>
    <w:p w:rsidR="00897884" w:rsidRPr="007A7801" w:rsidRDefault="00897884" w:rsidP="001D09A7">
      <w:pPr>
        <w:pStyle w:val="ListParagraph"/>
        <w:numPr>
          <w:ilvl w:val="0"/>
          <w:numId w:val="3"/>
        </w:numPr>
        <w:ind w:left="284" w:hanging="284"/>
        <w:contextualSpacing/>
        <w:jc w:val="both"/>
        <w:rPr>
          <w:lang w:val="en-GB"/>
        </w:rPr>
      </w:pPr>
      <w:r w:rsidRPr="007A7801">
        <w:rPr>
          <w:lang w:val="en-GB"/>
        </w:rPr>
        <w:lastRenderedPageBreak/>
        <w:t>Subsidy scheme for enterprises to develop and implement specific business plans in order to successfully re-organise their business and innovate their products and services.</w:t>
      </w:r>
    </w:p>
    <w:p w:rsidR="008B2893" w:rsidRDefault="008B2893" w:rsidP="001D09A7">
      <w:pPr>
        <w:pStyle w:val="ListParagraph"/>
        <w:numPr>
          <w:ilvl w:val="0"/>
          <w:numId w:val="3"/>
        </w:numPr>
        <w:ind w:left="284" w:hanging="284"/>
        <w:contextualSpacing/>
        <w:jc w:val="both"/>
        <w:rPr>
          <w:rFonts w:eastAsia="Arial Unicode MS"/>
        </w:rPr>
        <w:sectPr w:rsidR="008B2893" w:rsidSect="00021AFA">
          <w:headerReference w:type="default" r:id="rId21"/>
          <w:type w:val="continuous"/>
          <w:pgSz w:w="12240" w:h="15840"/>
          <w:pgMar w:top="1560" w:right="1440" w:bottom="1296" w:left="1440" w:header="720" w:footer="720" w:gutter="0"/>
          <w:cols w:space="720"/>
          <w:titlePg/>
          <w:docGrid w:linePitch="360"/>
        </w:sectPr>
      </w:pPr>
    </w:p>
    <w:p w:rsidR="00897884" w:rsidRPr="00D15038" w:rsidRDefault="00897884" w:rsidP="001D09A7">
      <w:pPr>
        <w:pStyle w:val="ListParagraph"/>
        <w:numPr>
          <w:ilvl w:val="0"/>
          <w:numId w:val="3"/>
        </w:numPr>
        <w:ind w:left="284" w:hanging="284"/>
        <w:contextualSpacing/>
        <w:jc w:val="both"/>
        <w:rPr>
          <w:lang w:val="en-GB"/>
        </w:rPr>
      </w:pPr>
      <w:r w:rsidRPr="00D15038">
        <w:rPr>
          <w:rFonts w:eastAsia="Arial Unicode MS"/>
        </w:rPr>
        <w:lastRenderedPageBreak/>
        <w:t>Scheme for grants to strengthen the competitiveness of SMEs by s</w:t>
      </w:r>
      <w:r w:rsidRPr="00D15038">
        <w:rPr>
          <w:lang w:val="en-GB"/>
        </w:rPr>
        <w:t>pecialised guidance, training and consultancy services for enhancing their productivity.</w:t>
      </w:r>
    </w:p>
    <w:p w:rsidR="00897884" w:rsidRPr="007A7801" w:rsidRDefault="00897884" w:rsidP="001D09A7">
      <w:pPr>
        <w:pStyle w:val="ListParagraph"/>
        <w:numPr>
          <w:ilvl w:val="0"/>
          <w:numId w:val="3"/>
        </w:numPr>
        <w:ind w:left="284" w:hanging="284"/>
        <w:contextualSpacing/>
        <w:jc w:val="both"/>
        <w:rPr>
          <w:lang w:val="en-GB"/>
        </w:rPr>
      </w:pPr>
      <w:r w:rsidRPr="007A7801">
        <w:rPr>
          <w:rFonts w:eastAsia="Arial Unicode MS"/>
        </w:rPr>
        <w:t>Schemes for the enhancement of women and youth entrepreneurship.</w:t>
      </w:r>
    </w:p>
    <w:p w:rsidR="00897884" w:rsidRPr="007A7801" w:rsidRDefault="00897884" w:rsidP="001D09A7">
      <w:pPr>
        <w:pStyle w:val="ListParagraph"/>
        <w:numPr>
          <w:ilvl w:val="0"/>
          <w:numId w:val="3"/>
        </w:numPr>
        <w:ind w:left="284" w:hanging="284"/>
        <w:contextualSpacing/>
        <w:jc w:val="both"/>
        <w:rPr>
          <w:lang w:val="en-GB"/>
        </w:rPr>
      </w:pPr>
      <w:r w:rsidRPr="007A7801">
        <w:t xml:space="preserve">Jeremie Scheme to improve SMEs access to finance. </w:t>
      </w:r>
    </w:p>
    <w:p w:rsidR="00897884" w:rsidRPr="007A7801" w:rsidRDefault="00897884" w:rsidP="001D09A7">
      <w:pPr>
        <w:pStyle w:val="ListParagraph"/>
        <w:numPr>
          <w:ilvl w:val="0"/>
          <w:numId w:val="3"/>
        </w:numPr>
        <w:ind w:left="284" w:hanging="284"/>
        <w:contextualSpacing/>
        <w:jc w:val="both"/>
        <w:rPr>
          <w:lang w:val="en-GB"/>
        </w:rPr>
      </w:pPr>
      <w:r w:rsidRPr="007A7801">
        <w:t xml:space="preserve">Tourism Strategy 2011-2015 to upgrade the tourist product. </w:t>
      </w:r>
    </w:p>
    <w:p w:rsidR="00897884" w:rsidRPr="007A7801" w:rsidRDefault="00897884" w:rsidP="001D09A7">
      <w:pPr>
        <w:pStyle w:val="ListParagraph"/>
        <w:numPr>
          <w:ilvl w:val="0"/>
          <w:numId w:val="3"/>
        </w:numPr>
        <w:ind w:left="284" w:hanging="284"/>
        <w:contextualSpacing/>
        <w:jc w:val="both"/>
        <w:rPr>
          <w:rStyle w:val="Strong"/>
          <w:b w:val="0"/>
          <w:bCs w:val="0"/>
        </w:rPr>
      </w:pPr>
      <w:r w:rsidRPr="007A7801">
        <w:rPr>
          <w:rFonts w:eastAsia="Arial Unicode MS"/>
          <w:color w:val="000000"/>
        </w:rPr>
        <w:t xml:space="preserve">Diversification of the Economy – Activities of the </w:t>
      </w:r>
      <w:r w:rsidRPr="007A7801">
        <w:rPr>
          <w:rStyle w:val="Strong"/>
          <w:rFonts w:eastAsia="Arial Unicode MS"/>
        </w:rPr>
        <w:t>Cyprus Investment Promotion Agency (CIPA) to encourage foreign investments.</w:t>
      </w:r>
    </w:p>
    <w:p w:rsidR="00897884" w:rsidRPr="007A7801" w:rsidRDefault="00897884" w:rsidP="001D09A7">
      <w:pPr>
        <w:pStyle w:val="ListParagraph"/>
        <w:numPr>
          <w:ilvl w:val="0"/>
          <w:numId w:val="3"/>
        </w:numPr>
        <w:ind w:left="284" w:hanging="284"/>
        <w:contextualSpacing/>
        <w:jc w:val="both"/>
        <w:rPr>
          <w:rFonts w:eastAsia="Arial Unicode MS"/>
          <w:color w:val="000000"/>
        </w:rPr>
      </w:pPr>
      <w:r w:rsidRPr="007A7801">
        <w:rPr>
          <w:rFonts w:eastAsia="Arial Unicode MS"/>
          <w:color w:val="000000"/>
        </w:rPr>
        <w:t>Training and work experience programmes for unemployed, inactive people, newcomers to the labour market, young secondary and tertiary education graduates and persons in disadvantaged groups, in order to continuously improve the skills of the labour force.</w:t>
      </w:r>
    </w:p>
    <w:p w:rsidR="00897884" w:rsidRPr="007A7801" w:rsidRDefault="00897884" w:rsidP="001D09A7">
      <w:pPr>
        <w:pStyle w:val="ListParagraph"/>
        <w:numPr>
          <w:ilvl w:val="0"/>
          <w:numId w:val="3"/>
        </w:numPr>
        <w:ind w:left="284" w:hanging="284"/>
        <w:contextualSpacing/>
        <w:jc w:val="both"/>
        <w:rPr>
          <w:rFonts w:eastAsia="Arial Unicode MS"/>
          <w:color w:val="000000"/>
        </w:rPr>
      </w:pPr>
      <w:r w:rsidRPr="007A7801">
        <w:rPr>
          <w:rFonts w:eastAsia="Arial Unicode MS"/>
          <w:color w:val="000000"/>
        </w:rPr>
        <w:t>Studies and annual investigations for the better anticipation of the technical and vocational training needs of enterprises.</w:t>
      </w:r>
    </w:p>
    <w:p w:rsidR="00897884" w:rsidRPr="007A7801" w:rsidRDefault="00897884" w:rsidP="001D09A7">
      <w:pPr>
        <w:pStyle w:val="ListParagraph"/>
        <w:numPr>
          <w:ilvl w:val="0"/>
          <w:numId w:val="3"/>
        </w:numPr>
        <w:ind w:left="284" w:hanging="284"/>
        <w:contextualSpacing/>
        <w:jc w:val="both"/>
        <w:rPr>
          <w:lang w:val="en-GB"/>
        </w:rPr>
      </w:pPr>
      <w:r w:rsidRPr="007A7801">
        <w:rPr>
          <w:rFonts w:eastAsia="Arial Unicode MS"/>
          <w:color w:val="000000"/>
        </w:rPr>
        <w:t>Employment</w:t>
      </w:r>
      <w:r w:rsidRPr="007A7801">
        <w:rPr>
          <w:lang w:val="en-GB"/>
        </w:rPr>
        <w:t xml:space="preserve"> forecasts for green jobs.</w:t>
      </w:r>
    </w:p>
    <w:p w:rsidR="00897884" w:rsidRPr="007A7801" w:rsidRDefault="00897884" w:rsidP="00897884">
      <w:pPr>
        <w:ind w:left="284" w:hanging="284"/>
        <w:jc w:val="both"/>
        <w:rPr>
          <w:rFonts w:eastAsia="Arial Unicode MS"/>
        </w:rPr>
      </w:pPr>
    </w:p>
    <w:p w:rsidR="00897884" w:rsidRPr="007A7801" w:rsidRDefault="00897884" w:rsidP="00897884">
      <w:pPr>
        <w:jc w:val="both"/>
        <w:rPr>
          <w:rFonts w:eastAsia="Arial Unicode MS"/>
          <w:b/>
          <w:u w:val="single"/>
        </w:rPr>
      </w:pPr>
      <w:r w:rsidRPr="007A7801">
        <w:rPr>
          <w:rFonts w:eastAsia="Arial Unicode MS"/>
          <w:b/>
          <w:u w:val="single"/>
        </w:rPr>
        <w:t xml:space="preserve">Improving the Business Environment and the Efficiency of the Public sector </w:t>
      </w:r>
    </w:p>
    <w:p w:rsidR="00897884" w:rsidRPr="007A7801" w:rsidRDefault="00897884" w:rsidP="00897884">
      <w:pPr>
        <w:jc w:val="both"/>
        <w:rPr>
          <w:rFonts w:eastAsia="Arial Unicode MS"/>
          <w:b/>
          <w:u w:val="single"/>
        </w:rPr>
      </w:pPr>
    </w:p>
    <w:p w:rsidR="00897884" w:rsidRPr="007A7801" w:rsidRDefault="00897884" w:rsidP="001D09A7">
      <w:pPr>
        <w:pStyle w:val="ListParagraph"/>
        <w:numPr>
          <w:ilvl w:val="0"/>
          <w:numId w:val="4"/>
        </w:numPr>
        <w:ind w:left="284" w:hanging="284"/>
        <w:contextualSpacing/>
        <w:jc w:val="both"/>
        <w:rPr>
          <w:rFonts w:eastAsia="Arial Unicode MS"/>
        </w:rPr>
      </w:pPr>
      <w:r w:rsidRPr="007A7801">
        <w:rPr>
          <w:rFonts w:eastAsia="Arial Unicode MS"/>
          <w:color w:val="000000"/>
        </w:rPr>
        <w:t>Better Regulation: Decrease administrative burden by 20% by 2012.</w:t>
      </w:r>
    </w:p>
    <w:p w:rsidR="00897884" w:rsidRPr="007A7801" w:rsidRDefault="00897884" w:rsidP="001D09A7">
      <w:pPr>
        <w:pStyle w:val="ListParagraph"/>
        <w:numPr>
          <w:ilvl w:val="0"/>
          <w:numId w:val="4"/>
        </w:numPr>
        <w:ind w:left="284" w:hanging="284"/>
        <w:contextualSpacing/>
        <w:jc w:val="both"/>
        <w:rPr>
          <w:rFonts w:eastAsia="Arial Unicode MS"/>
        </w:rPr>
      </w:pPr>
      <w:r w:rsidRPr="007A7801">
        <w:rPr>
          <w:rFonts w:eastAsia="Arial Unicode MS"/>
        </w:rPr>
        <w:t>One Stop Shop &amp; Point of Single Contact</w:t>
      </w:r>
      <w:r w:rsidR="00E07738">
        <w:rPr>
          <w:rFonts w:eastAsia="Arial Unicode MS"/>
        </w:rPr>
        <w:t xml:space="preserve"> for faster set-up of companies.</w:t>
      </w:r>
    </w:p>
    <w:p w:rsidR="00897884" w:rsidRPr="007A7801" w:rsidRDefault="00897884" w:rsidP="001D09A7">
      <w:pPr>
        <w:pStyle w:val="ListParagraph"/>
        <w:numPr>
          <w:ilvl w:val="0"/>
          <w:numId w:val="4"/>
        </w:numPr>
        <w:ind w:left="284" w:hanging="284"/>
        <w:contextualSpacing/>
        <w:jc w:val="both"/>
        <w:rPr>
          <w:rFonts w:eastAsia="Arial Unicode MS"/>
        </w:rPr>
      </w:pPr>
      <w:r w:rsidRPr="007A7801">
        <w:rPr>
          <w:rFonts w:eastAsia="Arial Unicode MS"/>
        </w:rPr>
        <w:t xml:space="preserve">Electronic Public Procurement System (e-PS) and </w:t>
      </w:r>
      <w:r w:rsidRPr="007A7801">
        <w:rPr>
          <w:color w:val="000000"/>
          <w:lang w:eastAsia="el-GR"/>
        </w:rPr>
        <w:t>Sustainable public procurement.</w:t>
      </w:r>
    </w:p>
    <w:p w:rsidR="00897884" w:rsidRPr="007A7801" w:rsidRDefault="00897884" w:rsidP="001D09A7">
      <w:pPr>
        <w:pStyle w:val="ListParagraph"/>
        <w:numPr>
          <w:ilvl w:val="0"/>
          <w:numId w:val="4"/>
        </w:numPr>
        <w:ind w:left="284" w:hanging="284"/>
        <w:contextualSpacing/>
        <w:jc w:val="both"/>
        <w:rPr>
          <w:rFonts w:eastAsia="Arial Unicode MS"/>
        </w:rPr>
      </w:pPr>
      <w:r w:rsidRPr="007A7801">
        <w:rPr>
          <w:color w:val="000000"/>
          <w:lang w:eastAsia="el-GR"/>
        </w:rPr>
        <w:t>Promotion of the concept of Corporate Social Responsibility (CSR).</w:t>
      </w:r>
    </w:p>
    <w:p w:rsidR="00897884" w:rsidRPr="007A7801" w:rsidRDefault="00897884" w:rsidP="00897884">
      <w:pPr>
        <w:jc w:val="both"/>
      </w:pPr>
    </w:p>
    <w:p w:rsidR="00897884" w:rsidRPr="007A7801" w:rsidRDefault="00897884" w:rsidP="00897884">
      <w:pPr>
        <w:jc w:val="both"/>
      </w:pPr>
      <w:r w:rsidRPr="007A7801">
        <w:t xml:space="preserve">Other measures relating to Innovation and ICT proliferation are also promoted, as analysed under the respective chapters. It is hoped that the private sector will take advantage of the measures offered in order to move towards more promising sectors and activities and offer a better future to the highly qualified labour force and to the economy in general. </w:t>
      </w:r>
    </w:p>
    <w:p w:rsidR="00897884" w:rsidRPr="007A7801" w:rsidRDefault="00897884" w:rsidP="00897884">
      <w:pPr>
        <w:jc w:val="both"/>
        <w:rPr>
          <w:b/>
          <w:color w:val="17365D" w:themeColor="text2" w:themeShade="BF"/>
          <w:lang w:val="en-GB"/>
        </w:rPr>
      </w:pPr>
    </w:p>
    <w:p w:rsidR="0039210D" w:rsidRDefault="0039210D" w:rsidP="00897884">
      <w:pPr>
        <w:ind w:left="360"/>
        <w:jc w:val="both"/>
        <w:rPr>
          <w:highlight w:val="green"/>
          <w:lang w:val="en-GB"/>
        </w:rPr>
        <w:sectPr w:rsidR="0039210D" w:rsidSect="00021AFA">
          <w:type w:val="continuous"/>
          <w:pgSz w:w="12240" w:h="15840"/>
          <w:pgMar w:top="1560" w:right="1440" w:bottom="1296" w:left="1440" w:header="720" w:footer="720" w:gutter="0"/>
          <w:cols w:space="720"/>
          <w:titlePg/>
          <w:docGrid w:linePitch="360"/>
        </w:sectPr>
      </w:pPr>
    </w:p>
    <w:p w:rsidR="00897884" w:rsidRPr="007A7801" w:rsidRDefault="00897884">
      <w:pPr>
        <w:rPr>
          <w:sz w:val="96"/>
          <w:szCs w:val="96"/>
        </w:rPr>
      </w:pPr>
    </w:p>
    <w:p w:rsidR="00F0709B" w:rsidRDefault="00F0709B">
      <w:pPr>
        <w:rPr>
          <w:sz w:val="96"/>
          <w:szCs w:val="96"/>
        </w:rPr>
        <w:sectPr w:rsidR="00F0709B" w:rsidSect="00021AFA">
          <w:type w:val="continuous"/>
          <w:pgSz w:w="12240" w:h="15840"/>
          <w:pgMar w:top="1560" w:right="1440" w:bottom="1296" w:left="1440" w:header="720" w:footer="720" w:gutter="0"/>
          <w:cols w:space="720"/>
          <w:titlePg/>
          <w:docGrid w:linePitch="360"/>
        </w:sectPr>
      </w:pPr>
    </w:p>
    <w:p w:rsidR="00DE28F8" w:rsidRPr="007A7801" w:rsidRDefault="00F0709B" w:rsidP="00C46D30">
      <w:pPr>
        <w:pStyle w:val="Heading1"/>
        <w:spacing w:before="0"/>
        <w:rPr>
          <w:rFonts w:cs="Times New Roman"/>
          <w:b w:val="0"/>
          <w:szCs w:val="40"/>
          <w:lang w:val="en-GB"/>
        </w:rPr>
      </w:pPr>
      <w:bookmarkStart w:id="48" w:name="_Toc292454617"/>
      <w:r>
        <w:rPr>
          <w:rFonts w:cs="Times New Roman"/>
          <w:szCs w:val="40"/>
          <w:lang w:val="en-GB"/>
        </w:rPr>
        <w:lastRenderedPageBreak/>
        <w:t>4</w:t>
      </w:r>
      <w:r w:rsidR="00DE28F8" w:rsidRPr="007A7801">
        <w:rPr>
          <w:rFonts w:cs="Times New Roman"/>
          <w:szCs w:val="40"/>
          <w:lang w:val="en-GB"/>
        </w:rPr>
        <w:t>. INNOVATION</w:t>
      </w:r>
      <w:bookmarkEnd w:id="48"/>
    </w:p>
    <w:p w:rsidR="0050232A" w:rsidRPr="007A7801" w:rsidRDefault="0050232A" w:rsidP="007A7801">
      <w:pPr>
        <w:jc w:val="center"/>
        <w:rPr>
          <w:b/>
          <w:color w:val="548DD4" w:themeColor="text2" w:themeTint="99"/>
          <w:sz w:val="40"/>
          <w:szCs w:val="52"/>
          <w:lang w:val="en-GB"/>
        </w:rPr>
      </w:pPr>
    </w:p>
    <w:p w:rsidR="00DE28F8" w:rsidRPr="007A7801" w:rsidRDefault="00DE28F8" w:rsidP="007A7801">
      <w:pPr>
        <w:jc w:val="center"/>
        <w:rPr>
          <w:b/>
          <w:lang w:val="en-GB"/>
        </w:rPr>
      </w:pPr>
    </w:p>
    <w:tbl>
      <w:tblPr>
        <w:tblStyle w:val="TableGrid"/>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B8CCE4" w:themeFill="accent1" w:themeFillTint="66"/>
        <w:tblLook w:val="04A0"/>
      </w:tblPr>
      <w:tblGrid>
        <w:gridCol w:w="9356"/>
      </w:tblGrid>
      <w:tr w:rsidR="005A660A" w:rsidRPr="007A7801" w:rsidTr="00AB602C">
        <w:trPr>
          <w:trHeight w:val="1202"/>
        </w:trPr>
        <w:tc>
          <w:tcPr>
            <w:tcW w:w="9356" w:type="dxa"/>
            <w:shd w:val="clear" w:color="auto" w:fill="B8CCE4" w:themeFill="accent1" w:themeFillTint="66"/>
            <w:vAlign w:val="center"/>
          </w:tcPr>
          <w:p w:rsidR="005A660A" w:rsidRPr="007A7801" w:rsidRDefault="005A660A" w:rsidP="005A660A">
            <w:pPr>
              <w:spacing w:before="120"/>
              <w:rPr>
                <w:b/>
                <w:color w:val="365F91" w:themeColor="accent1" w:themeShade="BF"/>
                <w:sz w:val="28"/>
                <w:szCs w:val="28"/>
                <w:u w:val="single"/>
                <w:lang w:val="en-GB"/>
              </w:rPr>
            </w:pPr>
            <w:r w:rsidRPr="007A7801">
              <w:rPr>
                <w:b/>
                <w:color w:val="365F91" w:themeColor="accent1" w:themeShade="BF"/>
                <w:sz w:val="28"/>
                <w:szCs w:val="28"/>
                <w:u w:val="single"/>
                <w:lang w:val="en-GB"/>
              </w:rPr>
              <w:t>National target:</w:t>
            </w:r>
          </w:p>
          <w:p w:rsidR="005A660A" w:rsidRPr="007A7801" w:rsidRDefault="005A660A" w:rsidP="005A660A">
            <w:pPr>
              <w:spacing w:before="120"/>
              <w:rPr>
                <w:b/>
                <w:color w:val="365F91" w:themeColor="accent1" w:themeShade="BF"/>
                <w:lang w:val="en-GB"/>
              </w:rPr>
            </w:pPr>
            <w:r w:rsidRPr="007A7801">
              <w:rPr>
                <w:b/>
                <w:color w:val="365F91" w:themeColor="accent1" w:themeShade="BF"/>
                <w:sz w:val="28"/>
                <w:szCs w:val="28"/>
                <w:lang w:val="en-GB"/>
              </w:rPr>
              <w:t>Increase R&amp;D expenditure to 0,50% of GDP by 2020</w:t>
            </w:r>
          </w:p>
        </w:tc>
      </w:tr>
    </w:tbl>
    <w:p w:rsidR="00DE28F8" w:rsidRPr="007A7801" w:rsidRDefault="00DE28F8" w:rsidP="00DE28F8">
      <w:pPr>
        <w:jc w:val="both"/>
        <w:rPr>
          <w:b/>
          <w:u w:val="single"/>
          <w:lang w:val="en-GB"/>
        </w:rPr>
      </w:pPr>
    </w:p>
    <w:p w:rsidR="00DE28F8" w:rsidRPr="00C916DB" w:rsidRDefault="00DE28F8" w:rsidP="00FB7BAC">
      <w:pPr>
        <w:ind w:left="1418" w:hanging="1418"/>
        <w:jc w:val="both"/>
        <w:rPr>
          <w:b/>
          <w:i/>
          <w:color w:val="365F91" w:themeColor="accent1" w:themeShade="BF"/>
          <w:lang w:val="en-GB"/>
        </w:rPr>
      </w:pPr>
      <w:r w:rsidRPr="00C916DB">
        <w:rPr>
          <w:b/>
          <w:i/>
          <w:color w:val="365F91" w:themeColor="accent1" w:themeShade="BF"/>
          <w:lang w:val="en-GB"/>
        </w:rPr>
        <w:t>Guideline 4: “Optimising support for R&amp;D and innovation, strengthening the knowledge triangle and unleashing the potential of the digital economy”</w:t>
      </w:r>
    </w:p>
    <w:p w:rsidR="00DE28F8" w:rsidRPr="007A7801" w:rsidRDefault="00DE28F8" w:rsidP="00DE28F8">
      <w:pPr>
        <w:jc w:val="both"/>
        <w:rPr>
          <w:b/>
          <w:i/>
          <w:lang w:val="en-GB"/>
        </w:rPr>
      </w:pPr>
    </w:p>
    <w:p w:rsidR="00DE28F8" w:rsidRPr="007A7801" w:rsidRDefault="000A72FC" w:rsidP="000A72FC">
      <w:pPr>
        <w:pStyle w:val="Heading2"/>
        <w:rPr>
          <w:b w:val="0"/>
          <w:szCs w:val="28"/>
          <w:lang w:val="en-GB"/>
        </w:rPr>
      </w:pPr>
      <w:bookmarkStart w:id="49" w:name="_Toc292454618"/>
      <w:r w:rsidRPr="007A7801">
        <w:rPr>
          <w:szCs w:val="28"/>
          <w:lang w:val="en-GB"/>
        </w:rPr>
        <w:t>CURRENT SITUATION</w:t>
      </w:r>
      <w:bookmarkEnd w:id="49"/>
    </w:p>
    <w:p w:rsidR="00DE28F8" w:rsidRPr="007A7801" w:rsidRDefault="00DE28F8" w:rsidP="00DE28F8">
      <w:pPr>
        <w:jc w:val="both"/>
        <w:rPr>
          <w:rFonts w:eastAsia="Calibri"/>
          <w:lang w:val="en-GB"/>
        </w:rPr>
      </w:pPr>
    </w:p>
    <w:p w:rsidR="00DE28F8" w:rsidRPr="007A7801" w:rsidRDefault="00DE28F8" w:rsidP="00DE28F8">
      <w:pPr>
        <w:jc w:val="both"/>
        <w:rPr>
          <w:rFonts w:eastAsia="Calibri"/>
          <w:lang w:val="en-GB"/>
        </w:rPr>
      </w:pPr>
      <w:r w:rsidRPr="007A7801">
        <w:rPr>
          <w:rFonts w:eastAsia="Calibri"/>
          <w:b/>
          <w:lang w:val="en-GB"/>
        </w:rPr>
        <w:t xml:space="preserve">Research and Development: </w:t>
      </w:r>
      <w:r w:rsidRPr="007A7801">
        <w:rPr>
          <w:rFonts w:eastAsia="Calibri"/>
          <w:lang w:val="en-GB"/>
        </w:rPr>
        <w:t xml:space="preserve">While public efforts to improve research and innovation capabilities have been significantly enhanced during the last five years, the weakness </w:t>
      </w:r>
      <w:r w:rsidRPr="007A7801">
        <w:rPr>
          <w:lang w:val="en-GB"/>
        </w:rPr>
        <w:t xml:space="preserve">of the business sector to undertake and invest in R&amp;D activities did not help the country to increase its overall performance. As a consequence, Cyprus still ranks among the lowest performers among the EU members in terms of R&amp;D expenditure as a percentage of GDP. Meanwhile, </w:t>
      </w:r>
      <w:r w:rsidRPr="007A7801">
        <w:rPr>
          <w:rFonts w:eastAsia="Calibri"/>
          <w:lang w:val="en-GB"/>
        </w:rPr>
        <w:t xml:space="preserve">innovation policy has evolved rapidly, albeit in a rather fragmented way, with considerable progress leading to the classification of Cyprus among the “Innovation Followers” countries since 2009.  </w:t>
      </w:r>
    </w:p>
    <w:p w:rsidR="00DE28F8" w:rsidRPr="007A7801" w:rsidRDefault="00DE28F8" w:rsidP="00DE28F8">
      <w:pPr>
        <w:jc w:val="both"/>
        <w:rPr>
          <w:bCs/>
          <w:lang w:val="en-GB"/>
        </w:rPr>
      </w:pPr>
    </w:p>
    <w:p w:rsidR="00DE28F8" w:rsidRPr="007A7801" w:rsidRDefault="00DE28F8" w:rsidP="00DE28F8">
      <w:pPr>
        <w:jc w:val="both"/>
        <w:rPr>
          <w:lang w:val="en-GB"/>
        </w:rPr>
      </w:pPr>
      <w:r w:rsidRPr="007A7801">
        <w:rPr>
          <w:lang w:val="en-GB"/>
        </w:rPr>
        <w:t>Gross domestic expenditure on R&amp;D (GERD) increased to €73,4 mln in 2008, which accounts for 0,4</w:t>
      </w:r>
      <w:r w:rsidR="003573B2">
        <w:rPr>
          <w:lang w:val="en-GB"/>
        </w:rPr>
        <w:t>2</w:t>
      </w:r>
      <w:r w:rsidRPr="007A7801">
        <w:rPr>
          <w:lang w:val="en-GB"/>
        </w:rPr>
        <w:t>% of GDP, compared to €70,1 mln and 0,44% in 2007. This percentage ranks Cyprus last among the EU members, despite its efforts to increase considerably its expenditure in absolute figures, at a record 12% average annual growth during the last five years; one of the highest rates in the EU.</w:t>
      </w:r>
    </w:p>
    <w:p w:rsidR="00DE28F8" w:rsidRPr="007A7801" w:rsidRDefault="00DE28F8" w:rsidP="00DE28F8">
      <w:pPr>
        <w:jc w:val="both"/>
        <w:rPr>
          <w:lang w:val="en-GB"/>
        </w:rPr>
      </w:pPr>
    </w:p>
    <w:p w:rsidR="00DE28F8" w:rsidRPr="007A7801" w:rsidRDefault="00DE28F8" w:rsidP="00DE28F8">
      <w:pPr>
        <w:jc w:val="both"/>
        <w:rPr>
          <w:lang w:val="en-GB"/>
        </w:rPr>
      </w:pPr>
      <w:r w:rsidRPr="007A7801">
        <w:rPr>
          <w:lang w:val="en-GB"/>
        </w:rPr>
        <w:t xml:space="preserve">The main driver of the increase in R&amp;D expenditures was public investment with a share of 64% of GERD, whilst the investment of businesses in R&amp;D was only 18% of GERD, and funds from abroad accounted for 15%. The major source of external funds is the EU Framework Programmes for RTD, as well as other European Research Programmes. </w:t>
      </w:r>
    </w:p>
    <w:p w:rsidR="00DE28F8" w:rsidRPr="007A7801" w:rsidRDefault="00DE28F8" w:rsidP="00DE28F8">
      <w:pPr>
        <w:jc w:val="both"/>
        <w:rPr>
          <w:highlight w:val="yellow"/>
          <w:lang w:val="en-GB"/>
        </w:rPr>
      </w:pPr>
    </w:p>
    <w:p w:rsidR="00F0709B" w:rsidRDefault="00DE28F8" w:rsidP="00DE28F8">
      <w:pPr>
        <w:jc w:val="both"/>
        <w:rPr>
          <w:lang w:val="en-GB"/>
        </w:rPr>
        <w:sectPr w:rsidR="00F0709B" w:rsidSect="00F0709B">
          <w:headerReference w:type="default" r:id="rId22"/>
          <w:headerReference w:type="first" r:id="rId23"/>
          <w:pgSz w:w="12240" w:h="15840"/>
          <w:pgMar w:top="1560" w:right="1440" w:bottom="1296" w:left="1440" w:header="720" w:footer="720" w:gutter="0"/>
          <w:cols w:space="720"/>
          <w:titlePg/>
          <w:docGrid w:linePitch="360"/>
        </w:sectPr>
      </w:pPr>
      <w:r w:rsidRPr="007A7801">
        <w:rPr>
          <w:lang w:val="en-GB"/>
        </w:rPr>
        <w:t xml:space="preserve">Higher Education Institutes are consistently the major performers in R&amp;D with a share of 44% of GERD, with the University of Cyprus conducting about 80% of Higher Education research activities in 2008. The expansion of research activities of the higher education institutions has been diminishing in the last years.  In 2008 the increase observed was only 1% compared to 2007, which could be interpreted as an indication that the major research institutions are approaching their full capacity utilisation. Public sector’s performance on R&amp;D has also been declining during the last five years and dropped to 23% of GERD in 2008 compared to 36% in 2004. Businesses’ share on R&amp;D activities is recorded stable in the last years around 23%, with Information and Communication Technologies (ICT) being the major sector of business performance (47%). An upward trend has been observed during the last five years in the private </w:t>
      </w:r>
    </w:p>
    <w:p w:rsidR="00DE28F8" w:rsidRPr="007A7801" w:rsidRDefault="00DE28F8" w:rsidP="00DE28F8">
      <w:pPr>
        <w:jc w:val="both"/>
        <w:rPr>
          <w:lang w:val="en-GB"/>
        </w:rPr>
      </w:pPr>
      <w:r w:rsidRPr="007A7801">
        <w:rPr>
          <w:lang w:val="en-GB"/>
        </w:rPr>
        <w:lastRenderedPageBreak/>
        <w:t xml:space="preserve">non-profit organisations, as its share of R&amp;D performance reached 11% in 2008 from 7% in 2004. </w:t>
      </w:r>
    </w:p>
    <w:p w:rsidR="006A63CA" w:rsidRDefault="006A63CA" w:rsidP="00DE28F8">
      <w:pPr>
        <w:jc w:val="both"/>
        <w:rPr>
          <w:lang w:val="en-GB"/>
        </w:rPr>
        <w:sectPr w:rsidR="006A63CA" w:rsidSect="00F0709B">
          <w:type w:val="continuous"/>
          <w:pgSz w:w="12240" w:h="15840"/>
          <w:pgMar w:top="1560" w:right="1440" w:bottom="1296" w:left="1440" w:header="720" w:footer="720" w:gutter="0"/>
          <w:cols w:space="720"/>
          <w:titlePg/>
          <w:docGrid w:linePitch="360"/>
        </w:sectPr>
      </w:pPr>
    </w:p>
    <w:p w:rsidR="00DE28F8" w:rsidRPr="007A7801" w:rsidRDefault="00DE28F8" w:rsidP="00DE28F8">
      <w:pPr>
        <w:jc w:val="both"/>
        <w:rPr>
          <w:lang w:val="en-GB"/>
        </w:rPr>
      </w:pPr>
      <w:r w:rsidRPr="007A7801">
        <w:rPr>
          <w:lang w:val="en-GB"/>
        </w:rPr>
        <w:lastRenderedPageBreak/>
        <w:t>On the basis of international collaboration agreements, and bilateral agreements with distinguished institutions and research centres of excellence from third countries, new Research Institutes and Research Centres have been created in Cyprus, which conduct high quality research. They primarily concentrate on research areas where Cyprus and the Mediterranean region in general face common challenges, such as water shortage, energy inefficiencies, climate change etc.</w:t>
      </w:r>
    </w:p>
    <w:p w:rsidR="000A72FC" w:rsidRPr="007A7801" w:rsidRDefault="000A72FC" w:rsidP="00DE28F8">
      <w:pPr>
        <w:jc w:val="both"/>
        <w:rPr>
          <w:b/>
          <w:highlight w:val="yellow"/>
          <w:lang w:val="en-GB"/>
        </w:rPr>
      </w:pPr>
    </w:p>
    <w:p w:rsidR="00CB6C3B" w:rsidRPr="008643FD" w:rsidRDefault="00CB6C3B" w:rsidP="00CB6C3B">
      <w:pPr>
        <w:jc w:val="both"/>
      </w:pPr>
      <w:r w:rsidRPr="00A96347">
        <w:rPr>
          <w:b/>
          <w:lang w:val="en-GB"/>
        </w:rPr>
        <w:t>Emphasis on Innovation</w:t>
      </w:r>
      <w:r w:rsidRPr="00A96347">
        <w:rPr>
          <w:lang w:val="en-GB"/>
        </w:rPr>
        <w:t>: As there is a limited capacity for Cyprus to increase private R&amp;D, due to the considerable number of micro enterprises, operating mainly in the services sector, supplementary efforts will be placed</w:t>
      </w:r>
      <w:r>
        <w:rPr>
          <w:lang w:val="en-GB"/>
        </w:rPr>
        <w:t xml:space="preserve"> on </w:t>
      </w:r>
      <w:r w:rsidRPr="00A96347">
        <w:rPr>
          <w:lang w:val="en-GB"/>
        </w:rPr>
        <w:t>enhanc</w:t>
      </w:r>
      <w:r>
        <w:rPr>
          <w:lang w:val="en-GB"/>
        </w:rPr>
        <w:t>ing the</w:t>
      </w:r>
      <w:r w:rsidRPr="00A96347">
        <w:rPr>
          <w:lang w:val="en-GB"/>
        </w:rPr>
        <w:t xml:space="preserve"> involvement of businesses in innovation activities.</w:t>
      </w:r>
      <w:r>
        <w:rPr>
          <w:lang w:val="en-GB"/>
        </w:rPr>
        <w:t xml:space="preserve"> </w:t>
      </w:r>
    </w:p>
    <w:p w:rsidR="00DE28F8" w:rsidRPr="00CB6C3B" w:rsidRDefault="00DE28F8" w:rsidP="00DE28F8">
      <w:pPr>
        <w:jc w:val="both"/>
      </w:pPr>
    </w:p>
    <w:p w:rsidR="00DE28F8" w:rsidRPr="007A7801" w:rsidRDefault="00DE28F8" w:rsidP="00DE28F8">
      <w:pPr>
        <w:jc w:val="both"/>
        <w:rPr>
          <w:lang w:val="en-GB"/>
        </w:rPr>
      </w:pPr>
      <w:r w:rsidRPr="007A7801">
        <w:rPr>
          <w:lang w:val="en-GB"/>
        </w:rPr>
        <w:t>Cyprus’ efforts to broaden the relatively small base of high technology industry brought tangible results during the last few years, with the establishment of a number of innovative companies that export to Europe and to the USA. Most of these companies have graduated from the business incubators programme.</w:t>
      </w:r>
    </w:p>
    <w:p w:rsidR="00DE28F8" w:rsidRPr="007A7801" w:rsidRDefault="00DE28F8" w:rsidP="00DE28F8">
      <w:pPr>
        <w:jc w:val="both"/>
        <w:rPr>
          <w:lang w:val="en-GB"/>
        </w:rPr>
      </w:pPr>
    </w:p>
    <w:p w:rsidR="00DE28F8" w:rsidRPr="007A7801" w:rsidRDefault="00DE28F8" w:rsidP="00DE28F8">
      <w:pPr>
        <w:jc w:val="both"/>
        <w:rPr>
          <w:lang w:val="en-GB"/>
        </w:rPr>
      </w:pPr>
      <w:r w:rsidRPr="007A7801">
        <w:rPr>
          <w:lang w:val="en-GB"/>
        </w:rPr>
        <w:t>As indicated by the Innovation Union Scoreboard-IUS (2010) as well as by previous European Innovation Scoreboards (2007-2009), Cyprus has demonstrated a consistent gradual progress, which allowed the country to upgrade from a “Catching-up country” in 2007 to an “Innovation Follower country” since 2009.  In 2010, Cyprus continues to show a performan</w:t>
      </w:r>
      <w:r w:rsidR="00AB602C">
        <w:rPr>
          <w:lang w:val="en-GB"/>
        </w:rPr>
        <w:t>ce close to that of the EU27 (0,516) with a score of 0,</w:t>
      </w:r>
      <w:r w:rsidRPr="007A7801">
        <w:rPr>
          <w:lang w:val="en-GB"/>
        </w:rPr>
        <w:t>495, which ranks Cyprus 12</w:t>
      </w:r>
      <w:r w:rsidRPr="007A7801">
        <w:rPr>
          <w:vertAlign w:val="superscript"/>
          <w:lang w:val="en-GB"/>
        </w:rPr>
        <w:t>th</w:t>
      </w:r>
      <w:r w:rsidR="00AB602C">
        <w:rPr>
          <w:lang w:val="en-GB"/>
        </w:rPr>
        <w:t xml:space="preserve"> among EU27</w:t>
      </w:r>
      <w:r w:rsidRPr="007A7801">
        <w:rPr>
          <w:lang w:val="en-GB"/>
        </w:rPr>
        <w:t xml:space="preserve"> (ranked 13th in 2009).</w:t>
      </w:r>
    </w:p>
    <w:p w:rsidR="00DE28F8" w:rsidRPr="007A7801" w:rsidRDefault="00DE28F8" w:rsidP="00DE28F8">
      <w:pPr>
        <w:jc w:val="both"/>
        <w:rPr>
          <w:lang w:val="en-GB"/>
        </w:rPr>
      </w:pPr>
    </w:p>
    <w:p w:rsidR="00E256AE" w:rsidRPr="00716585" w:rsidRDefault="00E256AE" w:rsidP="00E256AE">
      <w:pPr>
        <w:jc w:val="both"/>
        <w:rPr>
          <w:lang w:val="en-GB"/>
        </w:rPr>
      </w:pPr>
      <w:r w:rsidRPr="00716585">
        <w:rPr>
          <w:lang w:val="en-GB"/>
        </w:rPr>
        <w:t xml:space="preserve">According to the Innovation Union Scoreboard 2010, the main relative strengths of Cyprus fall within </w:t>
      </w:r>
      <w:r w:rsidRPr="008A100D">
        <w:rPr>
          <w:lang w:val="en-GB"/>
        </w:rPr>
        <w:t>the category “Innovators” where Cyprus is ranked 4</w:t>
      </w:r>
      <w:r w:rsidRPr="008A100D">
        <w:rPr>
          <w:vertAlign w:val="superscript"/>
          <w:lang w:val="en-GB"/>
        </w:rPr>
        <w:t>th</w:t>
      </w:r>
      <w:r w:rsidRPr="008A100D">
        <w:rPr>
          <w:lang w:val="en-GB"/>
        </w:rPr>
        <w:t xml:space="preserve"> among EU27. “Linkages &amp; Entrepreneurship” is another category where Cyprus scored high, significantly above the EU27 average (ranked 6</w:t>
      </w:r>
      <w:r w:rsidRPr="008A100D">
        <w:rPr>
          <w:vertAlign w:val="superscript"/>
          <w:lang w:val="en-GB"/>
        </w:rPr>
        <w:t>th</w:t>
      </w:r>
      <w:r w:rsidRPr="008A100D">
        <w:rPr>
          <w:lang w:val="en-GB"/>
        </w:rPr>
        <w:t>). On the other hand, relative weaknesses are observed mainly in the categories “Finance and Support” and “Intellectual Assets” and to a lesser extent in category “Open, excellent and attractive research systems”. Regarding the category</w:t>
      </w:r>
      <w:r w:rsidRPr="00716585">
        <w:rPr>
          <w:lang w:val="en-GB"/>
        </w:rPr>
        <w:t xml:space="preserve"> “Finance and </w:t>
      </w:r>
      <w:r w:rsidRPr="00A96347">
        <w:rPr>
          <w:lang w:val="en-GB"/>
        </w:rPr>
        <w:t>Support”, Cyprus is underperforming on “Public R&amp;D expenditure” while there is no market</w:t>
      </w:r>
      <w:r w:rsidRPr="00716585">
        <w:rPr>
          <w:lang w:val="en-GB"/>
        </w:rPr>
        <w:t xml:space="preserve"> of venture capital, which is </w:t>
      </w:r>
      <w:r w:rsidR="00104072">
        <w:rPr>
          <w:lang w:val="en-GB"/>
        </w:rPr>
        <w:t xml:space="preserve">a </w:t>
      </w:r>
      <w:r>
        <w:rPr>
          <w:lang w:val="en-GB"/>
        </w:rPr>
        <w:t xml:space="preserve">common characteristic of </w:t>
      </w:r>
      <w:r w:rsidRPr="00716585">
        <w:rPr>
          <w:lang w:val="en-GB"/>
        </w:rPr>
        <w:t xml:space="preserve">most of the “smaller” EU members. It should also be noted that in </w:t>
      </w:r>
      <w:r>
        <w:rPr>
          <w:lang w:val="en-GB"/>
        </w:rPr>
        <w:t xml:space="preserve">the </w:t>
      </w:r>
      <w:r w:rsidRPr="00716585">
        <w:rPr>
          <w:lang w:val="en-GB"/>
        </w:rPr>
        <w:t>category “Firm Investments” Cyprus records a rather impressive IUS score in “Non R&amp;D innovation expenditure” (ranked 2</w:t>
      </w:r>
      <w:r w:rsidRPr="00716585">
        <w:rPr>
          <w:vertAlign w:val="superscript"/>
          <w:lang w:val="en-GB"/>
        </w:rPr>
        <w:t>nd</w:t>
      </w:r>
      <w:r w:rsidRPr="00716585">
        <w:rPr>
          <w:lang w:val="en-GB"/>
        </w:rPr>
        <w:t>), while in “Business R&amp;D expenditure” it appears as the worst performer.</w:t>
      </w:r>
    </w:p>
    <w:p w:rsidR="00DE28F8" w:rsidRPr="007A7801" w:rsidRDefault="00DE28F8" w:rsidP="00DE28F8">
      <w:pPr>
        <w:jc w:val="both"/>
        <w:textAlignment w:val="top"/>
        <w:rPr>
          <w:lang w:val="en-GB"/>
        </w:rPr>
      </w:pPr>
      <w:r w:rsidRPr="007A7801">
        <w:rPr>
          <w:lang w:val="en-GB"/>
        </w:rPr>
        <w:t xml:space="preserve"> </w:t>
      </w:r>
    </w:p>
    <w:p w:rsidR="00F0709B" w:rsidRDefault="00DE28F8" w:rsidP="00DE28F8">
      <w:pPr>
        <w:jc w:val="both"/>
        <w:textAlignment w:val="top"/>
        <w:rPr>
          <w:lang w:val="en-GB" w:eastAsia="el-GR"/>
        </w:rPr>
        <w:sectPr w:rsidR="00F0709B" w:rsidSect="00F0709B">
          <w:type w:val="continuous"/>
          <w:pgSz w:w="12240" w:h="15840"/>
          <w:pgMar w:top="1560" w:right="1440" w:bottom="1296" w:left="1440" w:header="720" w:footer="720" w:gutter="0"/>
          <w:cols w:space="720"/>
          <w:titlePg/>
          <w:docGrid w:linePitch="360"/>
        </w:sectPr>
      </w:pPr>
      <w:r w:rsidRPr="007A7801">
        <w:rPr>
          <w:lang w:val="en-GB" w:eastAsia="el-GR"/>
        </w:rPr>
        <w:t>Cyprus experiences both a top-5 rank in the IUS and high growth in the following categories: “Public-Private co-publications”, “Community Trademarks”, “Sales of new products” and “International scientific co-publications”. However, a strong decline is observed for “PCT patent applications in societal challenges” and “Community designs”. Finally it can be derived that there is potential for improvement in human resources, doctorate graduates in particular, in EP</w:t>
      </w:r>
      <w:r w:rsidR="00E256AE">
        <w:rPr>
          <w:lang w:val="en-GB" w:eastAsia="el-GR"/>
        </w:rPr>
        <w:t>O patents and Community designs,</w:t>
      </w:r>
      <w:r w:rsidRPr="007A7801">
        <w:rPr>
          <w:lang w:val="en-GB" w:eastAsia="el-GR"/>
        </w:rPr>
        <w:t xml:space="preserve"> </w:t>
      </w:r>
      <w:r w:rsidRPr="00E256AE">
        <w:rPr>
          <w:lang w:val="en-GB" w:eastAsia="el-GR"/>
        </w:rPr>
        <w:t>as well as in business R&amp;D expenditures.</w:t>
      </w:r>
    </w:p>
    <w:p w:rsidR="00DE28F8" w:rsidRPr="00E256AE" w:rsidRDefault="00DE28F8" w:rsidP="00DE28F8">
      <w:pPr>
        <w:jc w:val="both"/>
        <w:textAlignment w:val="top"/>
        <w:rPr>
          <w:lang w:val="en-GB" w:eastAsia="el-GR"/>
        </w:rPr>
      </w:pPr>
    </w:p>
    <w:p w:rsidR="006A63CA" w:rsidRDefault="00DE28F8" w:rsidP="00F0709B">
      <w:pPr>
        <w:tabs>
          <w:tab w:val="num" w:pos="0"/>
        </w:tabs>
        <w:autoSpaceDE w:val="0"/>
        <w:autoSpaceDN w:val="0"/>
        <w:adjustRightInd w:val="0"/>
        <w:jc w:val="both"/>
        <w:rPr>
          <w:color w:val="000000"/>
        </w:rPr>
        <w:sectPr w:rsidR="006A63CA" w:rsidSect="00F0709B">
          <w:type w:val="continuous"/>
          <w:pgSz w:w="12240" w:h="15840"/>
          <w:pgMar w:top="1560" w:right="1440" w:bottom="1296" w:left="1440" w:header="720" w:footer="720" w:gutter="0"/>
          <w:cols w:space="720"/>
          <w:titlePg/>
          <w:docGrid w:linePitch="360"/>
        </w:sectPr>
      </w:pPr>
      <w:r w:rsidRPr="007A7801">
        <w:rPr>
          <w:lang w:val="en-GB"/>
        </w:rPr>
        <w:t xml:space="preserve">An important recent development is the reform of the National Research and Innovation System of Cyprus, which envisaged the establishment of two new autonomous entities; namely the National Research and Innovation Council (NRC) and the Cyprus Scientific Council (CSC). </w:t>
      </w:r>
      <w:r w:rsidRPr="007A7801">
        <w:rPr>
          <w:color w:val="000000"/>
        </w:rPr>
        <w:t xml:space="preserve">The NRC is responsible for adopting long-term strategies in research and innovation, while the CSC </w:t>
      </w:r>
    </w:p>
    <w:p w:rsidR="001D114C" w:rsidRDefault="00DE28F8" w:rsidP="00F0709B">
      <w:pPr>
        <w:tabs>
          <w:tab w:val="num" w:pos="0"/>
        </w:tabs>
        <w:autoSpaceDE w:val="0"/>
        <w:autoSpaceDN w:val="0"/>
        <w:adjustRightInd w:val="0"/>
        <w:jc w:val="both"/>
        <w:rPr>
          <w:lang w:val="en-GB"/>
        </w:rPr>
      </w:pPr>
      <w:r w:rsidRPr="007A7801">
        <w:rPr>
          <w:color w:val="000000"/>
        </w:rPr>
        <w:lastRenderedPageBreak/>
        <w:t xml:space="preserve">is the advisory board to the NRC and its mandate is to formulate research strategy proposals. </w:t>
      </w:r>
      <w:r w:rsidRPr="007A7801">
        <w:rPr>
          <w:lang w:val="en-GB"/>
        </w:rPr>
        <w:t>The two bodies held their first meetings in 2010. At the same time, innovation activities were taken up by the Research Promotion Foundation (RPF), which is the major funding agency for the implementation of the National Research and Innovation Strategy.</w:t>
      </w:r>
      <w:r w:rsidR="001D114C">
        <w:rPr>
          <w:lang w:val="en-GB"/>
        </w:rPr>
        <w:t xml:space="preserve"> </w:t>
      </w:r>
      <w:r w:rsidRPr="007A7801">
        <w:rPr>
          <w:lang w:val="en-GB"/>
        </w:rPr>
        <w:t>It is also important to quote that approximately 45% of the RPF National Framework Programme 2008-2010 is expected to be financed by EU Structural Funds.</w:t>
      </w:r>
    </w:p>
    <w:p w:rsidR="00DE28F8" w:rsidRPr="007A7801" w:rsidRDefault="00DE28F8" w:rsidP="001D114C">
      <w:pPr>
        <w:tabs>
          <w:tab w:val="num" w:pos="0"/>
        </w:tabs>
        <w:autoSpaceDE w:val="0"/>
        <w:autoSpaceDN w:val="0"/>
        <w:adjustRightInd w:val="0"/>
        <w:jc w:val="both"/>
        <w:rPr>
          <w:lang w:val="en-GB"/>
        </w:rPr>
      </w:pPr>
      <w:r w:rsidRPr="007A7801">
        <w:rPr>
          <w:lang w:val="en-GB"/>
        </w:rPr>
        <w:t xml:space="preserve"> </w:t>
      </w:r>
    </w:p>
    <w:p w:rsidR="00DE28F8" w:rsidRPr="007A7801" w:rsidRDefault="00DE28F8" w:rsidP="00DE28F8">
      <w:pPr>
        <w:jc w:val="both"/>
        <w:rPr>
          <w:lang w:val="en-GB"/>
        </w:rPr>
      </w:pPr>
      <w:r w:rsidRPr="007A7801">
        <w:rPr>
          <w:lang w:val="en-GB"/>
        </w:rPr>
        <w:t xml:space="preserve"> </w:t>
      </w:r>
      <w:r w:rsidRPr="007A7801">
        <w:rPr>
          <w:b/>
          <w:u w:val="single"/>
          <w:lang w:val="en-GB"/>
        </w:rPr>
        <w:t>Bottlenecks</w:t>
      </w:r>
      <w:r w:rsidRPr="007A7801">
        <w:rPr>
          <w:b/>
          <w:lang w:val="en-GB"/>
        </w:rPr>
        <w:t xml:space="preserve">: </w:t>
      </w:r>
      <w:r w:rsidRPr="007A7801">
        <w:rPr>
          <w:lang w:val="en-GB"/>
        </w:rPr>
        <w:t xml:space="preserve">As indicated in the Peer Review of Cyprus 2010, the major constraints in the development of the research and innovation sector in Cyprus are: </w:t>
      </w:r>
    </w:p>
    <w:p w:rsidR="00DE28F8" w:rsidRPr="007A7801" w:rsidRDefault="00DE28F8" w:rsidP="00DE28F8">
      <w:pPr>
        <w:pStyle w:val="NoSpacing"/>
        <w:tabs>
          <w:tab w:val="left" w:pos="426"/>
        </w:tabs>
        <w:ind w:left="426" w:hanging="426"/>
        <w:jc w:val="both"/>
        <w:rPr>
          <w:rFonts w:ascii="Times New Roman" w:hAnsi="Times New Roman"/>
          <w:sz w:val="24"/>
          <w:szCs w:val="24"/>
          <w:lang w:val="en-GB"/>
        </w:rPr>
      </w:pPr>
    </w:p>
    <w:p w:rsidR="00DE28F8" w:rsidRPr="007A7801" w:rsidRDefault="00DE28F8" w:rsidP="00DE28F8">
      <w:pPr>
        <w:pStyle w:val="NoSpacing"/>
        <w:tabs>
          <w:tab w:val="left" w:pos="426"/>
        </w:tabs>
        <w:ind w:left="426" w:hanging="426"/>
        <w:jc w:val="both"/>
        <w:rPr>
          <w:rFonts w:ascii="Times New Roman" w:hAnsi="Times New Roman"/>
          <w:sz w:val="24"/>
          <w:szCs w:val="24"/>
          <w:lang w:val="en-GB"/>
        </w:rPr>
      </w:pPr>
      <w:r w:rsidRPr="007A7801">
        <w:rPr>
          <w:rFonts w:ascii="Times New Roman" w:hAnsi="Times New Roman"/>
          <w:sz w:val="24"/>
          <w:szCs w:val="24"/>
          <w:lang w:val="en-GB"/>
        </w:rPr>
        <w:t>(a)</w:t>
      </w:r>
      <w:r w:rsidRPr="007A7801">
        <w:rPr>
          <w:rFonts w:ascii="Times New Roman" w:hAnsi="Times New Roman"/>
          <w:sz w:val="24"/>
          <w:szCs w:val="24"/>
          <w:lang w:val="en-GB"/>
        </w:rPr>
        <w:tab/>
        <w:t>Limited human capacity available for research:</w:t>
      </w:r>
    </w:p>
    <w:p w:rsidR="00DE28F8" w:rsidRPr="007A7801" w:rsidRDefault="00DE28F8" w:rsidP="001D09A7">
      <w:pPr>
        <w:pStyle w:val="NoSpacing"/>
        <w:numPr>
          <w:ilvl w:val="0"/>
          <w:numId w:val="24"/>
        </w:numPr>
        <w:ind w:hanging="294"/>
        <w:jc w:val="both"/>
        <w:rPr>
          <w:rFonts w:ascii="Times New Roman" w:hAnsi="Times New Roman"/>
          <w:sz w:val="24"/>
          <w:szCs w:val="24"/>
          <w:lang w:val="en-GB"/>
        </w:rPr>
      </w:pPr>
      <w:r w:rsidRPr="007A7801">
        <w:rPr>
          <w:rFonts w:ascii="Times New Roman" w:hAnsi="Times New Roman"/>
          <w:sz w:val="24"/>
          <w:szCs w:val="24"/>
          <w:lang w:val="en-GB"/>
        </w:rPr>
        <w:t>Small number of researchers.</w:t>
      </w:r>
    </w:p>
    <w:p w:rsidR="00DE28F8" w:rsidRPr="007A7801" w:rsidRDefault="00DE28F8" w:rsidP="001D09A7">
      <w:pPr>
        <w:pStyle w:val="NoSpacing"/>
        <w:numPr>
          <w:ilvl w:val="0"/>
          <w:numId w:val="24"/>
        </w:numPr>
        <w:ind w:hanging="294"/>
        <w:jc w:val="both"/>
        <w:rPr>
          <w:rFonts w:ascii="Times New Roman" w:hAnsi="Times New Roman"/>
          <w:sz w:val="24"/>
          <w:szCs w:val="24"/>
          <w:lang w:val="en-GB"/>
        </w:rPr>
      </w:pPr>
      <w:r w:rsidRPr="007A7801">
        <w:rPr>
          <w:rFonts w:ascii="Times New Roman" w:hAnsi="Times New Roman"/>
          <w:sz w:val="24"/>
          <w:szCs w:val="24"/>
          <w:lang w:val="en-GB"/>
        </w:rPr>
        <w:t>Low number of new doctorate graduates.</w:t>
      </w:r>
    </w:p>
    <w:p w:rsidR="00DE28F8" w:rsidRPr="007A7801" w:rsidRDefault="00DE28F8" w:rsidP="001D09A7">
      <w:pPr>
        <w:pStyle w:val="NoSpacing"/>
        <w:numPr>
          <w:ilvl w:val="0"/>
          <w:numId w:val="24"/>
        </w:numPr>
        <w:ind w:hanging="294"/>
        <w:jc w:val="both"/>
        <w:rPr>
          <w:rFonts w:ascii="Times New Roman" w:hAnsi="Times New Roman"/>
          <w:sz w:val="24"/>
          <w:szCs w:val="24"/>
          <w:lang w:val="en-GB"/>
        </w:rPr>
      </w:pPr>
      <w:r w:rsidRPr="007A7801">
        <w:rPr>
          <w:rFonts w:ascii="Times New Roman" w:hAnsi="Times New Roman"/>
          <w:sz w:val="24"/>
          <w:szCs w:val="24"/>
          <w:lang w:val="en-GB"/>
        </w:rPr>
        <w:t>Restricted demand from industry and businesses for researchers and PhD holders, which prevents students to pursue researcher’s career.</w:t>
      </w:r>
    </w:p>
    <w:p w:rsidR="00DE28F8" w:rsidRPr="007A7801" w:rsidRDefault="00DE28F8" w:rsidP="00DE28F8">
      <w:pPr>
        <w:pStyle w:val="NoSpacing"/>
        <w:ind w:left="720" w:hanging="294"/>
        <w:jc w:val="both"/>
        <w:rPr>
          <w:rFonts w:ascii="Times New Roman" w:hAnsi="Times New Roman"/>
          <w:sz w:val="24"/>
          <w:szCs w:val="24"/>
          <w:lang w:val="en-GB"/>
        </w:rPr>
      </w:pPr>
    </w:p>
    <w:p w:rsidR="00DE28F8" w:rsidRPr="007A7801" w:rsidRDefault="00DE28F8" w:rsidP="001D09A7">
      <w:pPr>
        <w:pStyle w:val="NoSpacing"/>
        <w:numPr>
          <w:ilvl w:val="0"/>
          <w:numId w:val="25"/>
        </w:numPr>
        <w:tabs>
          <w:tab w:val="left" w:pos="426"/>
        </w:tabs>
        <w:ind w:left="426" w:hanging="426"/>
        <w:jc w:val="both"/>
        <w:rPr>
          <w:rFonts w:ascii="Times New Roman" w:hAnsi="Times New Roman"/>
          <w:sz w:val="24"/>
          <w:szCs w:val="24"/>
          <w:lang w:val="en-GB"/>
        </w:rPr>
      </w:pPr>
      <w:r w:rsidRPr="007A7801">
        <w:rPr>
          <w:rFonts w:ascii="Times New Roman" w:hAnsi="Times New Roman"/>
          <w:sz w:val="24"/>
          <w:szCs w:val="24"/>
          <w:lang w:val="en-GB"/>
        </w:rPr>
        <w:t>Limited engagement of enterprises to research activities:</w:t>
      </w:r>
    </w:p>
    <w:p w:rsidR="00DE28F8" w:rsidRPr="007A7801" w:rsidRDefault="00DE28F8" w:rsidP="001D09A7">
      <w:pPr>
        <w:pStyle w:val="NoSpacing"/>
        <w:numPr>
          <w:ilvl w:val="0"/>
          <w:numId w:val="24"/>
        </w:numPr>
        <w:ind w:hanging="294"/>
        <w:jc w:val="both"/>
        <w:rPr>
          <w:rFonts w:ascii="Times New Roman" w:hAnsi="Times New Roman"/>
          <w:sz w:val="24"/>
          <w:szCs w:val="24"/>
          <w:lang w:val="en-GB"/>
        </w:rPr>
      </w:pPr>
      <w:r w:rsidRPr="007A7801">
        <w:rPr>
          <w:rFonts w:ascii="Times New Roman" w:hAnsi="Times New Roman"/>
          <w:sz w:val="24"/>
          <w:szCs w:val="24"/>
          <w:lang w:val="en-GB"/>
        </w:rPr>
        <w:t>The absence of significant size industries in Cyprus and the very small size of Cypriot businesses, 94% of which employ less than 10 persons.</w:t>
      </w:r>
    </w:p>
    <w:p w:rsidR="00DE28F8" w:rsidRPr="007A7801" w:rsidRDefault="00DE28F8" w:rsidP="001D09A7">
      <w:pPr>
        <w:pStyle w:val="NoSpacing"/>
        <w:numPr>
          <w:ilvl w:val="0"/>
          <w:numId w:val="24"/>
        </w:numPr>
        <w:ind w:hanging="294"/>
        <w:jc w:val="both"/>
        <w:rPr>
          <w:rFonts w:ascii="Times New Roman" w:hAnsi="Times New Roman"/>
          <w:sz w:val="24"/>
          <w:szCs w:val="24"/>
          <w:lang w:val="en-GB"/>
        </w:rPr>
      </w:pPr>
      <w:r w:rsidRPr="007A7801">
        <w:rPr>
          <w:rFonts w:ascii="Times New Roman" w:hAnsi="Times New Roman"/>
          <w:sz w:val="24"/>
          <w:szCs w:val="24"/>
          <w:lang w:val="en-GB"/>
        </w:rPr>
        <w:t>Limited research activities in the services sector, which accounts for about 75% of GDP.</w:t>
      </w:r>
    </w:p>
    <w:p w:rsidR="00DE28F8" w:rsidRPr="007A7801" w:rsidRDefault="00DE28F8" w:rsidP="001D09A7">
      <w:pPr>
        <w:pStyle w:val="NoSpacing"/>
        <w:numPr>
          <w:ilvl w:val="0"/>
          <w:numId w:val="24"/>
        </w:numPr>
        <w:ind w:hanging="294"/>
        <w:jc w:val="both"/>
        <w:rPr>
          <w:rFonts w:ascii="Times New Roman" w:hAnsi="Times New Roman"/>
          <w:sz w:val="24"/>
          <w:szCs w:val="24"/>
          <w:lang w:val="en-GB"/>
        </w:rPr>
      </w:pPr>
      <w:r w:rsidRPr="007A7801">
        <w:rPr>
          <w:rFonts w:ascii="Times New Roman" w:hAnsi="Times New Roman"/>
          <w:sz w:val="24"/>
          <w:szCs w:val="24"/>
          <w:lang w:val="en-GB"/>
        </w:rPr>
        <w:t>Lack of awareness (and culture) of enterprises for the potential benefits of innovation.</w:t>
      </w:r>
    </w:p>
    <w:p w:rsidR="00DE28F8" w:rsidRPr="007A7801" w:rsidRDefault="00DE28F8" w:rsidP="001D09A7">
      <w:pPr>
        <w:pStyle w:val="NoSpacing"/>
        <w:numPr>
          <w:ilvl w:val="0"/>
          <w:numId w:val="24"/>
        </w:numPr>
        <w:ind w:hanging="294"/>
        <w:jc w:val="both"/>
        <w:rPr>
          <w:rFonts w:ascii="Times New Roman" w:hAnsi="Times New Roman"/>
          <w:sz w:val="24"/>
          <w:szCs w:val="24"/>
          <w:lang w:val="en-GB"/>
        </w:rPr>
      </w:pPr>
      <w:r w:rsidRPr="007A7801">
        <w:rPr>
          <w:rFonts w:ascii="Times New Roman" w:hAnsi="Times New Roman"/>
          <w:sz w:val="24"/>
          <w:szCs w:val="24"/>
          <w:lang w:val="en-GB"/>
        </w:rPr>
        <w:t>Lack of availability of seed capital and market exit capitali</w:t>
      </w:r>
      <w:r w:rsidR="00DE59B9">
        <w:rPr>
          <w:rFonts w:ascii="Times New Roman" w:hAnsi="Times New Roman"/>
          <w:sz w:val="24"/>
          <w:szCs w:val="24"/>
          <w:lang w:val="en-GB"/>
        </w:rPr>
        <w:t>s</w:t>
      </w:r>
      <w:r w:rsidRPr="007A7801">
        <w:rPr>
          <w:rFonts w:ascii="Times New Roman" w:hAnsi="Times New Roman"/>
          <w:sz w:val="24"/>
          <w:szCs w:val="24"/>
          <w:lang w:val="en-GB"/>
        </w:rPr>
        <w:t>ation for R&amp;D businesses.</w:t>
      </w:r>
    </w:p>
    <w:p w:rsidR="00DE28F8" w:rsidRPr="007A7801" w:rsidRDefault="00DE28F8" w:rsidP="001D09A7">
      <w:pPr>
        <w:pStyle w:val="NoSpacing"/>
        <w:numPr>
          <w:ilvl w:val="0"/>
          <w:numId w:val="24"/>
        </w:numPr>
        <w:ind w:hanging="294"/>
        <w:jc w:val="both"/>
        <w:rPr>
          <w:rFonts w:ascii="Times New Roman" w:hAnsi="Times New Roman"/>
          <w:sz w:val="24"/>
          <w:szCs w:val="24"/>
          <w:lang w:val="en-GB"/>
        </w:rPr>
      </w:pPr>
      <w:r w:rsidRPr="007A7801">
        <w:rPr>
          <w:rFonts w:ascii="Times New Roman" w:hAnsi="Times New Roman"/>
          <w:sz w:val="24"/>
          <w:szCs w:val="24"/>
          <w:lang w:val="en-GB"/>
        </w:rPr>
        <w:t>Limited number of high-tech companies in the country.</w:t>
      </w:r>
    </w:p>
    <w:p w:rsidR="00DE28F8" w:rsidRPr="007A7801" w:rsidRDefault="00DE28F8" w:rsidP="00DE28F8">
      <w:pPr>
        <w:jc w:val="both"/>
        <w:rPr>
          <w:lang w:val="en-GB"/>
        </w:rPr>
      </w:pPr>
    </w:p>
    <w:p w:rsidR="00DE28F8" w:rsidRPr="007A7801" w:rsidRDefault="00DE28F8" w:rsidP="000A72FC">
      <w:pPr>
        <w:pStyle w:val="Heading2"/>
      </w:pPr>
      <w:bookmarkStart w:id="50" w:name="_Toc292454619"/>
      <w:r w:rsidRPr="007A7801">
        <w:rPr>
          <w:lang w:val="en-GB"/>
        </w:rPr>
        <w:t>NATIONAL TARGET</w:t>
      </w:r>
      <w:bookmarkEnd w:id="50"/>
    </w:p>
    <w:p w:rsidR="00DE28F8" w:rsidRPr="007A7801" w:rsidRDefault="00DE28F8" w:rsidP="00DE28F8">
      <w:pPr>
        <w:tabs>
          <w:tab w:val="left" w:pos="360"/>
        </w:tabs>
        <w:jc w:val="both"/>
        <w:rPr>
          <w:b/>
          <w:highlight w:val="green"/>
          <w:u w:val="single"/>
          <w:lang w:val="en-GB"/>
        </w:rPr>
      </w:pPr>
    </w:p>
    <w:p w:rsidR="00DE28F8" w:rsidRPr="007A7801" w:rsidRDefault="00DE28F8" w:rsidP="00DE28F8">
      <w:pPr>
        <w:jc w:val="both"/>
        <w:rPr>
          <w:lang w:val="en-GB"/>
        </w:rPr>
      </w:pPr>
      <w:r w:rsidRPr="007A7801">
        <w:rPr>
          <w:lang w:val="en-GB"/>
        </w:rPr>
        <w:t xml:space="preserve">The national target for R&amp;D expenditures as a percentage of GDP has been set to reach 0,50% by the year 2020, from 0,42% in 2008. This target has been derived on the basis of statistical analysis of historical data on R&amp;D expenditures, taking seriously into consideration the particularities of Cyprus in terms of both the size of the research community, as well as the structure of the productive web (lack of big manufacturing firms) and the very small size of the Cypriot enterprises. It is important to note that the attainment of the 0,50% target implies that the overall annual research spending will increase in absolute figures from €73,4 mln in 2008 to  </w:t>
      </w:r>
      <w:r w:rsidR="00942AFF">
        <w:rPr>
          <w:lang w:val="en-GB"/>
        </w:rPr>
        <w:t>nearly double in 2020, reaching</w:t>
      </w:r>
      <w:r w:rsidRPr="007A7801">
        <w:rPr>
          <w:lang w:val="en-GB"/>
        </w:rPr>
        <w:t xml:space="preserve"> €140 mln. </w:t>
      </w:r>
    </w:p>
    <w:p w:rsidR="000A72FC" w:rsidRPr="007A7801" w:rsidRDefault="000A72FC" w:rsidP="000A72FC">
      <w:pPr>
        <w:tabs>
          <w:tab w:val="left" w:pos="426"/>
        </w:tabs>
        <w:ind w:left="426" w:hanging="426"/>
        <w:jc w:val="both"/>
        <w:rPr>
          <w:lang w:val="en-GB"/>
        </w:rPr>
      </w:pPr>
    </w:p>
    <w:p w:rsidR="00C46D30" w:rsidRPr="00C46D30" w:rsidRDefault="00C46D30" w:rsidP="00C46D30">
      <w:pPr>
        <w:rPr>
          <w:lang w:val="en-GB"/>
        </w:rPr>
        <w:sectPr w:rsidR="00C46D30" w:rsidRPr="00C46D30" w:rsidSect="00F0709B">
          <w:type w:val="continuous"/>
          <w:pgSz w:w="12240" w:h="15840"/>
          <w:pgMar w:top="1560" w:right="1440" w:bottom="1296" w:left="1440" w:header="720" w:footer="720" w:gutter="0"/>
          <w:cols w:space="720"/>
          <w:titlePg/>
          <w:docGrid w:linePitch="360"/>
        </w:sectPr>
      </w:pPr>
    </w:p>
    <w:p w:rsidR="00DE28F8" w:rsidRPr="007A7801" w:rsidRDefault="000A72FC" w:rsidP="004E3885">
      <w:pPr>
        <w:pStyle w:val="Heading2"/>
        <w:jc w:val="both"/>
        <w:rPr>
          <w:szCs w:val="28"/>
          <w:lang w:val="en-GB"/>
        </w:rPr>
      </w:pPr>
      <w:bookmarkStart w:id="51" w:name="_Toc292454620"/>
      <w:r w:rsidRPr="007A7801">
        <w:rPr>
          <w:szCs w:val="28"/>
          <w:lang w:val="en-GB"/>
        </w:rPr>
        <w:lastRenderedPageBreak/>
        <w:t>KEY MEASURES TO REACH TARGET AND TACKLE BOTTLENECKS</w:t>
      </w:r>
      <w:bookmarkEnd w:id="51"/>
    </w:p>
    <w:p w:rsidR="00DE28F8" w:rsidRPr="007A7801" w:rsidRDefault="00DE28F8" w:rsidP="00DE28F8">
      <w:pPr>
        <w:tabs>
          <w:tab w:val="left" w:pos="360"/>
        </w:tabs>
        <w:jc w:val="both"/>
        <w:rPr>
          <w:caps/>
          <w:lang w:val="en-GB"/>
        </w:rPr>
      </w:pPr>
    </w:p>
    <w:p w:rsidR="00DE28F8" w:rsidRPr="007A7801" w:rsidRDefault="00DE28F8" w:rsidP="00DE28F8">
      <w:pPr>
        <w:tabs>
          <w:tab w:val="left" w:pos="360"/>
        </w:tabs>
        <w:jc w:val="both"/>
        <w:rPr>
          <w:lang w:val="en-GB"/>
        </w:rPr>
      </w:pPr>
      <w:r w:rsidRPr="007A7801">
        <w:rPr>
          <w:lang w:val="en-GB"/>
        </w:rPr>
        <w:t>A National Strategy for Research and Innovation 2011-2015 is currently under preparation. In order to overcome the bottlenecks of the research and innovation sector, it is intended to focus the national strategy on the following pillars:</w:t>
      </w:r>
    </w:p>
    <w:p w:rsidR="00DE28F8" w:rsidRDefault="00DE28F8" w:rsidP="00DE28F8">
      <w:pPr>
        <w:tabs>
          <w:tab w:val="left" w:pos="360"/>
        </w:tabs>
        <w:jc w:val="both"/>
        <w:rPr>
          <w:lang w:val="en-GB"/>
        </w:rPr>
      </w:pPr>
    </w:p>
    <w:p w:rsidR="006A63CA" w:rsidRDefault="006A63CA" w:rsidP="009A7B6E">
      <w:pPr>
        <w:tabs>
          <w:tab w:val="left" w:pos="426"/>
        </w:tabs>
        <w:jc w:val="both"/>
        <w:rPr>
          <w:b/>
          <w:u w:val="single"/>
          <w:lang w:val="en-GB"/>
        </w:rPr>
      </w:pPr>
    </w:p>
    <w:p w:rsidR="009A7B6E" w:rsidRDefault="009A7B6E" w:rsidP="009A7B6E">
      <w:pPr>
        <w:tabs>
          <w:tab w:val="left" w:pos="426"/>
        </w:tabs>
        <w:jc w:val="both"/>
        <w:rPr>
          <w:b/>
          <w:u w:val="single"/>
          <w:lang w:val="en-GB"/>
        </w:rPr>
      </w:pPr>
    </w:p>
    <w:p w:rsidR="009A7B6E" w:rsidRDefault="009A7B6E" w:rsidP="009A7B6E">
      <w:pPr>
        <w:tabs>
          <w:tab w:val="left" w:pos="426"/>
        </w:tabs>
        <w:jc w:val="both"/>
        <w:rPr>
          <w:b/>
          <w:u w:val="single"/>
          <w:lang w:val="en-GB"/>
        </w:rPr>
      </w:pPr>
    </w:p>
    <w:p w:rsidR="009A7B6E" w:rsidRDefault="009A7B6E" w:rsidP="009A7B6E">
      <w:pPr>
        <w:tabs>
          <w:tab w:val="left" w:pos="426"/>
        </w:tabs>
        <w:jc w:val="both"/>
        <w:rPr>
          <w:b/>
          <w:u w:val="single"/>
          <w:lang w:val="en-GB"/>
        </w:rPr>
        <w:sectPr w:rsidR="009A7B6E" w:rsidSect="00F0709B">
          <w:type w:val="continuous"/>
          <w:pgSz w:w="12240" w:h="15840"/>
          <w:pgMar w:top="1560" w:right="1440" w:bottom="1296" w:left="1440" w:header="720" w:footer="720" w:gutter="0"/>
          <w:cols w:space="720"/>
          <w:titlePg/>
          <w:docGrid w:linePitch="360"/>
        </w:sectPr>
      </w:pPr>
    </w:p>
    <w:p w:rsidR="00DE28F8" w:rsidRPr="007A7801" w:rsidRDefault="00DE28F8" w:rsidP="001D09A7">
      <w:pPr>
        <w:numPr>
          <w:ilvl w:val="0"/>
          <w:numId w:val="23"/>
        </w:numPr>
        <w:tabs>
          <w:tab w:val="left" w:pos="426"/>
        </w:tabs>
        <w:ind w:left="426" w:hanging="426"/>
        <w:jc w:val="both"/>
        <w:rPr>
          <w:b/>
          <w:u w:val="single"/>
          <w:lang w:val="en-GB"/>
        </w:rPr>
      </w:pPr>
      <w:r w:rsidRPr="007A7801">
        <w:rPr>
          <w:b/>
          <w:u w:val="single"/>
          <w:lang w:val="en-GB"/>
        </w:rPr>
        <w:lastRenderedPageBreak/>
        <w:t>Increase of research human capital</w:t>
      </w:r>
    </w:p>
    <w:p w:rsidR="00DE28F8" w:rsidRPr="007A7801" w:rsidRDefault="00DE28F8" w:rsidP="00DE28F8">
      <w:pPr>
        <w:jc w:val="both"/>
        <w:rPr>
          <w:b/>
          <w:lang w:val="en-GB"/>
        </w:rPr>
      </w:pPr>
    </w:p>
    <w:p w:rsidR="00DE28F8" w:rsidRPr="007A7801" w:rsidRDefault="00DE28F8" w:rsidP="00DE28F8">
      <w:pPr>
        <w:jc w:val="both"/>
        <w:rPr>
          <w:lang w:val="en-GB"/>
        </w:rPr>
      </w:pPr>
      <w:r w:rsidRPr="007A7801">
        <w:rPr>
          <w:lang w:val="en-GB"/>
        </w:rPr>
        <w:t>Emphasis will be attached on efforts to encourage young people to enter the research market, as well as to attract foreign researchers to perform activities in Cyprus. Concerning young researchers, it is imperative to promote the research career in schools and universities, which will grow the number of PhD students. A basic prerequisite to achieve this is the increase of the demand for PhD students, which will mainly derive from new opportunities in enterprises as well as from long-term research positions in Research Centres and Research Institutes.</w:t>
      </w:r>
    </w:p>
    <w:p w:rsidR="00DE28F8" w:rsidRPr="007A7801" w:rsidRDefault="00DE28F8" w:rsidP="00DE28F8">
      <w:pPr>
        <w:jc w:val="both"/>
        <w:rPr>
          <w:lang w:val="en-GB"/>
        </w:rPr>
      </w:pPr>
    </w:p>
    <w:p w:rsidR="00DE28F8" w:rsidRPr="007A7801" w:rsidRDefault="00DE28F8" w:rsidP="00DE28F8">
      <w:pPr>
        <w:jc w:val="both"/>
        <w:rPr>
          <w:lang w:val="en-GB"/>
        </w:rPr>
      </w:pPr>
      <w:r w:rsidRPr="007A7801">
        <w:rPr>
          <w:lang w:val="en-GB"/>
        </w:rPr>
        <w:t xml:space="preserve">With regard to overseas researchers it is intended to focus on Cypriot researchers working abroad as well as on researchers from third countries, who are seeking to perform research activities in an adjustable and highly reliable research environment, in the area of the Middle East and North Africa. </w:t>
      </w:r>
    </w:p>
    <w:p w:rsidR="00DE28F8" w:rsidRPr="007A7801" w:rsidRDefault="00DE28F8" w:rsidP="00DE28F8">
      <w:pPr>
        <w:jc w:val="both"/>
        <w:rPr>
          <w:lang w:val="en-GB"/>
        </w:rPr>
      </w:pPr>
    </w:p>
    <w:p w:rsidR="00DE28F8" w:rsidRPr="007A7801" w:rsidRDefault="00DE28F8" w:rsidP="001D09A7">
      <w:pPr>
        <w:numPr>
          <w:ilvl w:val="0"/>
          <w:numId w:val="23"/>
        </w:numPr>
        <w:tabs>
          <w:tab w:val="left" w:pos="426"/>
        </w:tabs>
        <w:ind w:left="426" w:hanging="426"/>
        <w:jc w:val="both"/>
        <w:rPr>
          <w:b/>
          <w:u w:val="single"/>
          <w:lang w:val="en-GB"/>
        </w:rPr>
      </w:pPr>
      <w:r w:rsidRPr="007A7801">
        <w:rPr>
          <w:b/>
          <w:u w:val="single"/>
          <w:lang w:val="en-GB"/>
        </w:rPr>
        <w:t>Strengthen the Scientific Base</w:t>
      </w:r>
    </w:p>
    <w:p w:rsidR="00DE28F8" w:rsidRPr="007A7801" w:rsidRDefault="00DE28F8" w:rsidP="00DE28F8">
      <w:pPr>
        <w:tabs>
          <w:tab w:val="left" w:pos="426"/>
        </w:tabs>
        <w:jc w:val="both"/>
        <w:rPr>
          <w:lang w:val="en-GB"/>
        </w:rPr>
      </w:pPr>
    </w:p>
    <w:p w:rsidR="00DE28F8" w:rsidRPr="007A7801" w:rsidRDefault="00DE28F8" w:rsidP="00DE28F8">
      <w:pPr>
        <w:tabs>
          <w:tab w:val="left" w:pos="426"/>
        </w:tabs>
        <w:jc w:val="both"/>
        <w:rPr>
          <w:lang w:val="en-GB"/>
        </w:rPr>
      </w:pPr>
      <w:r w:rsidRPr="007A7801">
        <w:rPr>
          <w:lang w:val="en-GB"/>
        </w:rPr>
        <w:t>The strengthening of the scientific base would be channelled through the enhancement of both the existing physical research infrastructures, as well as through the development of new infrastructures, aiming to create critical mass of researchers in specific scientific fields.</w:t>
      </w:r>
    </w:p>
    <w:p w:rsidR="00DE28F8" w:rsidRPr="007A7801" w:rsidRDefault="00DE28F8" w:rsidP="00DE28F8">
      <w:pPr>
        <w:tabs>
          <w:tab w:val="left" w:pos="426"/>
        </w:tabs>
        <w:jc w:val="both"/>
        <w:rPr>
          <w:lang w:val="en-GB"/>
        </w:rPr>
      </w:pPr>
    </w:p>
    <w:p w:rsidR="00DE28F8" w:rsidRPr="007A7801" w:rsidRDefault="00DE28F8" w:rsidP="001D09A7">
      <w:pPr>
        <w:numPr>
          <w:ilvl w:val="0"/>
          <w:numId w:val="23"/>
        </w:numPr>
        <w:tabs>
          <w:tab w:val="left" w:pos="426"/>
        </w:tabs>
        <w:ind w:left="426" w:hanging="426"/>
        <w:jc w:val="both"/>
        <w:rPr>
          <w:b/>
          <w:u w:val="single"/>
          <w:lang w:val="en-GB"/>
        </w:rPr>
      </w:pPr>
      <w:r w:rsidRPr="007A7801">
        <w:rPr>
          <w:b/>
          <w:u w:val="single"/>
          <w:lang w:val="en-GB"/>
        </w:rPr>
        <w:t>Promote International Cooperation</w:t>
      </w:r>
    </w:p>
    <w:p w:rsidR="00DE28F8" w:rsidRPr="007A7801" w:rsidRDefault="00DE28F8" w:rsidP="00DE28F8">
      <w:pPr>
        <w:jc w:val="both"/>
        <w:rPr>
          <w:lang w:val="en-GB"/>
        </w:rPr>
      </w:pPr>
    </w:p>
    <w:p w:rsidR="00DE28F8" w:rsidRPr="007A7801" w:rsidRDefault="00DE28F8" w:rsidP="00DE28F8">
      <w:pPr>
        <w:jc w:val="both"/>
        <w:rPr>
          <w:lang w:val="en-GB"/>
        </w:rPr>
      </w:pPr>
      <w:r w:rsidRPr="007A7801">
        <w:rPr>
          <w:lang w:val="en-GB"/>
        </w:rPr>
        <w:t xml:space="preserve">Due to the small size of the research community of Cyprus and the relatively short history of the country in R&amp;D and innovation achievements, the cooperation and networking with foreign researchers and researcher institutions has been given primary importance. Apart from attracting foreign researchers in Cyprus, emphasis will be maintained on promoting the participation in various European programmes for RTD and innovation. In addition, it is envisaged to focus and invest, both financially and in terms of human capital, on a small number of bilateral international agreements in science and technology. </w:t>
      </w:r>
    </w:p>
    <w:p w:rsidR="005A660A" w:rsidRPr="007A7801" w:rsidRDefault="005A660A" w:rsidP="00DE28F8">
      <w:pPr>
        <w:jc w:val="both"/>
        <w:rPr>
          <w:lang w:val="en-GB"/>
        </w:rPr>
      </w:pPr>
    </w:p>
    <w:p w:rsidR="00DE28F8" w:rsidRPr="007A7801" w:rsidRDefault="00DE28F8" w:rsidP="001D09A7">
      <w:pPr>
        <w:pStyle w:val="ListParagraph"/>
        <w:numPr>
          <w:ilvl w:val="0"/>
          <w:numId w:val="23"/>
        </w:numPr>
        <w:tabs>
          <w:tab w:val="left" w:pos="426"/>
        </w:tabs>
        <w:ind w:left="426" w:hanging="426"/>
        <w:contextualSpacing/>
        <w:jc w:val="both"/>
        <w:rPr>
          <w:b/>
          <w:u w:val="single"/>
          <w:lang w:val="en-GB"/>
        </w:rPr>
      </w:pPr>
      <w:r w:rsidRPr="007A7801">
        <w:rPr>
          <w:b/>
          <w:u w:val="single"/>
          <w:lang w:val="en-GB"/>
        </w:rPr>
        <w:t>Introduce innovation in the public sector</w:t>
      </w:r>
    </w:p>
    <w:p w:rsidR="00DE28F8" w:rsidRPr="007A7801" w:rsidRDefault="00DE28F8" w:rsidP="00DE28F8">
      <w:pPr>
        <w:tabs>
          <w:tab w:val="left" w:pos="360"/>
        </w:tabs>
        <w:jc w:val="both"/>
        <w:rPr>
          <w:b/>
          <w:lang w:val="en-GB"/>
        </w:rPr>
      </w:pPr>
    </w:p>
    <w:p w:rsidR="00DE28F8" w:rsidRPr="007A7801" w:rsidRDefault="00DE28F8" w:rsidP="00DE28F8">
      <w:pPr>
        <w:tabs>
          <w:tab w:val="left" w:pos="360"/>
        </w:tabs>
        <w:jc w:val="both"/>
        <w:rPr>
          <w:lang w:val="en-GB"/>
        </w:rPr>
      </w:pPr>
      <w:r w:rsidRPr="007A7801">
        <w:rPr>
          <w:lang w:val="en-GB"/>
        </w:rPr>
        <w:t>The potential for innovation in the public sector is high, due to the large size of the sector, the variety of services provided and of the procedures entailed. Introducing innovations, both technological and non-technological ones, will aim to improve the quality of the services provided as well as the efficiency and effectiveness of procedures. Particular emphasis would be attached on the engagement of public sector in pre-commercial procurement, which creates a great potential for innovatio</w:t>
      </w:r>
      <w:r w:rsidR="009A7B6E">
        <w:rPr>
          <w:lang w:val="en-GB"/>
        </w:rPr>
        <w:t xml:space="preserve">n, as it increases not only the </w:t>
      </w:r>
      <w:r w:rsidRPr="007A7801">
        <w:rPr>
          <w:lang w:val="en-GB"/>
        </w:rPr>
        <w:t>demand but also the supply of innovative products and services through the spillover effect</w:t>
      </w:r>
      <w:r w:rsidR="00DE59B9">
        <w:rPr>
          <w:lang w:val="en-GB"/>
        </w:rPr>
        <w:t xml:space="preserve"> thus</w:t>
      </w:r>
      <w:r w:rsidRPr="007A7801">
        <w:rPr>
          <w:lang w:val="en-GB"/>
        </w:rPr>
        <w:t>, creating a positive feedback development of innovation</w:t>
      </w:r>
      <w:r w:rsidR="009A7B6E">
        <w:rPr>
          <w:lang w:val="en-GB"/>
        </w:rPr>
        <w:t xml:space="preserve"> (See also Chapter 6 - Digital Society).</w:t>
      </w:r>
    </w:p>
    <w:p w:rsidR="00DE28F8" w:rsidRPr="007A7801" w:rsidRDefault="00DE28F8" w:rsidP="00DE28F8">
      <w:pPr>
        <w:tabs>
          <w:tab w:val="left" w:pos="360"/>
        </w:tabs>
        <w:jc w:val="both"/>
        <w:rPr>
          <w:lang w:val="en-GB"/>
        </w:rPr>
      </w:pPr>
    </w:p>
    <w:p w:rsidR="00DE28F8" w:rsidRPr="007A7801" w:rsidRDefault="00DE28F8" w:rsidP="001D09A7">
      <w:pPr>
        <w:numPr>
          <w:ilvl w:val="0"/>
          <w:numId w:val="23"/>
        </w:numPr>
        <w:tabs>
          <w:tab w:val="left" w:pos="426"/>
        </w:tabs>
        <w:ind w:left="426" w:hanging="426"/>
        <w:jc w:val="both"/>
        <w:rPr>
          <w:b/>
          <w:u w:val="single"/>
          <w:lang w:val="en-GB"/>
        </w:rPr>
      </w:pPr>
      <w:r w:rsidRPr="007A7801">
        <w:rPr>
          <w:b/>
          <w:u w:val="single"/>
          <w:lang w:val="en-GB"/>
        </w:rPr>
        <w:t>Promote research and innovation in enterprises</w:t>
      </w:r>
    </w:p>
    <w:p w:rsidR="00DE28F8" w:rsidRPr="007A7801" w:rsidRDefault="00DE28F8" w:rsidP="00DE28F8">
      <w:pPr>
        <w:pStyle w:val="ListParagraph"/>
        <w:ind w:left="0"/>
        <w:rPr>
          <w:b/>
          <w:lang w:val="en-GB"/>
        </w:rPr>
      </w:pPr>
    </w:p>
    <w:p w:rsidR="006A63CA" w:rsidRDefault="00DE28F8" w:rsidP="00DE28F8">
      <w:pPr>
        <w:pStyle w:val="ListParagraph"/>
        <w:ind w:left="0"/>
        <w:jc w:val="both"/>
        <w:rPr>
          <w:lang w:val="en-GB"/>
        </w:rPr>
        <w:sectPr w:rsidR="006A63CA" w:rsidSect="00F0709B">
          <w:type w:val="continuous"/>
          <w:pgSz w:w="12240" w:h="15840"/>
          <w:pgMar w:top="1560" w:right="1440" w:bottom="1296" w:left="1440" w:header="720" w:footer="720" w:gutter="0"/>
          <w:cols w:space="720"/>
          <w:titlePg/>
          <w:docGrid w:linePitch="360"/>
        </w:sectPr>
      </w:pPr>
      <w:r w:rsidRPr="007A7801">
        <w:rPr>
          <w:lang w:val="en-GB"/>
        </w:rPr>
        <w:t xml:space="preserve">It is important for businesses to be informed on the various forms of innovation other than technological innovation, including innovation in design, in processing, in organisational reform, in public procurement etc. The public pre-commercial procurement will create the demand for innovation that has to be matched by increased activity in research in order to be effective. In </w:t>
      </w:r>
    </w:p>
    <w:p w:rsidR="00DE28F8" w:rsidRPr="007A7801" w:rsidRDefault="00DE28F8" w:rsidP="00DE28F8">
      <w:pPr>
        <w:pStyle w:val="ListParagraph"/>
        <w:ind w:left="0"/>
        <w:jc w:val="both"/>
        <w:rPr>
          <w:lang w:val="en-GB"/>
        </w:rPr>
      </w:pPr>
      <w:r w:rsidRPr="007A7801">
        <w:rPr>
          <w:lang w:val="en-GB"/>
        </w:rPr>
        <w:lastRenderedPageBreak/>
        <w:t>addition, it is believed that a market driven research will encourage more enterprises to get involved in R&amp;D activities, due to more tangible benefits produced.</w:t>
      </w:r>
    </w:p>
    <w:p w:rsidR="00DE28F8" w:rsidRPr="007A7801" w:rsidRDefault="00DE28F8" w:rsidP="00DE28F8">
      <w:pPr>
        <w:pStyle w:val="ListParagraph"/>
        <w:ind w:left="0"/>
        <w:rPr>
          <w:lang w:val="en-GB"/>
        </w:rPr>
      </w:pPr>
    </w:p>
    <w:p w:rsidR="00DE28F8" w:rsidRPr="007A7801" w:rsidRDefault="00DE28F8" w:rsidP="00DE28F8">
      <w:pPr>
        <w:pStyle w:val="ListParagraph"/>
        <w:ind w:left="0"/>
        <w:jc w:val="both"/>
        <w:rPr>
          <w:lang w:val="en-GB"/>
        </w:rPr>
      </w:pPr>
      <w:r w:rsidRPr="007A7801">
        <w:rPr>
          <w:lang w:val="en-GB"/>
        </w:rPr>
        <w:t>Considering that 6</w:t>
      </w:r>
      <w:r w:rsidRPr="007A7801">
        <w:t>1%</w:t>
      </w:r>
      <w:r w:rsidRPr="007A7801">
        <w:rPr>
          <w:lang w:val="en-GB"/>
        </w:rPr>
        <w:t xml:space="preserve"> of enterprises in Cyprus are operating in the services sector, which is the largest pro</w:t>
      </w:r>
      <w:r w:rsidR="007B7CCD">
        <w:rPr>
          <w:lang w:val="en-GB"/>
        </w:rPr>
        <w:t>ductive sector in Cyprus with 80</w:t>
      </w:r>
      <w:r w:rsidRPr="007A7801">
        <w:rPr>
          <w:lang w:val="en-GB"/>
        </w:rPr>
        <w:t>% share of GDP, it is recommended to focus the research and innovation policies to services, in the fields of Information and Communication Technologies, Health, Education, Tourism, Shipping, Financial and Legal services.</w:t>
      </w:r>
    </w:p>
    <w:p w:rsidR="00DE28F8" w:rsidRPr="007A7801" w:rsidRDefault="00DE28F8" w:rsidP="00DE28F8">
      <w:pPr>
        <w:pStyle w:val="ListParagraph"/>
        <w:ind w:left="0"/>
        <w:jc w:val="both"/>
        <w:rPr>
          <w:lang w:val="en-GB"/>
        </w:rPr>
      </w:pPr>
    </w:p>
    <w:p w:rsidR="00DE28F8" w:rsidRPr="007A7801" w:rsidRDefault="00DE28F8" w:rsidP="001D09A7">
      <w:pPr>
        <w:numPr>
          <w:ilvl w:val="0"/>
          <w:numId w:val="23"/>
        </w:numPr>
        <w:tabs>
          <w:tab w:val="left" w:pos="426"/>
        </w:tabs>
        <w:ind w:left="426" w:hanging="426"/>
        <w:jc w:val="both"/>
        <w:rPr>
          <w:b/>
          <w:u w:val="single"/>
          <w:lang w:val="en-GB"/>
        </w:rPr>
      </w:pPr>
      <w:r w:rsidRPr="007A7801">
        <w:rPr>
          <w:b/>
          <w:u w:val="single"/>
          <w:lang w:val="en-GB"/>
        </w:rPr>
        <w:t>Prioritisation of research fields</w:t>
      </w:r>
    </w:p>
    <w:p w:rsidR="00DE28F8" w:rsidRPr="007A7801" w:rsidRDefault="00DE28F8" w:rsidP="00DE28F8">
      <w:pPr>
        <w:pStyle w:val="ListParagraph"/>
        <w:ind w:left="0"/>
        <w:rPr>
          <w:lang w:val="en-GB"/>
        </w:rPr>
      </w:pPr>
    </w:p>
    <w:p w:rsidR="00DE28F8" w:rsidRPr="007A7801" w:rsidRDefault="00DE28F8" w:rsidP="00DE28F8">
      <w:pPr>
        <w:pStyle w:val="ListParagraph"/>
        <w:ind w:left="0"/>
        <w:jc w:val="both"/>
        <w:rPr>
          <w:lang w:val="en-GB"/>
        </w:rPr>
      </w:pPr>
      <w:r w:rsidRPr="007A7801">
        <w:rPr>
          <w:lang w:val="en-GB"/>
        </w:rPr>
        <w:t>Due to the limited resources available, in terms of physical, human and financial capital, it is worthwhile considering focusing research activities on a small number of research fields. The selection of fields, following the European paradigm, should be based on societal challenges at national and European level, such as environment, climate change, health, energy etc. These fields could be combined with ICT, which is the highest R&amp;D performing sector in Cyprus. An important tool in this respect is the participation of Cyprus in relevant European programmes, such as Joint Programming Initiatives, European Innovation Partnerships etc.</w:t>
      </w:r>
    </w:p>
    <w:p w:rsidR="00DE28F8" w:rsidRPr="007A7801" w:rsidRDefault="00DE28F8" w:rsidP="00DE28F8">
      <w:pPr>
        <w:pStyle w:val="ListParagraph"/>
        <w:ind w:left="0"/>
        <w:rPr>
          <w:lang w:val="en-GB"/>
        </w:rPr>
      </w:pPr>
    </w:p>
    <w:p w:rsidR="00DE28F8" w:rsidRPr="007A7801" w:rsidRDefault="00DE28F8" w:rsidP="001D09A7">
      <w:pPr>
        <w:numPr>
          <w:ilvl w:val="0"/>
          <w:numId w:val="23"/>
        </w:numPr>
        <w:tabs>
          <w:tab w:val="left" w:pos="426"/>
        </w:tabs>
        <w:ind w:left="426" w:hanging="426"/>
        <w:jc w:val="both"/>
        <w:rPr>
          <w:b/>
          <w:u w:val="single"/>
          <w:lang w:val="en-GB"/>
        </w:rPr>
      </w:pPr>
      <w:r w:rsidRPr="007A7801">
        <w:rPr>
          <w:b/>
          <w:u w:val="single"/>
          <w:lang w:val="en-GB"/>
        </w:rPr>
        <w:t>Exploitation of innovative ideas and launching them in the market</w:t>
      </w:r>
    </w:p>
    <w:p w:rsidR="00DE28F8" w:rsidRPr="007A7801" w:rsidRDefault="00DE28F8" w:rsidP="00DE28F8">
      <w:pPr>
        <w:pStyle w:val="ListParagraph"/>
        <w:ind w:left="0"/>
        <w:rPr>
          <w:lang w:val="en-GB"/>
        </w:rPr>
      </w:pPr>
    </w:p>
    <w:p w:rsidR="00DE28F8" w:rsidRPr="007A7801" w:rsidRDefault="00DE28F8" w:rsidP="00DE28F8">
      <w:pPr>
        <w:pStyle w:val="ListParagraph"/>
        <w:ind w:left="0"/>
        <w:jc w:val="both"/>
        <w:rPr>
          <w:lang w:val="en-GB"/>
        </w:rPr>
      </w:pPr>
      <w:r w:rsidRPr="007A7801">
        <w:rPr>
          <w:lang w:val="en-GB"/>
        </w:rPr>
        <w:t xml:space="preserve">Measures will be taken to provide financial support to entrepreneurs for developing their ideas into products/services and placing them in the market, and for patenting their ideas in a manageable way with less cost. In this respect, it is important to review and reconsider the implementation of measures such as the incubators scheme, a scheme for the development of new high-tech companies, development of a local Business Angels network etc. </w:t>
      </w:r>
    </w:p>
    <w:p w:rsidR="00DE28F8" w:rsidRPr="007A7801" w:rsidRDefault="00DE28F8" w:rsidP="00DE28F8">
      <w:pPr>
        <w:pStyle w:val="ListParagraph"/>
        <w:ind w:left="0"/>
        <w:jc w:val="both"/>
        <w:rPr>
          <w:lang w:val="en-GB"/>
        </w:rPr>
      </w:pPr>
    </w:p>
    <w:p w:rsidR="00DE28F8" w:rsidRPr="007A7801" w:rsidRDefault="00C46D30" w:rsidP="00DE28F8">
      <w:pPr>
        <w:pStyle w:val="ListParagraph"/>
        <w:ind w:left="0"/>
        <w:jc w:val="both"/>
        <w:rPr>
          <w:b/>
          <w:u w:val="single"/>
          <w:lang w:val="en-GB"/>
        </w:rPr>
      </w:pPr>
      <w:r>
        <w:rPr>
          <w:b/>
          <w:u w:val="single"/>
          <w:lang w:val="en-GB"/>
        </w:rPr>
        <w:t>Concluding Remarks</w:t>
      </w:r>
    </w:p>
    <w:p w:rsidR="00DE28F8" w:rsidRPr="007A7801" w:rsidRDefault="00DE28F8" w:rsidP="00DE28F8">
      <w:pPr>
        <w:pStyle w:val="ListParagraph"/>
        <w:ind w:left="0"/>
        <w:jc w:val="both"/>
        <w:rPr>
          <w:b/>
          <w:u w:val="single"/>
          <w:lang w:val="en-GB"/>
        </w:rPr>
      </w:pPr>
    </w:p>
    <w:p w:rsidR="00EC471E" w:rsidRDefault="00DE28F8" w:rsidP="00DE28F8">
      <w:pPr>
        <w:pStyle w:val="ListParagraph"/>
        <w:ind w:left="0"/>
        <w:jc w:val="both"/>
        <w:rPr>
          <w:lang w:val="en-GB"/>
        </w:rPr>
        <w:sectPr w:rsidR="00EC471E" w:rsidSect="00F0709B">
          <w:type w:val="continuous"/>
          <w:pgSz w:w="12240" w:h="15840"/>
          <w:pgMar w:top="1560" w:right="1440" w:bottom="1296" w:left="1440" w:header="720" w:footer="720" w:gutter="0"/>
          <w:cols w:space="720"/>
          <w:titlePg/>
          <w:docGrid w:linePitch="360"/>
        </w:sectPr>
      </w:pPr>
      <w:r w:rsidRPr="007A7801">
        <w:rPr>
          <w:lang w:val="en-GB"/>
        </w:rPr>
        <w:t>The implementation of the abovementioned measures as well as the attainment of the national target on R&amp;D expenditures is based on a 6</w:t>
      </w:r>
      <w:r w:rsidR="009A7B6E">
        <w:rPr>
          <w:lang w:val="en-GB"/>
        </w:rPr>
        <w:t xml:space="preserve"> </w:t>
      </w:r>
      <w:r w:rsidRPr="007A7801">
        <w:rPr>
          <w:lang w:val="en-GB"/>
        </w:rPr>
        <w:t>-</w:t>
      </w:r>
      <w:r w:rsidR="009A7B6E">
        <w:rPr>
          <w:lang w:val="en-GB"/>
        </w:rPr>
        <w:t xml:space="preserve"> </w:t>
      </w:r>
      <w:r w:rsidRPr="007A7801">
        <w:rPr>
          <w:lang w:val="en-GB"/>
        </w:rPr>
        <w:t>7% average annual increase of public expenditures, reaching €55</w:t>
      </w:r>
      <w:r w:rsidR="00942AFF">
        <w:rPr>
          <w:lang w:val="en-GB"/>
        </w:rPr>
        <w:t xml:space="preserve"> </w:t>
      </w:r>
      <w:r w:rsidRPr="007A7801">
        <w:rPr>
          <w:lang w:val="en-GB"/>
        </w:rPr>
        <w:t>mln, €59</w:t>
      </w:r>
      <w:r w:rsidR="00942AFF">
        <w:rPr>
          <w:lang w:val="en-GB"/>
        </w:rPr>
        <w:t xml:space="preserve"> </w:t>
      </w:r>
      <w:r w:rsidRPr="007A7801">
        <w:rPr>
          <w:lang w:val="en-GB"/>
        </w:rPr>
        <w:t>mln and €62</w:t>
      </w:r>
      <w:r w:rsidR="00942AFF">
        <w:rPr>
          <w:lang w:val="en-GB"/>
        </w:rPr>
        <w:t xml:space="preserve"> </w:t>
      </w:r>
      <w:r w:rsidRPr="007A7801">
        <w:rPr>
          <w:lang w:val="en-GB"/>
        </w:rPr>
        <w:t>mln in years 2011, 2012, and 2013 respectively.</w:t>
      </w:r>
    </w:p>
    <w:p w:rsidR="00DE28F8" w:rsidRPr="007A7801" w:rsidRDefault="00DE28F8" w:rsidP="00DE28F8">
      <w:pPr>
        <w:pStyle w:val="ListParagraph"/>
        <w:ind w:left="0"/>
        <w:jc w:val="both"/>
        <w:rPr>
          <w:lang w:val="en-GB"/>
        </w:rPr>
      </w:pPr>
      <w:r w:rsidRPr="007A7801">
        <w:rPr>
          <w:lang w:val="en-GB"/>
        </w:rPr>
        <w:lastRenderedPageBreak/>
        <w:t>However, the current strict fiscal measures ta</w:t>
      </w:r>
      <w:r w:rsidR="00F0709B">
        <w:rPr>
          <w:lang w:val="en-GB"/>
        </w:rPr>
        <w:t>ken by the Government, in order</w:t>
      </w:r>
      <w:r w:rsidRPr="007A7801">
        <w:rPr>
          <w:lang w:val="en-GB"/>
        </w:rPr>
        <w:t xml:space="preserve"> to reduce public deficit </w:t>
      </w:r>
      <w:r w:rsidR="00DE59B9">
        <w:rPr>
          <w:lang w:val="en-GB"/>
        </w:rPr>
        <w:t xml:space="preserve">have </w:t>
      </w:r>
      <w:r w:rsidRPr="007A7801">
        <w:rPr>
          <w:lang w:val="en-GB"/>
        </w:rPr>
        <w:t>had a negative impact on the public budget for Research and Innovation, especially in years 2010 and 2011. As a consequence, it is expected that the pace of increase in R&amp;D expenditures will be lower and the implementation of some of the planned measures is very likely to be postponed for a couple of years.</w:t>
      </w:r>
    </w:p>
    <w:p w:rsidR="00F0709B" w:rsidRDefault="00F0709B" w:rsidP="00DE28F8">
      <w:pPr>
        <w:pStyle w:val="ListParagraph"/>
        <w:ind w:left="0"/>
        <w:jc w:val="both"/>
        <w:rPr>
          <w:lang w:val="en-GB"/>
        </w:rPr>
        <w:sectPr w:rsidR="00F0709B" w:rsidSect="00F0709B">
          <w:type w:val="continuous"/>
          <w:pgSz w:w="12240" w:h="15840"/>
          <w:pgMar w:top="1560" w:right="1440" w:bottom="1296" w:left="1440" w:header="720" w:footer="720" w:gutter="0"/>
          <w:cols w:space="720"/>
          <w:titlePg/>
          <w:docGrid w:linePitch="360"/>
        </w:sectPr>
      </w:pPr>
    </w:p>
    <w:p w:rsidR="00396C35" w:rsidRPr="007A7801" w:rsidRDefault="00512021" w:rsidP="00C46D30">
      <w:pPr>
        <w:pStyle w:val="Heading1"/>
        <w:spacing w:before="0"/>
        <w:rPr>
          <w:rFonts w:eastAsia="Calibri" w:cs="Times New Roman"/>
        </w:rPr>
      </w:pPr>
      <w:bookmarkStart w:id="52" w:name="_Toc292454621"/>
      <w:r>
        <w:rPr>
          <w:rFonts w:eastAsia="Calibri" w:cs="Times New Roman"/>
        </w:rPr>
        <w:lastRenderedPageBreak/>
        <w:t>5</w:t>
      </w:r>
      <w:r w:rsidR="00396C35" w:rsidRPr="007A7801">
        <w:rPr>
          <w:rFonts w:eastAsia="Calibri" w:cs="Times New Roman"/>
        </w:rPr>
        <w:t>. EDUCATION</w:t>
      </w:r>
      <w:bookmarkEnd w:id="52"/>
    </w:p>
    <w:p w:rsidR="0050232A" w:rsidRPr="007A7801" w:rsidRDefault="0050232A" w:rsidP="00396C35">
      <w:pPr>
        <w:jc w:val="center"/>
        <w:rPr>
          <w:rFonts w:eastAsia="Calibri"/>
          <w:b/>
          <w:color w:val="4F81BD" w:themeColor="accent1"/>
          <w:sz w:val="40"/>
          <w:szCs w:val="52"/>
        </w:rPr>
      </w:pPr>
    </w:p>
    <w:p w:rsidR="00396C35" w:rsidRPr="007A7801" w:rsidRDefault="00396C35" w:rsidP="00396C35"/>
    <w:tbl>
      <w:tblPr>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B8CCE4" w:themeFill="accent1" w:themeFillTint="66"/>
        <w:tblLook w:val="04A0"/>
      </w:tblPr>
      <w:tblGrid>
        <w:gridCol w:w="9356"/>
      </w:tblGrid>
      <w:tr w:rsidR="00396C35" w:rsidRPr="007A7801" w:rsidTr="001E0EF5">
        <w:trPr>
          <w:trHeight w:val="1644"/>
        </w:trPr>
        <w:tc>
          <w:tcPr>
            <w:tcW w:w="9356" w:type="dxa"/>
            <w:shd w:val="clear" w:color="auto" w:fill="B8CCE4" w:themeFill="accent1" w:themeFillTint="66"/>
            <w:vAlign w:val="center"/>
          </w:tcPr>
          <w:p w:rsidR="00396C35" w:rsidRPr="007A7801" w:rsidRDefault="00396C35" w:rsidP="005A660A">
            <w:pPr>
              <w:pStyle w:val="Default"/>
              <w:spacing w:before="120"/>
              <w:jc w:val="both"/>
              <w:rPr>
                <w:b/>
                <w:color w:val="365F91" w:themeColor="accent1" w:themeShade="BF"/>
                <w:sz w:val="28"/>
                <w:szCs w:val="28"/>
              </w:rPr>
            </w:pPr>
            <w:r w:rsidRPr="007A7801">
              <w:rPr>
                <w:b/>
                <w:color w:val="365F91" w:themeColor="accent1" w:themeShade="BF"/>
                <w:sz w:val="28"/>
                <w:szCs w:val="28"/>
                <w:u w:val="single"/>
              </w:rPr>
              <w:t>National Target:</w:t>
            </w:r>
            <w:r w:rsidRPr="007A7801">
              <w:rPr>
                <w:b/>
                <w:color w:val="365F91" w:themeColor="accent1" w:themeShade="BF"/>
                <w:sz w:val="28"/>
                <w:szCs w:val="28"/>
              </w:rPr>
              <w:t xml:space="preserve"> </w:t>
            </w:r>
          </w:p>
          <w:p w:rsidR="00396C35" w:rsidRPr="007A7801" w:rsidRDefault="00396C35" w:rsidP="005A660A">
            <w:pPr>
              <w:pStyle w:val="Default"/>
              <w:spacing w:before="120"/>
              <w:ind w:right="-52"/>
              <w:jc w:val="both"/>
              <w:rPr>
                <w:b/>
                <w:color w:val="365F91" w:themeColor="accent1" w:themeShade="BF"/>
                <w:sz w:val="28"/>
                <w:szCs w:val="28"/>
                <w:u w:val="single" w:color="FF0000"/>
              </w:rPr>
            </w:pPr>
            <w:r w:rsidRPr="007A7801">
              <w:rPr>
                <w:b/>
                <w:color w:val="365F91" w:themeColor="accent1" w:themeShade="BF"/>
                <w:sz w:val="28"/>
                <w:szCs w:val="28"/>
              </w:rPr>
              <w:t>Reduce the dropout rate to 10% by 2020 from 11,9% in 2009 and increase the share of the population aged 30-34 having completed tertiary education to at least 46% by 2020 from 44,7% in 2009.</w:t>
            </w:r>
          </w:p>
        </w:tc>
      </w:tr>
    </w:tbl>
    <w:p w:rsidR="00396C35" w:rsidRPr="007A7801" w:rsidRDefault="00396C35" w:rsidP="00396C35">
      <w:pPr>
        <w:pStyle w:val="Heading2"/>
        <w:spacing w:line="240" w:lineRule="auto"/>
        <w:rPr>
          <w:i/>
          <w:color w:val="17365D" w:themeColor="text2" w:themeShade="BF"/>
          <w:sz w:val="24"/>
          <w:szCs w:val="24"/>
        </w:rPr>
      </w:pPr>
    </w:p>
    <w:p w:rsidR="00396C35" w:rsidRPr="00C916DB" w:rsidRDefault="00396C35" w:rsidP="00FB7BAC">
      <w:pPr>
        <w:pStyle w:val="Default"/>
        <w:ind w:left="1418" w:hanging="1418"/>
        <w:jc w:val="both"/>
        <w:rPr>
          <w:b/>
          <w:i/>
          <w:color w:val="365F91" w:themeColor="accent1" w:themeShade="BF"/>
        </w:rPr>
      </w:pPr>
      <w:r w:rsidRPr="00C916DB">
        <w:rPr>
          <w:b/>
          <w:i/>
          <w:color w:val="365F91" w:themeColor="accent1" w:themeShade="BF"/>
          <w:lang w:val="en-GB"/>
        </w:rPr>
        <w:t>Guideline 8: “Developing a skilled workforce responding to labour market needs, promoting job quality and lifelong learning”</w:t>
      </w:r>
    </w:p>
    <w:p w:rsidR="00396C35" w:rsidRPr="00C916DB" w:rsidRDefault="00396C35" w:rsidP="00FB7BAC">
      <w:pPr>
        <w:ind w:left="1418" w:hanging="1418"/>
        <w:jc w:val="both"/>
        <w:rPr>
          <w:b/>
          <w:i/>
          <w:color w:val="365F91" w:themeColor="accent1" w:themeShade="BF"/>
        </w:rPr>
      </w:pPr>
      <w:r w:rsidRPr="00C916DB">
        <w:rPr>
          <w:b/>
          <w:i/>
          <w:color w:val="365F91" w:themeColor="accent1" w:themeShade="BF"/>
        </w:rPr>
        <w:t>Guideline 9: “Improving the performance of education and training systems at all levels and increasing participation in tertiary education”</w:t>
      </w:r>
    </w:p>
    <w:p w:rsidR="00396C35" w:rsidRPr="007A7801" w:rsidRDefault="00396C35" w:rsidP="004E3885">
      <w:pPr>
        <w:pStyle w:val="Heading2"/>
      </w:pPr>
      <w:bookmarkStart w:id="53" w:name="_Toc292454622"/>
      <w:r w:rsidRPr="007A7801">
        <w:t>CURRENT SITUATION</w:t>
      </w:r>
      <w:bookmarkEnd w:id="53"/>
    </w:p>
    <w:p w:rsidR="00396C35" w:rsidRPr="007A7801" w:rsidRDefault="00396C35" w:rsidP="00396C35">
      <w:pPr>
        <w:jc w:val="both"/>
        <w:rPr>
          <w:b/>
          <w:u w:val="single"/>
        </w:rPr>
      </w:pPr>
    </w:p>
    <w:p w:rsidR="00396C35" w:rsidRPr="007A7801" w:rsidRDefault="00396C35" w:rsidP="00396C35">
      <w:pPr>
        <w:jc w:val="both"/>
      </w:pPr>
      <w:r w:rsidRPr="007A7801">
        <w:t>Cyprus has a good performance in educational attainment resulting into a very highly qualified labour force. Public expenditure on education, at about 7,8% of GDP is very high by international standards with an additional private expenditure estimated at about 3% of GDP.</w:t>
      </w:r>
    </w:p>
    <w:p w:rsidR="00396C35" w:rsidRPr="007A7801" w:rsidRDefault="00396C35" w:rsidP="00396C35">
      <w:pPr>
        <w:jc w:val="both"/>
      </w:pPr>
    </w:p>
    <w:p w:rsidR="00396C35" w:rsidRPr="007A7801" w:rsidRDefault="00396C35" w:rsidP="00396C35">
      <w:pPr>
        <w:jc w:val="both"/>
      </w:pPr>
      <w:r w:rsidRPr="007A7801">
        <w:t xml:space="preserve">Even though education is not compulsory for children over the age of 15, the rate of enrolment of children in the 15-18 age groups is about 95%.  People who have dropped out of school have a second chance to complete their schooling and obtain a high school certificate by attending an evening gymnasium or technical school. </w:t>
      </w:r>
    </w:p>
    <w:p w:rsidR="00F0709B" w:rsidRDefault="00F0709B" w:rsidP="00396C35">
      <w:pPr>
        <w:jc w:val="both"/>
        <w:sectPr w:rsidR="00F0709B" w:rsidSect="00F0709B">
          <w:headerReference w:type="first" r:id="rId24"/>
          <w:pgSz w:w="12240" w:h="15840"/>
          <w:pgMar w:top="1560" w:right="1440" w:bottom="1296" w:left="1440" w:header="720" w:footer="720" w:gutter="0"/>
          <w:cols w:space="720"/>
          <w:titlePg/>
          <w:docGrid w:linePitch="360"/>
        </w:sectPr>
      </w:pPr>
    </w:p>
    <w:p w:rsidR="00EC471E" w:rsidRDefault="00EC471E" w:rsidP="005A660A">
      <w:pPr>
        <w:rPr>
          <w:b/>
          <w:i/>
        </w:rPr>
      </w:pPr>
    </w:p>
    <w:p w:rsidR="00396C35" w:rsidRPr="007A7801" w:rsidRDefault="00EC471E" w:rsidP="005A660A">
      <w:r>
        <w:rPr>
          <w:b/>
          <w:i/>
        </w:rPr>
        <w:t>F</w:t>
      </w:r>
      <w:r w:rsidR="005A660A" w:rsidRPr="007A7801">
        <w:rPr>
          <w:b/>
          <w:i/>
        </w:rPr>
        <w:t xml:space="preserve">igure </w:t>
      </w:r>
      <w:r w:rsidR="000623A3">
        <w:rPr>
          <w:b/>
          <w:i/>
        </w:rPr>
        <w:t>1</w:t>
      </w:r>
      <w:r w:rsidR="005A660A" w:rsidRPr="007A7801">
        <w:rPr>
          <w:b/>
          <w:i/>
        </w:rPr>
        <w:t xml:space="preserve">: </w:t>
      </w:r>
      <w:r w:rsidR="00396C35" w:rsidRPr="007A7801">
        <w:rPr>
          <w:b/>
          <w:i/>
        </w:rPr>
        <w:t xml:space="preserve"> Numbers of Higher Education Students in Cyprus and abroad</w:t>
      </w:r>
      <w:r w:rsidR="00396C35" w:rsidRPr="007A7801">
        <w:rPr>
          <w:noProof/>
        </w:rPr>
        <w:drawing>
          <wp:inline distT="0" distB="0" distL="0" distR="0">
            <wp:extent cx="5915025" cy="2857500"/>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4537075"/>
                      <a:chOff x="900113" y="1700213"/>
                      <a:chExt cx="7848600" cy="4537075"/>
                    </a:xfrm>
                  </a:grpSpPr>
                  <a:grpSp>
                    <a:nvGrpSpPr>
                      <a:cNvPr id="20484" name="Group 6"/>
                      <a:cNvGrpSpPr>
                        <a:grpSpLocks/>
                      </a:cNvGrpSpPr>
                    </a:nvGrpSpPr>
                    <a:grpSpPr bwMode="auto">
                      <a:xfrm>
                        <a:off x="900113" y="1700213"/>
                        <a:ext cx="7848600" cy="4537075"/>
                        <a:chOff x="900113" y="1700213"/>
                        <a:chExt cx="7848600" cy="4537075"/>
                      </a:xfrm>
                    </a:grpSpPr>
                    <a:graphicFrame>
                      <a:nvGraphicFramePr>
                        <a:cNvPr id="9" name="Chart 8"/>
                        <a:cNvGraphicFramePr/>
                      </a:nvGraphicFramePr>
                      <a:graphic>
                        <a:graphicData uri="http://schemas.openxmlformats.org/drawingml/2006/chart">
                          <c:chart xmlns:c="http://schemas.openxmlformats.org/drawingml/2006/chart" xmlns:r="http://schemas.openxmlformats.org/officeDocument/2006/relationships" r:id="rId25"/>
                        </a:graphicData>
                      </a:graphic>
                      <a:xfrm>
                        <a:off x="900113" y="1700213"/>
                        <a:ext cx="7848600" cy="4537075"/>
                      </a:xfrm>
                    </a:graphicFrame>
                    <a:sp>
                      <a:nvSpPr>
                        <a:cNvPr id="20486" name="TextBox 1"/>
                        <a:cNvSpPr txBox="1">
                          <a:spLocks noChangeArrowheads="1"/>
                        </a:cNvSpPr>
                      </a:nvSpPr>
                      <a:spPr bwMode="auto">
                        <a:xfrm>
                          <a:off x="6588125" y="3571875"/>
                          <a:ext cx="2160588" cy="714375"/>
                        </a:xfrm>
                        <a:prstGeom prst="rect">
                          <a:avLst/>
                        </a:prstGeom>
                        <a:solidFill>
                          <a:schemeClr val="bg1"/>
                        </a:solid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a:spcAft>
                                <a:spcPts val="600"/>
                              </a:spcAft>
                              <a:defRPr/>
                            </a:pPr>
                            <a:r>
                              <a:rPr lang="en-US" sz="1150" dirty="0"/>
                              <a:t>Cypriot students abroad</a:t>
                            </a:r>
                          </a:p>
                          <a:p>
                            <a:pPr>
                              <a:spcAft>
                                <a:spcPts val="600"/>
                              </a:spcAft>
                              <a:defRPr/>
                            </a:pPr>
                            <a:r>
                              <a:rPr lang="en-US" sz="1150" dirty="0"/>
                              <a:t>Cypriot students in Cyprus</a:t>
                            </a:r>
                          </a:p>
                          <a:p>
                            <a:pPr>
                              <a:spcAft>
                                <a:spcPts val="600"/>
                              </a:spcAft>
                              <a:defRPr/>
                            </a:pPr>
                            <a:r>
                              <a:rPr lang="en-US" sz="1150" dirty="0"/>
                              <a:t>Foreign students in Cyprus</a:t>
                            </a:r>
                          </a:p>
                          <a:p>
                            <a:pPr>
                              <a:defRPr/>
                            </a:pPr>
                            <a:endParaRPr lang="el-GR" sz="400" dirty="0"/>
                          </a:p>
                        </a:txBody>
                        <a:useSpRect/>
                      </a:txSp>
                    </a:sp>
                  </a:grpSp>
                </lc:lockedCanvas>
              </a:graphicData>
            </a:graphic>
          </wp:inline>
        </w:drawing>
      </w:r>
    </w:p>
    <w:p w:rsidR="0050232A" w:rsidRPr="007A7801" w:rsidRDefault="0050232A" w:rsidP="00396C35">
      <w:pPr>
        <w:jc w:val="both"/>
      </w:pPr>
    </w:p>
    <w:p w:rsidR="00396C35" w:rsidRPr="007A7801" w:rsidRDefault="00396C35" w:rsidP="00396C35">
      <w:pPr>
        <w:jc w:val="both"/>
      </w:pPr>
      <w:r w:rsidRPr="007A7801">
        <w:lastRenderedPageBreak/>
        <w:t xml:space="preserve">Demand for higher education is high: 82% of the students completing their upper secondary education seek placements at Institutions of Higher Education. The Cyprus Government covers the cost of tuition for European Union students studying at Public Institutions of Higher Education in Cyprus, at both university and non-university level. Due to the rather limited supply of places in Cyprus, about 55% of Cypriot students study in other countries, with the most popular destinations being Greece, the United Kingdom and the United States of America. Currently three public Universities are operating in Cyprus: </w:t>
      </w:r>
      <w:r w:rsidR="00C605E8">
        <w:t>t</w:t>
      </w:r>
      <w:r w:rsidRPr="007A7801">
        <w:t xml:space="preserve">he University of Cyprus, </w:t>
      </w:r>
      <w:r w:rsidR="00C605E8">
        <w:t>t</w:t>
      </w:r>
      <w:r w:rsidRPr="007A7801">
        <w:t xml:space="preserve">he Open University of Cyprus and </w:t>
      </w:r>
      <w:r w:rsidR="00C605E8">
        <w:t>t</w:t>
      </w:r>
      <w:r w:rsidRPr="007A7801">
        <w:t xml:space="preserve">he </w:t>
      </w:r>
      <w:r w:rsidR="00C605E8">
        <w:t>Cyprus University of Technology</w:t>
      </w:r>
      <w:r w:rsidRPr="007A7801">
        <w:t>, as wel</w:t>
      </w:r>
      <w:r w:rsidR="00B92EFD">
        <w:t>l as three private Universities</w:t>
      </w:r>
      <w:r w:rsidRPr="007A7801">
        <w:t xml:space="preserve"> absorbing 45% of tertiary education students. </w:t>
      </w:r>
    </w:p>
    <w:p w:rsidR="00396C35" w:rsidRPr="007A7801" w:rsidRDefault="00396C35" w:rsidP="00396C35">
      <w:pPr>
        <w:jc w:val="both"/>
      </w:pPr>
    </w:p>
    <w:p w:rsidR="00396C35" w:rsidRPr="007A7801" w:rsidRDefault="00396C35" w:rsidP="00396C35">
      <w:pPr>
        <w:jc w:val="both"/>
      </w:pPr>
      <w:r w:rsidRPr="007A7801">
        <w:t>Great importance is also placed on the promotion of lifelong education by the implementation of several measures for enhancing adult education and providing opportunities for access to programs of lifelong learning for all citizens.</w:t>
      </w:r>
    </w:p>
    <w:p w:rsidR="00396C35" w:rsidRPr="007A7801" w:rsidRDefault="00396C35" w:rsidP="00396C35">
      <w:pPr>
        <w:jc w:val="both"/>
      </w:pPr>
    </w:p>
    <w:p w:rsidR="00396C35" w:rsidRPr="007A7801" w:rsidRDefault="00396C35" w:rsidP="00396C35">
      <w:pPr>
        <w:jc w:val="both"/>
      </w:pPr>
      <w:r w:rsidRPr="007A7801">
        <w:t>The comprehensive Lifelong Learning Strategy for Cyprus, covering the period 2007–2013, is steadily implemented with the Lifelong Learning (LLL) rate having improved from 5,6% in 2005 to 7,8% in 2009. The national target is for the LLL rate to reach 12% in 2020.</w:t>
      </w:r>
    </w:p>
    <w:p w:rsidR="00396C35" w:rsidRPr="007A7801" w:rsidRDefault="00396C35" w:rsidP="00396C35">
      <w:pPr>
        <w:jc w:val="both"/>
      </w:pPr>
    </w:p>
    <w:p w:rsidR="00396C35" w:rsidRPr="007A7801" w:rsidRDefault="00396C35" w:rsidP="00396C35">
      <w:pPr>
        <w:jc w:val="both"/>
      </w:pPr>
      <w:r w:rsidRPr="007A7801">
        <w:t>The ongoing Educational Reform is an effort for a comprehensive introduction of changes and innovations at all levels and all aspects of the educational system. The aim is to turn into reality the vision of a better educational system that would meet pupils´ future needs and society's challenges in the 21st century. This will be done by improving the equity of the educational system, by encouraging lifelong learning throughout the stages of the educational system, by reinforcing the content of education and training and upgrading the infrastructure with an emphasis on the cultivation of lifelong learning competences from the early years of compulsory education. We envision offering flexible, multifaceted programmes, which combine general education, enriched, to a certain extent, with elements of technology education, in order to satisfy the needs of contemporary citizens. The participation of all education stakeholders in the dialogue for educational reform is an innovative feature which aims at building consensus to the highest possible degree and the continuity of educational policy, through extensive discussion of the main issues. Furthermore, the increased demographic changes, as a result of the current influx of both EU and third-country nationals constitute a challenge for the education system, which needs to adapt to new realities.</w:t>
      </w:r>
    </w:p>
    <w:p w:rsidR="00396C35" w:rsidRDefault="00396C35" w:rsidP="00396C35">
      <w:pPr>
        <w:jc w:val="both"/>
      </w:pPr>
    </w:p>
    <w:p w:rsidR="00C42ECB" w:rsidRPr="007A7801" w:rsidRDefault="00C42ECB" w:rsidP="00396C35">
      <w:pPr>
        <w:jc w:val="both"/>
      </w:pPr>
    </w:p>
    <w:p w:rsidR="00396C35" w:rsidRPr="007A7801" w:rsidRDefault="004E3885" w:rsidP="004E3885">
      <w:pPr>
        <w:pStyle w:val="Heading2"/>
      </w:pPr>
      <w:r w:rsidRPr="007A7801">
        <w:rPr>
          <w:u w:val="none"/>
          <w:lang w:val="en-GB"/>
        </w:rPr>
        <w:t xml:space="preserve"> </w:t>
      </w:r>
      <w:bookmarkStart w:id="54" w:name="_Toc292454623"/>
      <w:r w:rsidRPr="007A7801">
        <w:rPr>
          <w:lang w:val="en-GB"/>
        </w:rPr>
        <w:t xml:space="preserve">KEY MEASURES TO </w:t>
      </w:r>
      <w:r w:rsidR="00FB7BAC" w:rsidRPr="007A7801">
        <w:rPr>
          <w:lang w:val="en-GB"/>
        </w:rPr>
        <w:t xml:space="preserve">REACH </w:t>
      </w:r>
      <w:r w:rsidRPr="007A7801">
        <w:rPr>
          <w:lang w:val="en-GB"/>
        </w:rPr>
        <w:t>TARGETS</w:t>
      </w:r>
      <w:bookmarkEnd w:id="54"/>
    </w:p>
    <w:p w:rsidR="00396C35" w:rsidRPr="007A7801" w:rsidRDefault="00396C35" w:rsidP="00396C35">
      <w:pPr>
        <w:tabs>
          <w:tab w:val="left" w:pos="360"/>
        </w:tabs>
        <w:rPr>
          <w:b/>
        </w:rPr>
      </w:pPr>
    </w:p>
    <w:p w:rsidR="00396C35" w:rsidRPr="007A7801" w:rsidRDefault="00396C35" w:rsidP="001D09A7">
      <w:pPr>
        <w:pStyle w:val="ListParagraph"/>
        <w:numPr>
          <w:ilvl w:val="0"/>
          <w:numId w:val="6"/>
        </w:numPr>
        <w:tabs>
          <w:tab w:val="left" w:pos="360"/>
        </w:tabs>
        <w:ind w:left="426" w:hanging="426"/>
        <w:contextualSpacing/>
        <w:rPr>
          <w:b/>
        </w:rPr>
      </w:pPr>
      <w:r w:rsidRPr="007A7801">
        <w:rPr>
          <w:b/>
        </w:rPr>
        <w:t>Reduce the rate of early school leavers to 10%</w:t>
      </w:r>
    </w:p>
    <w:p w:rsidR="00396C35" w:rsidRPr="007A7801" w:rsidRDefault="00396C35" w:rsidP="00396C35">
      <w:pPr>
        <w:tabs>
          <w:tab w:val="left" w:pos="360"/>
        </w:tabs>
        <w:rPr>
          <w:b/>
          <w:caps/>
          <w:lang w:val="en-GB"/>
        </w:rPr>
      </w:pPr>
    </w:p>
    <w:p w:rsidR="00396C35" w:rsidRPr="007A7801" w:rsidRDefault="00396C35" w:rsidP="00396C35">
      <w:pPr>
        <w:jc w:val="both"/>
      </w:pPr>
      <w:r w:rsidRPr="007A7801">
        <w:t>In order</w:t>
      </w:r>
      <w:r w:rsidRPr="007A7801">
        <w:rPr>
          <w:b/>
        </w:rPr>
        <w:t xml:space="preserve"> </w:t>
      </w:r>
      <w:r w:rsidRPr="007A7801">
        <w:t>to meet the national target of reducing the rate of early school leavers by 2020, the following priority measures are envisaged, which aim at facilitating the integration of students at risk and increasing the attractiveness of technical education, thus offering to students alternative paths:</w:t>
      </w:r>
    </w:p>
    <w:p w:rsidR="00396C35" w:rsidRPr="001E0EF5" w:rsidRDefault="00396C35" w:rsidP="00A073EF">
      <w:pPr>
        <w:pStyle w:val="ListParagraph"/>
        <w:numPr>
          <w:ilvl w:val="0"/>
          <w:numId w:val="45"/>
        </w:numPr>
        <w:ind w:left="426" w:hanging="426"/>
        <w:contextualSpacing/>
        <w:jc w:val="both"/>
        <w:rPr>
          <w:b/>
        </w:rPr>
      </w:pPr>
      <w:r w:rsidRPr="001E0EF5">
        <w:rPr>
          <w:b/>
        </w:rPr>
        <w:lastRenderedPageBreak/>
        <w:t>Restructuring the education system and moderni</w:t>
      </w:r>
      <w:r w:rsidR="00BB650B">
        <w:rPr>
          <w:b/>
        </w:rPr>
        <w:t>s</w:t>
      </w:r>
      <w:r w:rsidRPr="001E0EF5">
        <w:rPr>
          <w:b/>
        </w:rPr>
        <w:t>ing the content of education by  moderni</w:t>
      </w:r>
      <w:r w:rsidR="00BB650B">
        <w:rPr>
          <w:b/>
        </w:rPr>
        <w:t>s</w:t>
      </w:r>
      <w:r w:rsidRPr="001E0EF5">
        <w:rPr>
          <w:b/>
        </w:rPr>
        <w:t>ing and upgrading the curriculum for all public schools (from Pre-Primary to Upper Secondary Education):</w:t>
      </w:r>
    </w:p>
    <w:p w:rsidR="00396C35" w:rsidRPr="007A7801" w:rsidRDefault="00396C35" w:rsidP="00A073EF">
      <w:pPr>
        <w:numPr>
          <w:ilvl w:val="0"/>
          <w:numId w:val="46"/>
        </w:numPr>
        <w:ind w:left="709" w:hanging="283"/>
        <w:jc w:val="both"/>
      </w:pPr>
      <w:r w:rsidRPr="007A7801">
        <w:t>Introduction of new curricula which focus</w:t>
      </w:r>
      <w:r w:rsidR="00BB650B">
        <w:t>es</w:t>
      </w:r>
      <w:r w:rsidRPr="007A7801">
        <w:t xml:space="preserve"> on the development of new skills and key competences with the aim to improve the openness and relevance of education and training systems.</w:t>
      </w:r>
    </w:p>
    <w:p w:rsidR="00396C35" w:rsidRPr="007A7801" w:rsidRDefault="00396C35" w:rsidP="00A073EF">
      <w:pPr>
        <w:numPr>
          <w:ilvl w:val="0"/>
          <w:numId w:val="46"/>
        </w:numPr>
        <w:ind w:left="709" w:hanging="283"/>
        <w:jc w:val="both"/>
      </w:pPr>
      <w:r w:rsidRPr="007A7801">
        <w:t>Introduction of new timetables in line with the new curricula that provide for individuali</w:t>
      </w:r>
      <w:r w:rsidR="00BB650B">
        <w:t>s</w:t>
      </w:r>
      <w:r w:rsidRPr="007A7801">
        <w:t>ed instruction and consolidation time.</w:t>
      </w:r>
    </w:p>
    <w:p w:rsidR="00396C35" w:rsidRPr="007A7801" w:rsidRDefault="00396C35" w:rsidP="00A073EF">
      <w:pPr>
        <w:numPr>
          <w:ilvl w:val="0"/>
          <w:numId w:val="46"/>
        </w:numPr>
        <w:ind w:left="709" w:hanging="283"/>
        <w:jc w:val="both"/>
      </w:pPr>
      <w:r w:rsidRPr="007A7801">
        <w:t>Production of new educational materials (books, multimedia etc.)</w:t>
      </w:r>
    </w:p>
    <w:p w:rsidR="00396C35" w:rsidRPr="007A7801" w:rsidRDefault="00396C35" w:rsidP="00A073EF">
      <w:pPr>
        <w:numPr>
          <w:ilvl w:val="0"/>
          <w:numId w:val="46"/>
        </w:numPr>
        <w:ind w:left="709" w:hanging="283"/>
        <w:jc w:val="both"/>
      </w:pPr>
      <w:r w:rsidRPr="007A7801">
        <w:t>Continuous professional development of teachers in relation to the new curricula</w:t>
      </w:r>
      <w:r w:rsidR="000623A3">
        <w:t>.</w:t>
      </w:r>
      <w:r w:rsidRPr="007A7801">
        <w:t xml:space="preserve"> </w:t>
      </w:r>
    </w:p>
    <w:p w:rsidR="00396C35" w:rsidRPr="007A7801" w:rsidRDefault="00396C35" w:rsidP="00A073EF">
      <w:pPr>
        <w:numPr>
          <w:ilvl w:val="0"/>
          <w:numId w:val="46"/>
        </w:numPr>
        <w:ind w:left="709" w:hanging="283"/>
        <w:jc w:val="both"/>
      </w:pPr>
      <w:r w:rsidRPr="007A7801">
        <w:t>The development of a new curriculum for Upper Secondary and Technical Vocational Education in order to facilitate the transfer of students between general education and VET.</w:t>
      </w:r>
    </w:p>
    <w:p w:rsidR="00396C35" w:rsidRPr="007A7801" w:rsidRDefault="00396C35" w:rsidP="00396C35">
      <w:pPr>
        <w:ind w:firstLine="284"/>
        <w:jc w:val="both"/>
        <w:rPr>
          <w:u w:val="single"/>
        </w:rPr>
      </w:pPr>
    </w:p>
    <w:p w:rsidR="00396C35" w:rsidRPr="007A7801" w:rsidRDefault="00396C35" w:rsidP="00396C35">
      <w:pPr>
        <w:ind w:firstLine="284"/>
        <w:jc w:val="both"/>
        <w:rPr>
          <w:u w:val="single"/>
        </w:rPr>
      </w:pPr>
      <w:r w:rsidRPr="007A7801">
        <w:rPr>
          <w:u w:val="single"/>
        </w:rPr>
        <w:t>Important milestones</w:t>
      </w:r>
    </w:p>
    <w:p w:rsidR="00396C35" w:rsidRPr="007A7801" w:rsidRDefault="00396C35" w:rsidP="00A073EF">
      <w:pPr>
        <w:pStyle w:val="ListParagraph"/>
        <w:numPr>
          <w:ilvl w:val="0"/>
          <w:numId w:val="47"/>
        </w:numPr>
        <w:ind w:left="709" w:hanging="283"/>
        <w:jc w:val="both"/>
      </w:pPr>
      <w:r w:rsidRPr="007A7801">
        <w:t>Full implementation of the new curricula to all public schools by September 2016.</w:t>
      </w:r>
    </w:p>
    <w:p w:rsidR="00396C35" w:rsidRPr="007A7801" w:rsidRDefault="00396C35" w:rsidP="00A073EF">
      <w:pPr>
        <w:pStyle w:val="ListParagraph"/>
        <w:numPr>
          <w:ilvl w:val="0"/>
          <w:numId w:val="47"/>
        </w:numPr>
        <w:ind w:left="709" w:hanging="283"/>
        <w:jc w:val="both"/>
      </w:pPr>
      <w:r w:rsidRPr="007A7801">
        <w:t>Continuous professional development courses for 3</w:t>
      </w:r>
      <w:r w:rsidR="00BB650B">
        <w:t>.</w:t>
      </w:r>
      <w:r w:rsidRPr="007A7801">
        <w:t>000 teachers annually</w:t>
      </w:r>
      <w:r w:rsidR="000623A3">
        <w:t>.</w:t>
      </w:r>
      <w:r w:rsidRPr="007A7801">
        <w:t xml:space="preserve"> </w:t>
      </w:r>
    </w:p>
    <w:p w:rsidR="00396C35" w:rsidRPr="007A7801" w:rsidRDefault="00396C35" w:rsidP="00A073EF">
      <w:pPr>
        <w:pStyle w:val="ListParagraph"/>
        <w:numPr>
          <w:ilvl w:val="0"/>
          <w:numId w:val="47"/>
        </w:numPr>
        <w:ind w:left="709" w:hanging="283"/>
        <w:jc w:val="both"/>
      </w:pPr>
      <w:r w:rsidRPr="007A7801">
        <w:t>The development of a new curriculum for Upper Secondary and Technical Vocational Education by 2015</w:t>
      </w:r>
      <w:r w:rsidR="000623A3">
        <w:t>.</w:t>
      </w:r>
    </w:p>
    <w:p w:rsidR="00396C35" w:rsidRPr="007A7801" w:rsidRDefault="00396C35" w:rsidP="00396C35">
      <w:pPr>
        <w:ind w:left="567"/>
        <w:jc w:val="both"/>
      </w:pPr>
    </w:p>
    <w:p w:rsidR="00396C35" w:rsidRPr="007A7801" w:rsidRDefault="00396C35" w:rsidP="00981DAE">
      <w:pPr>
        <w:tabs>
          <w:tab w:val="left" w:pos="3930"/>
        </w:tabs>
        <w:ind w:firstLine="284"/>
        <w:jc w:val="both"/>
      </w:pPr>
      <w:r w:rsidRPr="007A7801">
        <w:rPr>
          <w:u w:val="single"/>
        </w:rPr>
        <w:t>Estimated budget:</w:t>
      </w:r>
      <w:r w:rsidR="00981DAE">
        <w:rPr>
          <w:u w:val="single"/>
        </w:rPr>
        <w:t xml:space="preserve"> </w:t>
      </w:r>
      <w:r w:rsidRPr="007A7801">
        <w:t>€1.500.000 per year (2011-2016)</w:t>
      </w:r>
    </w:p>
    <w:p w:rsidR="00396C35" w:rsidRPr="007A7801" w:rsidRDefault="00396C35" w:rsidP="00396C35">
      <w:pPr>
        <w:ind w:left="567"/>
        <w:jc w:val="both"/>
      </w:pPr>
    </w:p>
    <w:p w:rsidR="00396C35" w:rsidRPr="001E0EF5" w:rsidRDefault="00396C35" w:rsidP="00A073EF">
      <w:pPr>
        <w:pStyle w:val="ListParagraph"/>
        <w:numPr>
          <w:ilvl w:val="0"/>
          <w:numId w:val="45"/>
        </w:numPr>
        <w:ind w:left="426" w:hanging="426"/>
        <w:jc w:val="both"/>
        <w:rPr>
          <w:b/>
        </w:rPr>
      </w:pPr>
      <w:r w:rsidRPr="001E0EF5">
        <w:rPr>
          <w:b/>
        </w:rPr>
        <w:t>Measures facilitating the integration of students at risk to the school system:</w:t>
      </w:r>
    </w:p>
    <w:p w:rsidR="00396C35" w:rsidRPr="007A7801" w:rsidRDefault="00396C35" w:rsidP="00A073EF">
      <w:pPr>
        <w:numPr>
          <w:ilvl w:val="0"/>
          <w:numId w:val="48"/>
        </w:numPr>
        <w:jc w:val="both"/>
      </w:pPr>
      <w:r w:rsidRPr="007A7801">
        <w:t>Measures to facilitate school enrollment and school success through schemes such as the Zone’s of Educational Priority (ZEP)</w:t>
      </w:r>
      <w:r w:rsidR="000623A3">
        <w:t>.</w:t>
      </w:r>
    </w:p>
    <w:p w:rsidR="00396C35" w:rsidRPr="007A7801" w:rsidRDefault="00396C35" w:rsidP="00A073EF">
      <w:pPr>
        <w:numPr>
          <w:ilvl w:val="0"/>
          <w:numId w:val="48"/>
        </w:numPr>
        <w:jc w:val="both"/>
      </w:pPr>
      <w:r w:rsidRPr="007A7801">
        <w:t>Psychological support and Counseling</w:t>
      </w:r>
      <w:r w:rsidR="000623A3">
        <w:t>.</w:t>
      </w:r>
      <w:r w:rsidRPr="007A7801">
        <w:t xml:space="preserve"> </w:t>
      </w:r>
    </w:p>
    <w:p w:rsidR="00396C35" w:rsidRPr="007A7801" w:rsidRDefault="00396C35" w:rsidP="00A073EF">
      <w:pPr>
        <w:numPr>
          <w:ilvl w:val="0"/>
          <w:numId w:val="48"/>
        </w:numPr>
        <w:jc w:val="both"/>
      </w:pPr>
      <w:r w:rsidRPr="007A7801">
        <w:t>Special induction programmes for migrants</w:t>
      </w:r>
      <w:r w:rsidR="000623A3">
        <w:t>.</w:t>
      </w:r>
    </w:p>
    <w:p w:rsidR="00396C35" w:rsidRPr="007A7801" w:rsidRDefault="00396C35" w:rsidP="00A073EF">
      <w:pPr>
        <w:numPr>
          <w:ilvl w:val="0"/>
          <w:numId w:val="48"/>
        </w:numPr>
        <w:jc w:val="both"/>
      </w:pPr>
      <w:r w:rsidRPr="007A7801">
        <w:t>Early identification of literacy problems through specifically designed diagnostic assessment.</w:t>
      </w:r>
    </w:p>
    <w:p w:rsidR="00396C35" w:rsidRPr="007A7801" w:rsidRDefault="00396C35" w:rsidP="00A073EF">
      <w:pPr>
        <w:numPr>
          <w:ilvl w:val="0"/>
          <w:numId w:val="48"/>
        </w:numPr>
        <w:jc w:val="both"/>
      </w:pPr>
      <w:r w:rsidRPr="007A7801">
        <w:t>Setting up an Expert Committee for early identification of literacy problems to accomplish the goal of reducing school failure and dropout rates</w:t>
      </w:r>
      <w:r w:rsidR="000623A3">
        <w:t>.</w:t>
      </w:r>
    </w:p>
    <w:p w:rsidR="00396C35" w:rsidRPr="007A7801" w:rsidRDefault="00396C35" w:rsidP="00396C35">
      <w:pPr>
        <w:ind w:firstLine="284"/>
        <w:jc w:val="both"/>
        <w:rPr>
          <w:u w:val="single"/>
        </w:rPr>
      </w:pPr>
    </w:p>
    <w:p w:rsidR="00396C35" w:rsidRPr="007A7801" w:rsidRDefault="00396C35" w:rsidP="00942AFF">
      <w:pPr>
        <w:ind w:left="426"/>
        <w:jc w:val="both"/>
      </w:pPr>
      <w:r w:rsidRPr="007A7801">
        <w:rPr>
          <w:u w:val="single"/>
        </w:rPr>
        <w:t>Important milestones:</w:t>
      </w:r>
      <w:r w:rsidR="00981DAE" w:rsidRPr="00981DAE">
        <w:t xml:space="preserve"> </w:t>
      </w:r>
      <w:r w:rsidRPr="007A7801">
        <w:t xml:space="preserve">15% of the total student population to be enrolled in an educational establishment that belongs to a ZEP.  </w:t>
      </w:r>
    </w:p>
    <w:p w:rsidR="00396C35" w:rsidRPr="007A7801" w:rsidRDefault="00396C35" w:rsidP="00396C35">
      <w:pPr>
        <w:ind w:left="284"/>
        <w:jc w:val="both"/>
      </w:pPr>
    </w:p>
    <w:p w:rsidR="00396C35" w:rsidRPr="007A7801" w:rsidRDefault="00396C35" w:rsidP="00396C35">
      <w:pPr>
        <w:ind w:left="284"/>
        <w:jc w:val="both"/>
        <w:rPr>
          <w:u w:val="single"/>
        </w:rPr>
      </w:pPr>
      <w:r w:rsidRPr="007A7801">
        <w:rPr>
          <w:u w:val="single"/>
        </w:rPr>
        <w:t>Estimated budget:</w:t>
      </w:r>
      <w:r w:rsidRPr="007A7801">
        <w:tab/>
      </w:r>
    </w:p>
    <w:p w:rsidR="00396C35" w:rsidRPr="007A7801" w:rsidRDefault="00396C35" w:rsidP="00A073EF">
      <w:pPr>
        <w:numPr>
          <w:ilvl w:val="0"/>
          <w:numId w:val="49"/>
        </w:numPr>
        <w:jc w:val="both"/>
      </w:pPr>
      <w:r w:rsidRPr="007A7801">
        <w:t>€11.000.000 for the schemes of the Zones of Educational Priority (for the period 2007-2015, co-financed by the ESF)</w:t>
      </w:r>
      <w:r w:rsidR="000623A3">
        <w:t>.</w:t>
      </w:r>
    </w:p>
    <w:p w:rsidR="00396C35" w:rsidRPr="007A7801" w:rsidRDefault="00396C35" w:rsidP="00A073EF">
      <w:pPr>
        <w:numPr>
          <w:ilvl w:val="0"/>
          <w:numId w:val="49"/>
        </w:numPr>
        <w:jc w:val="both"/>
      </w:pPr>
      <w:r w:rsidRPr="007A7801">
        <w:t>€3.500.000 per year for the special induction programmes for migrants</w:t>
      </w:r>
      <w:r w:rsidR="000623A3">
        <w:t>.</w:t>
      </w:r>
    </w:p>
    <w:p w:rsidR="00396C35" w:rsidRPr="007A7801" w:rsidRDefault="00396C35" w:rsidP="00A073EF">
      <w:pPr>
        <w:numPr>
          <w:ilvl w:val="0"/>
          <w:numId w:val="49"/>
        </w:numPr>
        <w:jc w:val="both"/>
      </w:pPr>
      <w:r w:rsidRPr="007A7801">
        <w:t>€7.600.000 for other related programmes and actions (expected to be increased by €1.700.000 in 2012, as a result of the implementation of new curricula and timetables)</w:t>
      </w:r>
      <w:r w:rsidR="000623A3">
        <w:t>.</w:t>
      </w:r>
    </w:p>
    <w:p w:rsidR="00396C35" w:rsidRPr="007A7801" w:rsidRDefault="00396C35" w:rsidP="00396C35">
      <w:pPr>
        <w:ind w:left="567"/>
        <w:jc w:val="both"/>
      </w:pPr>
    </w:p>
    <w:p w:rsidR="00396C35" w:rsidRPr="007A7801" w:rsidRDefault="00396C35" w:rsidP="00A073EF">
      <w:pPr>
        <w:pStyle w:val="ListParagraph"/>
        <w:numPr>
          <w:ilvl w:val="0"/>
          <w:numId w:val="45"/>
        </w:numPr>
        <w:ind w:left="284" w:hanging="284"/>
        <w:contextualSpacing/>
        <w:jc w:val="both"/>
      </w:pPr>
      <w:r w:rsidRPr="005E5D42">
        <w:rPr>
          <w:b/>
        </w:rPr>
        <w:t>Upgrading vocational education and training:</w:t>
      </w:r>
    </w:p>
    <w:p w:rsidR="00396C35" w:rsidRPr="007A7801" w:rsidRDefault="00396C35" w:rsidP="00A073EF">
      <w:pPr>
        <w:pStyle w:val="ListParagraph"/>
        <w:numPr>
          <w:ilvl w:val="0"/>
          <w:numId w:val="50"/>
        </w:numPr>
        <w:ind w:left="851" w:hanging="425"/>
        <w:contextualSpacing/>
        <w:jc w:val="both"/>
        <w:rPr>
          <w:b/>
        </w:rPr>
      </w:pPr>
      <w:r w:rsidRPr="007A7801">
        <w:t>Improving the quality and attractiveness of the education and training systems.</w:t>
      </w:r>
    </w:p>
    <w:p w:rsidR="00396C35" w:rsidRPr="007A7801" w:rsidRDefault="00396C35" w:rsidP="00A073EF">
      <w:pPr>
        <w:pStyle w:val="ListParagraph"/>
        <w:numPr>
          <w:ilvl w:val="0"/>
          <w:numId w:val="50"/>
        </w:numPr>
        <w:ind w:left="851" w:hanging="425"/>
        <w:contextualSpacing/>
        <w:jc w:val="both"/>
        <w:rPr>
          <w:b/>
        </w:rPr>
      </w:pPr>
      <w:r w:rsidRPr="007A7801">
        <w:t>Establishing mechanisms of lifelong guidance and validation of acquired skills</w:t>
      </w:r>
      <w:r w:rsidR="000623A3">
        <w:t>.</w:t>
      </w:r>
    </w:p>
    <w:p w:rsidR="00396C35" w:rsidRPr="007A7801" w:rsidRDefault="00396C35" w:rsidP="00A073EF">
      <w:pPr>
        <w:pStyle w:val="ListParagraph"/>
        <w:numPr>
          <w:ilvl w:val="0"/>
          <w:numId w:val="50"/>
        </w:numPr>
        <w:ind w:left="851" w:hanging="425"/>
        <w:contextualSpacing/>
        <w:jc w:val="both"/>
      </w:pPr>
      <w:r w:rsidRPr="007A7801">
        <w:lastRenderedPageBreak/>
        <w:t xml:space="preserve">Providing alternative pathways to young persons and upgrading the Apprenticeships System. </w:t>
      </w:r>
    </w:p>
    <w:p w:rsidR="00396C35" w:rsidRPr="007A7801" w:rsidRDefault="00396C35" w:rsidP="00A073EF">
      <w:pPr>
        <w:pStyle w:val="ListParagraph"/>
        <w:numPr>
          <w:ilvl w:val="0"/>
          <w:numId w:val="50"/>
        </w:numPr>
        <w:ind w:left="851" w:hanging="425"/>
        <w:contextualSpacing/>
        <w:jc w:val="both"/>
        <w:rPr>
          <w:b/>
        </w:rPr>
      </w:pPr>
      <w:r w:rsidRPr="007A7801">
        <w:t xml:space="preserve">Facilitating the transfer of students between general education and Vocational and Educational Training (VET). </w:t>
      </w:r>
    </w:p>
    <w:p w:rsidR="00396C35" w:rsidRPr="007A7801" w:rsidRDefault="00396C35" w:rsidP="00396C35">
      <w:pPr>
        <w:jc w:val="both"/>
        <w:rPr>
          <w:b/>
        </w:rPr>
      </w:pPr>
    </w:p>
    <w:p w:rsidR="00396C35" w:rsidRPr="007A7801" w:rsidRDefault="00396C35" w:rsidP="00396C35">
      <w:pPr>
        <w:ind w:firstLine="284"/>
        <w:jc w:val="both"/>
      </w:pPr>
      <w:r w:rsidRPr="007A7801">
        <w:rPr>
          <w:u w:val="single"/>
        </w:rPr>
        <w:t>Important milestones</w:t>
      </w:r>
    </w:p>
    <w:p w:rsidR="00396C35" w:rsidRPr="007A7801" w:rsidRDefault="00396C35" w:rsidP="00A073EF">
      <w:pPr>
        <w:numPr>
          <w:ilvl w:val="0"/>
          <w:numId w:val="51"/>
        </w:numPr>
        <w:jc w:val="both"/>
        <w:rPr>
          <w:sz w:val="36"/>
        </w:rPr>
      </w:pPr>
      <w:r w:rsidRPr="007A7801">
        <w:rPr>
          <w:szCs w:val="18"/>
        </w:rPr>
        <w:t>Development of a new curriculum for Upper Secondary and Technical Vocational Education by 2015.</w:t>
      </w:r>
    </w:p>
    <w:p w:rsidR="00396C35" w:rsidRPr="007A7801" w:rsidRDefault="00396C35" w:rsidP="00A073EF">
      <w:pPr>
        <w:numPr>
          <w:ilvl w:val="0"/>
          <w:numId w:val="51"/>
        </w:numPr>
        <w:jc w:val="both"/>
        <w:rPr>
          <w:sz w:val="36"/>
        </w:rPr>
      </w:pPr>
      <w:r w:rsidRPr="007A7801">
        <w:rPr>
          <w:szCs w:val="18"/>
        </w:rPr>
        <w:t>Implementation of the unification of upper secondary general education with secondary technical vocational education</w:t>
      </w:r>
      <w:r w:rsidR="000623A3">
        <w:rPr>
          <w:szCs w:val="18"/>
        </w:rPr>
        <w:t>.</w:t>
      </w:r>
    </w:p>
    <w:p w:rsidR="00396C35" w:rsidRPr="007A7801" w:rsidRDefault="00396C35" w:rsidP="00396C35">
      <w:pPr>
        <w:ind w:left="284"/>
        <w:jc w:val="both"/>
        <w:rPr>
          <w:highlight w:val="yellow"/>
        </w:rPr>
      </w:pPr>
    </w:p>
    <w:p w:rsidR="00396C35" w:rsidRPr="007A7801" w:rsidRDefault="00396C35" w:rsidP="00396C35">
      <w:pPr>
        <w:ind w:left="284"/>
        <w:jc w:val="both"/>
        <w:rPr>
          <w:u w:val="single"/>
        </w:rPr>
      </w:pPr>
      <w:r w:rsidRPr="007A7801">
        <w:rPr>
          <w:u w:val="single"/>
        </w:rPr>
        <w:t>Estimated budget:</w:t>
      </w:r>
      <w:r w:rsidRPr="007A7801">
        <w:tab/>
      </w:r>
    </w:p>
    <w:p w:rsidR="00396C35" w:rsidRPr="007A7801" w:rsidRDefault="00396C35" w:rsidP="00A073EF">
      <w:pPr>
        <w:numPr>
          <w:ilvl w:val="0"/>
          <w:numId w:val="52"/>
        </w:numPr>
        <w:jc w:val="both"/>
      </w:pPr>
      <w:r w:rsidRPr="007A7801">
        <w:t>€19.000.000 for providing alternative pathways to young persons and upgrading the Apprenticeship System (for the period 2007-2015, co-financed by the ESF)</w:t>
      </w:r>
      <w:r w:rsidR="00BB650B">
        <w:t>.</w:t>
      </w:r>
    </w:p>
    <w:p w:rsidR="00396C35" w:rsidRDefault="00396C35" w:rsidP="00396C35">
      <w:pPr>
        <w:tabs>
          <w:tab w:val="left" w:pos="284"/>
        </w:tabs>
        <w:autoSpaceDE w:val="0"/>
        <w:autoSpaceDN w:val="0"/>
        <w:adjustRightInd w:val="0"/>
        <w:rPr>
          <w:b/>
        </w:rPr>
      </w:pPr>
    </w:p>
    <w:p w:rsidR="003B7024" w:rsidRPr="007A7801" w:rsidRDefault="003B7024" w:rsidP="00396C35">
      <w:pPr>
        <w:tabs>
          <w:tab w:val="left" w:pos="284"/>
        </w:tabs>
        <w:autoSpaceDE w:val="0"/>
        <w:autoSpaceDN w:val="0"/>
        <w:adjustRightInd w:val="0"/>
        <w:rPr>
          <w:b/>
        </w:rPr>
      </w:pPr>
    </w:p>
    <w:p w:rsidR="00396C35" w:rsidRPr="007A7801" w:rsidRDefault="00396C35" w:rsidP="001D09A7">
      <w:pPr>
        <w:pStyle w:val="ListParagraph"/>
        <w:numPr>
          <w:ilvl w:val="0"/>
          <w:numId w:val="6"/>
        </w:numPr>
        <w:tabs>
          <w:tab w:val="left" w:pos="284"/>
        </w:tabs>
        <w:autoSpaceDE w:val="0"/>
        <w:autoSpaceDN w:val="0"/>
        <w:adjustRightInd w:val="0"/>
        <w:ind w:left="284" w:hanging="284"/>
        <w:contextualSpacing/>
        <w:rPr>
          <w:b/>
        </w:rPr>
      </w:pPr>
      <w:r w:rsidRPr="007A7801">
        <w:rPr>
          <w:b/>
        </w:rPr>
        <w:t>Increase participation in Higher education to 46%</w:t>
      </w:r>
    </w:p>
    <w:p w:rsidR="00396C35" w:rsidRPr="007A7801" w:rsidRDefault="00396C35" w:rsidP="00396C35">
      <w:pPr>
        <w:tabs>
          <w:tab w:val="left" w:pos="284"/>
        </w:tabs>
        <w:autoSpaceDE w:val="0"/>
        <w:autoSpaceDN w:val="0"/>
        <w:adjustRightInd w:val="0"/>
        <w:rPr>
          <w:b/>
        </w:rPr>
      </w:pPr>
    </w:p>
    <w:p w:rsidR="00396C35" w:rsidRPr="007A7801" w:rsidRDefault="00396C35" w:rsidP="00396C35">
      <w:pPr>
        <w:tabs>
          <w:tab w:val="left" w:pos="993"/>
        </w:tabs>
      </w:pPr>
      <w:r w:rsidRPr="007A7801">
        <w:t>In order</w:t>
      </w:r>
      <w:r w:rsidRPr="007A7801">
        <w:rPr>
          <w:b/>
        </w:rPr>
        <w:t xml:space="preserve"> </w:t>
      </w:r>
      <w:r w:rsidRPr="007A7801">
        <w:t>to improve participation in Higher Education the following measures are promoted:</w:t>
      </w:r>
    </w:p>
    <w:p w:rsidR="00396C35" w:rsidRPr="007A7801" w:rsidRDefault="00396C35" w:rsidP="00396C35">
      <w:pPr>
        <w:tabs>
          <w:tab w:val="left" w:pos="993"/>
        </w:tabs>
      </w:pPr>
    </w:p>
    <w:p w:rsidR="00396C35" w:rsidRPr="005E5D42" w:rsidRDefault="00396C35" w:rsidP="00A073EF">
      <w:pPr>
        <w:pStyle w:val="ListParagraph"/>
        <w:numPr>
          <w:ilvl w:val="0"/>
          <w:numId w:val="45"/>
        </w:numPr>
        <w:ind w:left="426" w:hanging="426"/>
        <w:jc w:val="both"/>
        <w:rPr>
          <w:b/>
          <w:i/>
        </w:rPr>
      </w:pPr>
      <w:r w:rsidRPr="005E5D42">
        <w:rPr>
          <w:b/>
        </w:rPr>
        <w:t>Strengthening the links between technical vocational education, training and the labo</w:t>
      </w:r>
      <w:r w:rsidR="000623A3">
        <w:rPr>
          <w:b/>
        </w:rPr>
        <w:t>u</w:t>
      </w:r>
      <w:r w:rsidRPr="005E5D42">
        <w:rPr>
          <w:b/>
        </w:rPr>
        <w:t xml:space="preserve">r market: </w:t>
      </w:r>
    </w:p>
    <w:p w:rsidR="00396C35" w:rsidRPr="007A7801" w:rsidRDefault="00396C35" w:rsidP="00A073EF">
      <w:pPr>
        <w:numPr>
          <w:ilvl w:val="0"/>
          <w:numId w:val="53"/>
        </w:numPr>
        <w:ind w:left="709" w:hanging="283"/>
        <w:jc w:val="both"/>
      </w:pPr>
      <w:r w:rsidRPr="007A7801">
        <w:t>Establishment of Post Secondary Institutes for Technical and Vocational Education and Training, which could offer to learners, at affordable cost, programmes at an intermediate level, between upper secondary and tertiary education, complementary to the programmes offered by the private colleges.</w:t>
      </w:r>
    </w:p>
    <w:p w:rsidR="00396C35" w:rsidRPr="007A7801" w:rsidRDefault="00396C35" w:rsidP="00A073EF">
      <w:pPr>
        <w:numPr>
          <w:ilvl w:val="0"/>
          <w:numId w:val="53"/>
        </w:numPr>
        <w:ind w:left="709" w:hanging="283"/>
        <w:jc w:val="both"/>
      </w:pPr>
      <w:r w:rsidRPr="007A7801">
        <w:t>Strengthening the contacts between VET, the social partners and the enterprises</w:t>
      </w:r>
      <w:r w:rsidR="000623A3">
        <w:t>.</w:t>
      </w:r>
      <w:r w:rsidRPr="007A7801">
        <w:t xml:space="preserve"> </w:t>
      </w:r>
    </w:p>
    <w:p w:rsidR="00396C35" w:rsidRPr="00AD0ADB" w:rsidRDefault="00396C35" w:rsidP="00A073EF">
      <w:pPr>
        <w:numPr>
          <w:ilvl w:val="0"/>
          <w:numId w:val="53"/>
        </w:numPr>
        <w:ind w:left="709" w:hanging="283"/>
        <w:jc w:val="both"/>
      </w:pPr>
      <w:r w:rsidRPr="00AD0ADB">
        <w:t>Promoting a culture of research and innovation.</w:t>
      </w:r>
    </w:p>
    <w:p w:rsidR="00396C35" w:rsidRPr="00AD0ADB" w:rsidRDefault="00396C35" w:rsidP="00A073EF">
      <w:pPr>
        <w:numPr>
          <w:ilvl w:val="0"/>
          <w:numId w:val="53"/>
        </w:numPr>
        <w:ind w:left="709" w:hanging="283"/>
        <w:jc w:val="both"/>
        <w:rPr>
          <w:u w:val="single"/>
        </w:rPr>
      </w:pPr>
      <w:r w:rsidRPr="00AD0ADB">
        <w:t>Strengthening the efforts towards better and systematic collection of data, which includes VET related skills anticipation</w:t>
      </w:r>
      <w:r w:rsidR="000623A3" w:rsidRPr="00AD0ADB">
        <w:t>.</w:t>
      </w:r>
      <w:r w:rsidRPr="00AD0ADB">
        <w:t xml:space="preserve"> </w:t>
      </w:r>
    </w:p>
    <w:p w:rsidR="00396C35" w:rsidRPr="007A7801" w:rsidRDefault="00396C35" w:rsidP="00A073EF">
      <w:pPr>
        <w:numPr>
          <w:ilvl w:val="0"/>
          <w:numId w:val="53"/>
        </w:numPr>
        <w:ind w:left="709" w:hanging="283"/>
        <w:jc w:val="both"/>
        <w:rPr>
          <w:u w:val="single"/>
        </w:rPr>
      </w:pPr>
      <w:r w:rsidRPr="007A7801">
        <w:t xml:space="preserve">Upgrading vocational guidance services. </w:t>
      </w:r>
    </w:p>
    <w:p w:rsidR="00396C35" w:rsidRPr="007A7801" w:rsidRDefault="00396C35" w:rsidP="00396C35">
      <w:pPr>
        <w:ind w:left="284"/>
        <w:jc w:val="both"/>
      </w:pPr>
    </w:p>
    <w:p w:rsidR="00396C35" w:rsidRPr="007A7801" w:rsidRDefault="00396C35" w:rsidP="00396C35">
      <w:pPr>
        <w:ind w:firstLine="284"/>
        <w:jc w:val="both"/>
        <w:rPr>
          <w:u w:val="single"/>
        </w:rPr>
      </w:pPr>
      <w:r w:rsidRPr="007A7801">
        <w:rPr>
          <w:u w:val="single"/>
        </w:rPr>
        <w:t>Important milestones</w:t>
      </w:r>
    </w:p>
    <w:p w:rsidR="00396C35" w:rsidRPr="007A7801" w:rsidRDefault="00396C35" w:rsidP="00A073EF">
      <w:pPr>
        <w:pStyle w:val="ListParagraph"/>
        <w:numPr>
          <w:ilvl w:val="0"/>
          <w:numId w:val="54"/>
        </w:numPr>
        <w:ind w:left="709" w:hanging="283"/>
        <w:jc w:val="both"/>
      </w:pPr>
      <w:r w:rsidRPr="007A7801">
        <w:t>Establishment of Post Secondary Institutes for Technical and Vocational Education and Training by 2011</w:t>
      </w:r>
      <w:r w:rsidR="000623A3">
        <w:t>.</w:t>
      </w:r>
    </w:p>
    <w:p w:rsidR="00396C35" w:rsidRPr="007A7801" w:rsidRDefault="00396C35" w:rsidP="00A073EF">
      <w:pPr>
        <w:pStyle w:val="ListParagraph"/>
        <w:numPr>
          <w:ilvl w:val="0"/>
          <w:numId w:val="54"/>
        </w:numPr>
        <w:ind w:left="709" w:hanging="283"/>
        <w:jc w:val="both"/>
      </w:pPr>
      <w:r w:rsidRPr="005E5D42">
        <w:rPr>
          <w:szCs w:val="18"/>
        </w:rPr>
        <w:t xml:space="preserve">Establishment of the National Forum on Career Guidance by 2011. </w:t>
      </w:r>
    </w:p>
    <w:p w:rsidR="00396C35" w:rsidRPr="007A7801" w:rsidRDefault="00396C35" w:rsidP="00396C35">
      <w:pPr>
        <w:ind w:left="284"/>
        <w:jc w:val="both"/>
        <w:rPr>
          <w:highlight w:val="yellow"/>
        </w:rPr>
      </w:pPr>
    </w:p>
    <w:p w:rsidR="00396C35" w:rsidRPr="007A7801" w:rsidRDefault="00396C35" w:rsidP="00396C35">
      <w:pPr>
        <w:ind w:left="284"/>
        <w:jc w:val="both"/>
        <w:rPr>
          <w:u w:val="single"/>
        </w:rPr>
      </w:pPr>
      <w:r w:rsidRPr="007A7801">
        <w:rPr>
          <w:u w:val="single"/>
        </w:rPr>
        <w:t>Estimated budget:</w:t>
      </w:r>
      <w:r w:rsidRPr="007A7801">
        <w:tab/>
      </w:r>
    </w:p>
    <w:p w:rsidR="00396C35" w:rsidRPr="007A7801" w:rsidRDefault="00396C35" w:rsidP="00A073EF">
      <w:pPr>
        <w:pStyle w:val="ListParagraph"/>
        <w:numPr>
          <w:ilvl w:val="0"/>
          <w:numId w:val="55"/>
        </w:numPr>
        <w:ind w:left="709" w:hanging="283"/>
        <w:jc w:val="both"/>
      </w:pPr>
      <w:r w:rsidRPr="007A7801">
        <w:t>€5.000.000 for the establishment and operation of Post Secondary Institutes for Technical and Vocational Education and Training (for the period 2007-2015, co-financed by the ESF)</w:t>
      </w:r>
      <w:r w:rsidR="00BB650B">
        <w:t>.</w:t>
      </w:r>
    </w:p>
    <w:p w:rsidR="00396C35" w:rsidRPr="007A7801" w:rsidRDefault="00396C35" w:rsidP="00A073EF">
      <w:pPr>
        <w:pStyle w:val="ListParagraph"/>
        <w:numPr>
          <w:ilvl w:val="0"/>
          <w:numId w:val="55"/>
        </w:numPr>
        <w:ind w:left="709" w:hanging="283"/>
        <w:jc w:val="both"/>
      </w:pPr>
      <w:r w:rsidRPr="007A7801">
        <w:t>€100.000 for establishing mechanisms of lifelong guidance and validation of acquired skills.</w:t>
      </w:r>
    </w:p>
    <w:p w:rsidR="00396C35" w:rsidRPr="007A7801" w:rsidRDefault="00396C35" w:rsidP="00396C35">
      <w:pPr>
        <w:jc w:val="both"/>
        <w:rPr>
          <w:b/>
        </w:rPr>
      </w:pPr>
    </w:p>
    <w:p w:rsidR="00396C35" w:rsidRPr="005E5D42" w:rsidRDefault="00396C35" w:rsidP="00A073EF">
      <w:pPr>
        <w:pStyle w:val="ListParagraph"/>
        <w:numPr>
          <w:ilvl w:val="0"/>
          <w:numId w:val="45"/>
        </w:numPr>
        <w:ind w:left="426" w:hanging="426"/>
        <w:jc w:val="both"/>
        <w:rPr>
          <w:b/>
        </w:rPr>
      </w:pPr>
      <w:r w:rsidRPr="005E5D42">
        <w:rPr>
          <w:b/>
        </w:rPr>
        <w:t>Expansion and modernization of the higher education system</w:t>
      </w:r>
    </w:p>
    <w:p w:rsidR="00396C35" w:rsidRPr="007A7801" w:rsidRDefault="00396C35" w:rsidP="00A073EF">
      <w:pPr>
        <w:numPr>
          <w:ilvl w:val="0"/>
          <w:numId w:val="56"/>
        </w:numPr>
        <w:jc w:val="both"/>
      </w:pPr>
      <w:r w:rsidRPr="007A7801">
        <w:t>Increase the number of people attending Higher Education (H.E.).</w:t>
      </w:r>
    </w:p>
    <w:p w:rsidR="00396C35" w:rsidRPr="007A7801" w:rsidRDefault="00396C35" w:rsidP="00A073EF">
      <w:pPr>
        <w:numPr>
          <w:ilvl w:val="0"/>
          <w:numId w:val="56"/>
        </w:numPr>
        <w:jc w:val="both"/>
      </w:pPr>
      <w:r w:rsidRPr="007A7801">
        <w:lastRenderedPageBreak/>
        <w:t>Establishment of a strong student welfare system so as to enhance equity and widen access to higher education.</w:t>
      </w:r>
    </w:p>
    <w:p w:rsidR="00396C35" w:rsidRPr="007A7801" w:rsidRDefault="00396C35" w:rsidP="00A073EF">
      <w:pPr>
        <w:numPr>
          <w:ilvl w:val="0"/>
          <w:numId w:val="56"/>
        </w:numPr>
        <w:jc w:val="both"/>
      </w:pPr>
      <w:r w:rsidRPr="007A7801">
        <w:t xml:space="preserve">Increase the number of students attending programs of studies related to science and technology. </w:t>
      </w:r>
    </w:p>
    <w:p w:rsidR="00396C35" w:rsidRPr="007A7801" w:rsidRDefault="00396C35" w:rsidP="00A073EF">
      <w:pPr>
        <w:numPr>
          <w:ilvl w:val="0"/>
          <w:numId w:val="56"/>
        </w:numPr>
        <w:jc w:val="both"/>
      </w:pPr>
      <w:r w:rsidRPr="007A7801">
        <w:t>Improve the cooperation between High Education Institutions (HEIs), business, local industry and the labo</w:t>
      </w:r>
      <w:r w:rsidR="007A704B">
        <w:t>u</w:t>
      </w:r>
      <w:r w:rsidRPr="007A7801">
        <w:t xml:space="preserve">r market. </w:t>
      </w:r>
    </w:p>
    <w:p w:rsidR="00396C35" w:rsidRPr="007A7801" w:rsidRDefault="00396C35" w:rsidP="00A073EF">
      <w:pPr>
        <w:numPr>
          <w:ilvl w:val="0"/>
          <w:numId w:val="56"/>
        </w:numPr>
        <w:jc w:val="both"/>
        <w:rPr>
          <w:szCs w:val="18"/>
        </w:rPr>
      </w:pPr>
      <w:r w:rsidRPr="007A7801">
        <w:rPr>
          <w:szCs w:val="18"/>
        </w:rPr>
        <w:t>Enhance the cooperation between the Ministry of Education and Culture and other competent ministries regarding the link of Higher Education to the labour market</w:t>
      </w:r>
      <w:r w:rsidR="007A704B">
        <w:rPr>
          <w:szCs w:val="18"/>
        </w:rPr>
        <w:t>.</w:t>
      </w:r>
    </w:p>
    <w:p w:rsidR="00396C35" w:rsidRPr="007A7801" w:rsidRDefault="00396C35" w:rsidP="00396C35">
      <w:pPr>
        <w:ind w:left="786"/>
        <w:jc w:val="both"/>
      </w:pPr>
    </w:p>
    <w:p w:rsidR="00396C35" w:rsidRPr="007A7801" w:rsidRDefault="00396C35" w:rsidP="00396C35">
      <w:pPr>
        <w:ind w:firstLine="426"/>
        <w:jc w:val="both"/>
        <w:rPr>
          <w:u w:val="single"/>
        </w:rPr>
      </w:pPr>
      <w:r w:rsidRPr="007A7801">
        <w:rPr>
          <w:u w:val="single"/>
        </w:rPr>
        <w:t>Important milestones</w:t>
      </w:r>
    </w:p>
    <w:p w:rsidR="00396C35" w:rsidRPr="007A7801" w:rsidRDefault="00396C35" w:rsidP="00A073EF">
      <w:pPr>
        <w:numPr>
          <w:ilvl w:val="0"/>
          <w:numId w:val="57"/>
        </w:numPr>
        <w:jc w:val="both"/>
      </w:pPr>
      <w:r w:rsidRPr="007A7801">
        <w:t>Increase the capacity of the Universities and enhance quality assurance</w:t>
      </w:r>
      <w:r w:rsidR="007A704B">
        <w:t>.</w:t>
      </w:r>
      <w:r w:rsidRPr="007A7801">
        <w:t xml:space="preserve">  </w:t>
      </w:r>
    </w:p>
    <w:p w:rsidR="00396C35" w:rsidRPr="007A7801" w:rsidRDefault="00396C35" w:rsidP="00A073EF">
      <w:pPr>
        <w:numPr>
          <w:ilvl w:val="0"/>
          <w:numId w:val="57"/>
        </w:numPr>
        <w:jc w:val="both"/>
      </w:pPr>
      <w:r w:rsidRPr="007A7801">
        <w:t>Satisfy the social dimension issue for H.E.</w:t>
      </w:r>
    </w:p>
    <w:p w:rsidR="00396C35" w:rsidRPr="007A7801" w:rsidRDefault="00396C35" w:rsidP="00A073EF">
      <w:pPr>
        <w:numPr>
          <w:ilvl w:val="0"/>
          <w:numId w:val="57"/>
        </w:numPr>
        <w:jc w:val="both"/>
      </w:pPr>
      <w:r w:rsidRPr="007A7801">
        <w:t>Enhance Technology and Innovation</w:t>
      </w:r>
      <w:r w:rsidR="007A704B">
        <w:t>.</w:t>
      </w:r>
      <w:r w:rsidRPr="007A7801">
        <w:t xml:space="preserve"> </w:t>
      </w:r>
    </w:p>
    <w:p w:rsidR="00396C35" w:rsidRPr="007A7801" w:rsidRDefault="00396C35" w:rsidP="00396C35">
      <w:pPr>
        <w:ind w:left="284"/>
        <w:jc w:val="both"/>
        <w:rPr>
          <w:u w:val="single"/>
        </w:rPr>
      </w:pPr>
    </w:p>
    <w:p w:rsidR="00396C35" w:rsidRPr="007A7801" w:rsidRDefault="00396C35" w:rsidP="00396C35">
      <w:pPr>
        <w:ind w:left="284"/>
        <w:jc w:val="both"/>
        <w:rPr>
          <w:u w:val="single"/>
        </w:rPr>
      </w:pPr>
      <w:r w:rsidRPr="007A7801">
        <w:rPr>
          <w:u w:val="single"/>
        </w:rPr>
        <w:t>Estimated budget:</w:t>
      </w:r>
      <w:r w:rsidRPr="007A7801">
        <w:tab/>
      </w:r>
    </w:p>
    <w:p w:rsidR="00396C35" w:rsidRPr="007A7801" w:rsidRDefault="00396C35" w:rsidP="00A073EF">
      <w:pPr>
        <w:numPr>
          <w:ilvl w:val="0"/>
          <w:numId w:val="58"/>
        </w:numPr>
        <w:jc w:val="both"/>
      </w:pPr>
      <w:r w:rsidRPr="007A7801">
        <w:t>€5-7.000.000 per year to increase the number of people attending Higher Education (H.E.).</w:t>
      </w:r>
    </w:p>
    <w:p w:rsidR="00396C35" w:rsidRPr="007A7801" w:rsidRDefault="00396C35" w:rsidP="00A073EF">
      <w:pPr>
        <w:numPr>
          <w:ilvl w:val="0"/>
          <w:numId w:val="58"/>
        </w:numPr>
        <w:jc w:val="both"/>
      </w:pPr>
      <w:r w:rsidRPr="007A7801">
        <w:t>€12.000.000 per year for the establishment of a strong student welfare system so as to enhance equity and widen access to higher education.</w:t>
      </w:r>
    </w:p>
    <w:p w:rsidR="00396C35" w:rsidRPr="007A7801" w:rsidRDefault="00396C35" w:rsidP="00A073EF">
      <w:pPr>
        <w:numPr>
          <w:ilvl w:val="0"/>
          <w:numId w:val="58"/>
        </w:numPr>
        <w:jc w:val="both"/>
      </w:pPr>
      <w:r w:rsidRPr="007A7801">
        <w:t xml:space="preserve">€1-2.000.000 per year to </w:t>
      </w:r>
      <w:r w:rsidR="007A704B">
        <w:t>i</w:t>
      </w:r>
      <w:r w:rsidRPr="007A7801">
        <w:t>ncrease the number of students attending programs of studies related to science and technology.</w:t>
      </w:r>
    </w:p>
    <w:p w:rsidR="00396C35" w:rsidRPr="007A7801" w:rsidRDefault="00396C35" w:rsidP="00396C35">
      <w:pPr>
        <w:ind w:left="709"/>
      </w:pPr>
    </w:p>
    <w:p w:rsidR="00396C35" w:rsidRPr="005E5D42" w:rsidRDefault="00396C35" w:rsidP="00A073EF">
      <w:pPr>
        <w:pStyle w:val="ListParagraph"/>
        <w:numPr>
          <w:ilvl w:val="0"/>
          <w:numId w:val="45"/>
        </w:numPr>
        <w:ind w:left="426" w:hanging="426"/>
        <w:jc w:val="both"/>
        <w:rPr>
          <w:b/>
        </w:rPr>
      </w:pPr>
      <w:r w:rsidRPr="005E5D42">
        <w:rPr>
          <w:b/>
        </w:rPr>
        <w:t>Promoting transnational mobility</w:t>
      </w:r>
    </w:p>
    <w:p w:rsidR="00396C35" w:rsidRPr="007A7801" w:rsidRDefault="00396C35" w:rsidP="00A073EF">
      <w:pPr>
        <w:numPr>
          <w:ilvl w:val="0"/>
          <w:numId w:val="59"/>
        </w:numPr>
        <w:jc w:val="both"/>
      </w:pPr>
      <w:r w:rsidRPr="007A7801">
        <w:t>Establishment of a National Qualification Framework which will include recognition of prior learning procedures.</w:t>
      </w:r>
    </w:p>
    <w:p w:rsidR="00396C35" w:rsidRPr="007A7801" w:rsidRDefault="00396C35" w:rsidP="00A073EF">
      <w:pPr>
        <w:numPr>
          <w:ilvl w:val="0"/>
          <w:numId w:val="59"/>
        </w:numPr>
        <w:jc w:val="both"/>
      </w:pPr>
      <w:r w:rsidRPr="007A7801">
        <w:t xml:space="preserve">Implementing EU tools such as the European Qualifications Framework (EQF) or linking to this the National Qualifications Framework (NQF), the European Credit Transfer System for Vocational Education. </w:t>
      </w:r>
    </w:p>
    <w:p w:rsidR="00396C35" w:rsidRPr="007A7801" w:rsidRDefault="00396C35" w:rsidP="00A073EF">
      <w:pPr>
        <w:numPr>
          <w:ilvl w:val="0"/>
          <w:numId w:val="59"/>
        </w:numPr>
        <w:jc w:val="both"/>
      </w:pPr>
      <w:r w:rsidRPr="007A7801">
        <w:t xml:space="preserve">Increasing participation in EU programs such as the Lifelong Learning Programme that have a strong element of geographical mobility. Encouraging of all Technical and Vocational Schools and adults to actively participate in Leonardo da Vinci mobility action for initial and continued training and placements in enterprises abroad (currently only 50% of the technical schools are participating). </w:t>
      </w:r>
    </w:p>
    <w:p w:rsidR="00396C35" w:rsidRPr="007A7801" w:rsidRDefault="00396C35" w:rsidP="00A073EF">
      <w:pPr>
        <w:numPr>
          <w:ilvl w:val="0"/>
          <w:numId w:val="59"/>
        </w:numPr>
        <w:jc w:val="both"/>
      </w:pPr>
      <w:r w:rsidRPr="007A7801">
        <w:t>Promotion of the mobility of students, educators, staff, apprentices and researchers.</w:t>
      </w:r>
    </w:p>
    <w:p w:rsidR="00396C35" w:rsidRPr="007A7801" w:rsidRDefault="00396C35" w:rsidP="00396C35">
      <w:pPr>
        <w:ind w:left="284" w:hanging="284"/>
        <w:rPr>
          <w:b/>
        </w:rPr>
      </w:pPr>
    </w:p>
    <w:p w:rsidR="00396C35" w:rsidRPr="007A7801" w:rsidRDefault="005E5D42" w:rsidP="00981DAE">
      <w:pPr>
        <w:ind w:left="284"/>
        <w:jc w:val="both"/>
        <w:rPr>
          <w:sz w:val="36"/>
        </w:rPr>
      </w:pPr>
      <w:r w:rsidRPr="007A7801">
        <w:rPr>
          <w:u w:val="single"/>
        </w:rPr>
        <w:t>Important milestones</w:t>
      </w:r>
      <w:r w:rsidR="00981DAE">
        <w:rPr>
          <w:u w:val="single"/>
        </w:rPr>
        <w:t>:</w:t>
      </w:r>
      <w:r w:rsidR="00981DAE" w:rsidRPr="00981DAE">
        <w:t xml:space="preserve"> </w:t>
      </w:r>
      <w:r w:rsidR="00396C35" w:rsidRPr="007A7801">
        <w:rPr>
          <w:szCs w:val="18"/>
        </w:rPr>
        <w:t>Implementation of the EQF, NQF and the ECTS for Vocational Education by 2012</w:t>
      </w:r>
      <w:r w:rsidR="007A704B">
        <w:rPr>
          <w:szCs w:val="18"/>
        </w:rPr>
        <w:t>.</w:t>
      </w:r>
    </w:p>
    <w:p w:rsidR="00396C35" w:rsidRPr="007A7801" w:rsidRDefault="00396C35" w:rsidP="00396C35">
      <w:pPr>
        <w:ind w:left="567"/>
        <w:jc w:val="both"/>
      </w:pPr>
    </w:p>
    <w:p w:rsidR="00F0709B" w:rsidRDefault="00396C35" w:rsidP="00981DAE">
      <w:pPr>
        <w:ind w:left="284"/>
        <w:jc w:val="both"/>
        <w:rPr>
          <w:rFonts w:eastAsia="Calibri"/>
        </w:rPr>
      </w:pPr>
      <w:r w:rsidRPr="007A7801">
        <w:rPr>
          <w:u w:val="single"/>
        </w:rPr>
        <w:t>Estimated budget:</w:t>
      </w:r>
      <w:r w:rsidRPr="007A7801">
        <w:tab/>
        <w:t>€200.000 (2011)</w:t>
      </w:r>
    </w:p>
    <w:p w:rsidR="00C42ECB" w:rsidRDefault="00C42ECB" w:rsidP="00F0709B">
      <w:pPr>
        <w:rPr>
          <w:rFonts w:eastAsia="Calibri"/>
        </w:rPr>
      </w:pPr>
    </w:p>
    <w:p w:rsidR="00981DAE" w:rsidRDefault="00981DAE" w:rsidP="00F0709B">
      <w:pPr>
        <w:rPr>
          <w:rFonts w:eastAsia="Calibri"/>
        </w:rPr>
        <w:sectPr w:rsidR="00981DAE" w:rsidSect="00F0709B">
          <w:headerReference w:type="default" r:id="rId26"/>
          <w:type w:val="continuous"/>
          <w:pgSz w:w="12240" w:h="15840"/>
          <w:pgMar w:top="1560" w:right="1440" w:bottom="1296" w:left="1440" w:header="720" w:footer="720" w:gutter="0"/>
          <w:cols w:space="720"/>
          <w:titlePg/>
          <w:docGrid w:linePitch="360"/>
        </w:sectPr>
      </w:pPr>
      <w:r>
        <w:rPr>
          <w:rFonts w:eastAsia="Calibri"/>
        </w:rPr>
        <w:t xml:space="preserve">All relative measures are included in </w:t>
      </w:r>
      <w:r w:rsidR="00C3544D" w:rsidRPr="008C0C3A">
        <w:rPr>
          <w:rFonts w:eastAsia="Calibri"/>
        </w:rPr>
        <w:t>Table</w:t>
      </w:r>
      <w:r w:rsidR="00C3544D">
        <w:rPr>
          <w:rFonts w:eastAsia="Calibri"/>
        </w:rPr>
        <w:t xml:space="preserve"> 3</w:t>
      </w:r>
      <w:r>
        <w:rPr>
          <w:rFonts w:eastAsia="Calibri"/>
        </w:rPr>
        <w:t xml:space="preserve"> in Chapter 9 </w:t>
      </w:r>
      <w:r w:rsidR="00942AFF">
        <w:rPr>
          <w:rFonts w:eastAsia="Calibri"/>
        </w:rPr>
        <w:t xml:space="preserve">- </w:t>
      </w:r>
      <w:r>
        <w:rPr>
          <w:rFonts w:eastAsia="Calibri"/>
        </w:rPr>
        <w:t>Employment and Skills</w:t>
      </w:r>
      <w:r w:rsidR="00942AFF">
        <w:rPr>
          <w:rFonts w:eastAsia="Calibri"/>
        </w:rPr>
        <w:t>.</w:t>
      </w:r>
    </w:p>
    <w:p w:rsidR="005B39D1" w:rsidRPr="007A7801" w:rsidRDefault="005B39D1" w:rsidP="00EE2031">
      <w:pPr>
        <w:pStyle w:val="Heading1"/>
        <w:spacing w:before="0"/>
        <w:rPr>
          <w:rFonts w:eastAsia="Calibri" w:cs="Times New Roman"/>
        </w:rPr>
      </w:pPr>
      <w:bookmarkStart w:id="55" w:name="_Toc292454624"/>
      <w:r w:rsidRPr="007A7801">
        <w:rPr>
          <w:rFonts w:eastAsia="Calibri" w:cs="Times New Roman"/>
        </w:rPr>
        <w:lastRenderedPageBreak/>
        <w:t>6. DIGITAL SOCIETY</w:t>
      </w:r>
      <w:bookmarkEnd w:id="55"/>
    </w:p>
    <w:p w:rsidR="0050232A" w:rsidRPr="007A7801" w:rsidRDefault="0050232A" w:rsidP="005B39D1">
      <w:pPr>
        <w:jc w:val="center"/>
        <w:rPr>
          <w:rFonts w:eastAsia="Calibri"/>
          <w:b/>
          <w:color w:val="4F81BD" w:themeColor="accent1"/>
          <w:sz w:val="40"/>
          <w:szCs w:val="52"/>
        </w:rPr>
      </w:pPr>
    </w:p>
    <w:p w:rsidR="005B39D1" w:rsidRPr="007A7801" w:rsidRDefault="005B39D1" w:rsidP="005B39D1">
      <w:pPr>
        <w:jc w:val="both"/>
        <w:rPr>
          <w:rFonts w:eastAsia="Calibri"/>
          <w:b/>
          <w:color w:val="17365D" w:themeColor="text2" w:themeShade="BF"/>
        </w:rPr>
      </w:pPr>
    </w:p>
    <w:p w:rsidR="005B39D1" w:rsidRPr="00C916DB" w:rsidRDefault="005B39D1" w:rsidP="00FB7BAC">
      <w:pPr>
        <w:ind w:left="1418" w:hanging="1418"/>
        <w:jc w:val="both"/>
        <w:rPr>
          <w:rFonts w:eastAsia="Calibri"/>
          <w:b/>
          <w:i/>
          <w:color w:val="365F91" w:themeColor="accent1" w:themeShade="BF"/>
        </w:rPr>
      </w:pPr>
      <w:r w:rsidRPr="00C916DB">
        <w:rPr>
          <w:rFonts w:eastAsia="Calibri"/>
          <w:b/>
          <w:i/>
          <w:color w:val="365F91" w:themeColor="accent1" w:themeShade="BF"/>
        </w:rPr>
        <w:t>Guideline 4: “Optimising support for research, development and innovation, strengthening the knowledge triangle and unleashing the potential of the digital economy”</w:t>
      </w:r>
    </w:p>
    <w:p w:rsidR="004E3885" w:rsidRPr="007A7801" w:rsidRDefault="004E3885" w:rsidP="004E3885">
      <w:pPr>
        <w:pStyle w:val="Heading2"/>
        <w:rPr>
          <w:rFonts w:eastAsia="Calibri"/>
          <w:bCs w:val="0"/>
          <w:color w:val="17365D" w:themeColor="text2" w:themeShade="BF"/>
          <w:sz w:val="24"/>
          <w:szCs w:val="24"/>
          <w:u w:val="none"/>
        </w:rPr>
      </w:pPr>
    </w:p>
    <w:p w:rsidR="005B39D1" w:rsidRPr="007A7801" w:rsidRDefault="004E3885" w:rsidP="004E3885">
      <w:pPr>
        <w:pStyle w:val="Heading2"/>
        <w:rPr>
          <w:rFonts w:eastAsia="Calibri"/>
        </w:rPr>
      </w:pPr>
      <w:r w:rsidRPr="007A7801">
        <w:rPr>
          <w:rFonts w:eastAsia="Calibri"/>
          <w:u w:val="none"/>
        </w:rPr>
        <w:t xml:space="preserve"> </w:t>
      </w:r>
      <w:bookmarkStart w:id="56" w:name="_Toc292454625"/>
      <w:r w:rsidR="005B39D1" w:rsidRPr="007A7801">
        <w:rPr>
          <w:rFonts w:eastAsia="Calibri"/>
        </w:rPr>
        <w:t>CURRENT SITUATION</w:t>
      </w:r>
      <w:bookmarkEnd w:id="56"/>
    </w:p>
    <w:p w:rsidR="005B39D1" w:rsidRPr="007A7801" w:rsidRDefault="005B39D1" w:rsidP="005B39D1">
      <w:pPr>
        <w:jc w:val="both"/>
        <w:rPr>
          <w:rFonts w:eastAsia="Calibri"/>
        </w:rPr>
      </w:pPr>
    </w:p>
    <w:p w:rsidR="005B39D1" w:rsidRPr="007A7801" w:rsidRDefault="005B39D1" w:rsidP="005B39D1">
      <w:pPr>
        <w:jc w:val="both"/>
        <w:rPr>
          <w:rFonts w:eastAsia="Calibri"/>
        </w:rPr>
      </w:pPr>
      <w:r w:rsidRPr="007A7801">
        <w:rPr>
          <w:rFonts w:eastAsia="Calibri"/>
        </w:rPr>
        <w:t>Unleashing the potential of the digital economy is of paramount importance to the development of Cyprus into a regional service centre, since the isolation of the economy due to its insular nature can be overcome through the possibilities offered by the use of internet and the digital technology in general. Although Cyprus still ranks low in most information society indicators compared to the rest of EU27, the important policy decisions taken in 2009</w:t>
      </w:r>
      <w:r w:rsidRPr="007A7801">
        <w:t xml:space="preserve"> (Council of Ministers Decision on 18/02/09 (Decision No 68.442))</w:t>
      </w:r>
      <w:r w:rsidRPr="007A7801">
        <w:rPr>
          <w:rFonts w:eastAsia="Calibri"/>
        </w:rPr>
        <w:t>, the progress made in broadband penetration, the spread of ICT solutions in many sectors and a business environment with a good level of e-skills are laying the foundations for further development.</w:t>
      </w:r>
    </w:p>
    <w:p w:rsidR="005B39D1" w:rsidRPr="007A7801" w:rsidRDefault="005B39D1" w:rsidP="005B39D1">
      <w:pPr>
        <w:jc w:val="both"/>
        <w:rPr>
          <w:rFonts w:eastAsia="Calibri"/>
        </w:rPr>
      </w:pPr>
    </w:p>
    <w:p w:rsidR="005B39D1" w:rsidRPr="007A7801" w:rsidRDefault="005B39D1" w:rsidP="005B39D1">
      <w:pPr>
        <w:pStyle w:val="astandard3520normal"/>
        <w:shd w:val="clear" w:color="auto" w:fill="FFFFFF"/>
        <w:spacing w:after="0"/>
        <w:rPr>
          <w:rFonts w:eastAsia="Calibri"/>
        </w:rPr>
      </w:pPr>
      <w:r w:rsidRPr="007A7801">
        <w:rPr>
          <w:rFonts w:eastAsia="Calibri"/>
        </w:rPr>
        <w:t xml:space="preserve">Additionally and despite the absence of a comprehensive National Action Plan for ICT, measures exploiting the opportunities offered by ICT have been promoted already, focusing mainly on the supply of public services offered through the internet to individuals and enterprises. Some of the major initiatives that have been implemented in the public sector are: </w:t>
      </w:r>
    </w:p>
    <w:p w:rsidR="005B39D1" w:rsidRPr="007A7801" w:rsidRDefault="005B39D1" w:rsidP="005B39D1">
      <w:pPr>
        <w:pStyle w:val="astandard3520normal"/>
        <w:shd w:val="clear" w:color="auto" w:fill="FFFFFF"/>
        <w:spacing w:after="0"/>
        <w:rPr>
          <w:rFonts w:eastAsia="Calibri"/>
        </w:rPr>
      </w:pPr>
    </w:p>
    <w:p w:rsidR="005B39D1" w:rsidRPr="007A7801" w:rsidRDefault="005B39D1" w:rsidP="001D09A7">
      <w:pPr>
        <w:pStyle w:val="ListParagraph"/>
        <w:numPr>
          <w:ilvl w:val="0"/>
          <w:numId w:val="10"/>
        </w:numPr>
        <w:ind w:left="426" w:hanging="426"/>
        <w:jc w:val="both"/>
        <w:rPr>
          <w:rFonts w:eastAsia="Calibri"/>
        </w:rPr>
      </w:pPr>
      <w:r w:rsidRPr="007A7801">
        <w:rPr>
          <w:rFonts w:eastAsia="Calibri"/>
        </w:rPr>
        <w:t>E-government:</w:t>
      </w:r>
    </w:p>
    <w:p w:rsidR="005B39D1" w:rsidRPr="007A7801" w:rsidRDefault="005B39D1" w:rsidP="001D09A7">
      <w:pPr>
        <w:pStyle w:val="ListParagraph"/>
        <w:numPr>
          <w:ilvl w:val="0"/>
          <w:numId w:val="11"/>
        </w:numPr>
        <w:ind w:left="709" w:hanging="283"/>
        <w:jc w:val="both"/>
        <w:rPr>
          <w:rFonts w:eastAsia="Calibri"/>
        </w:rPr>
      </w:pPr>
      <w:r w:rsidRPr="007A7801">
        <w:rPr>
          <w:rFonts w:eastAsia="Calibri"/>
        </w:rPr>
        <w:t>The e-procurement system which went live in November 2009.</w:t>
      </w:r>
    </w:p>
    <w:p w:rsidR="005B39D1" w:rsidRPr="007A7801" w:rsidRDefault="005B39D1" w:rsidP="001D09A7">
      <w:pPr>
        <w:numPr>
          <w:ilvl w:val="0"/>
          <w:numId w:val="11"/>
        </w:numPr>
        <w:ind w:left="709" w:hanging="283"/>
        <w:jc w:val="both"/>
        <w:rPr>
          <w:rFonts w:eastAsia="Calibri"/>
        </w:rPr>
      </w:pPr>
      <w:r w:rsidRPr="007A7801">
        <w:rPr>
          <w:rFonts w:eastAsia="Calibri"/>
        </w:rPr>
        <w:t>The road transport e-services system which went live in January 2007.</w:t>
      </w:r>
    </w:p>
    <w:p w:rsidR="005B39D1" w:rsidRPr="007A7801" w:rsidRDefault="005B39D1" w:rsidP="001D09A7">
      <w:pPr>
        <w:numPr>
          <w:ilvl w:val="0"/>
          <w:numId w:val="11"/>
        </w:numPr>
        <w:ind w:left="709" w:hanging="283"/>
        <w:jc w:val="both"/>
        <w:rPr>
          <w:rFonts w:eastAsia="Calibri"/>
        </w:rPr>
      </w:pPr>
      <w:r w:rsidRPr="007A7801">
        <w:t xml:space="preserve">The e-Filing system (Companies Registration System), which allows </w:t>
      </w:r>
      <w:r w:rsidR="001406A8" w:rsidRPr="007A7801">
        <w:t>for online</w:t>
      </w:r>
      <w:r w:rsidRPr="007A7801">
        <w:t xml:space="preserve"> registration of a new </w:t>
      </w:r>
      <w:r w:rsidR="001406A8" w:rsidRPr="007A7801">
        <w:t>company,</w:t>
      </w:r>
      <w:r w:rsidRPr="007A7801">
        <w:t xml:space="preserve"> went live in February 2011.</w:t>
      </w:r>
    </w:p>
    <w:p w:rsidR="005B39D1" w:rsidRPr="007A7801" w:rsidRDefault="005B39D1" w:rsidP="001D09A7">
      <w:pPr>
        <w:numPr>
          <w:ilvl w:val="0"/>
          <w:numId w:val="11"/>
        </w:numPr>
        <w:ind w:left="709" w:hanging="283"/>
        <w:jc w:val="both"/>
        <w:rPr>
          <w:rFonts w:eastAsia="Calibri"/>
        </w:rPr>
      </w:pPr>
      <w:r w:rsidRPr="007A7801">
        <w:rPr>
          <w:rFonts w:eastAsia="Calibri"/>
        </w:rPr>
        <w:t>The portal for the Single Point of Services (Services Directive)</w:t>
      </w:r>
      <w:r w:rsidRPr="007A7801">
        <w:t xml:space="preserve"> </w:t>
      </w:r>
      <w:r w:rsidRPr="007A7801">
        <w:rPr>
          <w:rFonts w:eastAsia="Calibri"/>
        </w:rPr>
        <w:t>which has been developed and published since December 2009. The online submission of applications as well as the track &amp; trace service will be possible within the year 2011.</w:t>
      </w:r>
    </w:p>
    <w:p w:rsidR="005B39D1" w:rsidRPr="007A7801" w:rsidRDefault="005B39D1" w:rsidP="005B39D1">
      <w:pPr>
        <w:ind w:left="709" w:hanging="283"/>
        <w:jc w:val="both"/>
        <w:rPr>
          <w:rFonts w:eastAsia="Calibri"/>
        </w:rPr>
      </w:pPr>
    </w:p>
    <w:p w:rsidR="005B39D1" w:rsidRPr="007A7801" w:rsidRDefault="005B39D1" w:rsidP="001D09A7">
      <w:pPr>
        <w:pStyle w:val="ListParagraph"/>
        <w:numPr>
          <w:ilvl w:val="0"/>
          <w:numId w:val="10"/>
        </w:numPr>
        <w:ind w:left="426" w:hanging="426"/>
        <w:jc w:val="both"/>
        <w:rPr>
          <w:rFonts w:eastAsia="Calibri"/>
        </w:rPr>
      </w:pPr>
      <w:r w:rsidRPr="007A7801">
        <w:rPr>
          <w:rFonts w:eastAsia="Calibri"/>
        </w:rPr>
        <w:t xml:space="preserve">E-inclusion: A study to propose a national e-inclusion strategy and action </w:t>
      </w:r>
      <w:r w:rsidR="001406A8" w:rsidRPr="007A7801">
        <w:rPr>
          <w:rFonts w:eastAsia="Calibri"/>
        </w:rPr>
        <w:t>plan</w:t>
      </w:r>
      <w:r w:rsidRPr="007A7801">
        <w:rPr>
          <w:rFonts w:eastAsia="Calibri"/>
        </w:rPr>
        <w:t xml:space="preserve"> has been completed including an implementation time-table.</w:t>
      </w:r>
    </w:p>
    <w:p w:rsidR="005B39D1" w:rsidRPr="007A7801" w:rsidRDefault="005B39D1" w:rsidP="005B39D1">
      <w:pPr>
        <w:jc w:val="both"/>
        <w:rPr>
          <w:rFonts w:eastAsia="Calibri"/>
        </w:rPr>
      </w:pPr>
    </w:p>
    <w:p w:rsidR="005B39D1" w:rsidRPr="007A7801" w:rsidRDefault="005B39D1" w:rsidP="001D09A7">
      <w:pPr>
        <w:pStyle w:val="ListParagraph"/>
        <w:numPr>
          <w:ilvl w:val="0"/>
          <w:numId w:val="10"/>
        </w:numPr>
        <w:ind w:left="450" w:hanging="450"/>
        <w:jc w:val="both"/>
        <w:rPr>
          <w:rFonts w:eastAsia="Calibri"/>
        </w:rPr>
      </w:pPr>
      <w:r w:rsidRPr="007A7801">
        <w:rPr>
          <w:rFonts w:eastAsia="Calibri"/>
        </w:rPr>
        <w:t>E-learning: The IT infrastructure in schools has been upgraded and all primary and secondary schools have been connected to the Internet. Also, the training of teachers in IT technologies has been almost (95%) completed (details in Objective 13 below).</w:t>
      </w:r>
    </w:p>
    <w:p w:rsidR="005B39D1" w:rsidRPr="007A7801" w:rsidRDefault="005B39D1" w:rsidP="005B39D1">
      <w:pPr>
        <w:pStyle w:val="ListParagraph"/>
        <w:rPr>
          <w:rFonts w:eastAsia="Calibri"/>
        </w:rPr>
      </w:pPr>
    </w:p>
    <w:p w:rsidR="005B39D1" w:rsidRPr="007A7801" w:rsidRDefault="00FB7BAC" w:rsidP="001D09A7">
      <w:pPr>
        <w:pStyle w:val="ListParagraph"/>
        <w:numPr>
          <w:ilvl w:val="0"/>
          <w:numId w:val="10"/>
        </w:numPr>
        <w:ind w:left="426" w:hanging="426"/>
        <w:jc w:val="both"/>
        <w:rPr>
          <w:rFonts w:eastAsia="Calibri"/>
        </w:rPr>
      </w:pPr>
      <w:r w:rsidRPr="007A7801">
        <w:rPr>
          <w:rFonts w:eastAsia="Calibri"/>
        </w:rPr>
        <w:t>E-health:</w:t>
      </w:r>
    </w:p>
    <w:p w:rsidR="00F0709B" w:rsidRDefault="005B39D1" w:rsidP="001D09A7">
      <w:pPr>
        <w:pStyle w:val="ListParagraph"/>
        <w:numPr>
          <w:ilvl w:val="0"/>
          <w:numId w:val="12"/>
        </w:numPr>
        <w:tabs>
          <w:tab w:val="left" w:pos="426"/>
        </w:tabs>
        <w:ind w:left="851" w:hanging="425"/>
        <w:contextualSpacing/>
        <w:jc w:val="both"/>
        <w:rPr>
          <w:rFonts w:eastAsia="Calibri"/>
        </w:rPr>
        <w:sectPr w:rsidR="00F0709B" w:rsidSect="002E01AB">
          <w:headerReference w:type="first" r:id="rId27"/>
          <w:pgSz w:w="12240" w:h="15840"/>
          <w:pgMar w:top="1560" w:right="1440" w:bottom="1296" w:left="1440" w:header="720" w:footer="720" w:gutter="0"/>
          <w:cols w:space="720"/>
          <w:titlePg/>
          <w:docGrid w:linePitch="360"/>
        </w:sectPr>
      </w:pPr>
      <w:r w:rsidRPr="007A7801">
        <w:rPr>
          <w:rFonts w:eastAsia="Calibri"/>
        </w:rPr>
        <w:t xml:space="preserve">The Integrated Health Care Information System has been installed in the General Hospital of Nicosia and Famagusta and is operational, including modules such as patient administration, coding of diseases/operations/procedures, laboratory services, </w:t>
      </w:r>
    </w:p>
    <w:p w:rsidR="00731D68" w:rsidRDefault="009C76E0">
      <w:pPr>
        <w:pStyle w:val="ListParagraph"/>
        <w:tabs>
          <w:tab w:val="left" w:pos="426"/>
          <w:tab w:val="left" w:pos="851"/>
        </w:tabs>
        <w:ind w:left="851" w:hanging="284"/>
        <w:contextualSpacing/>
        <w:jc w:val="both"/>
        <w:rPr>
          <w:rFonts w:eastAsia="Calibri"/>
        </w:rPr>
      </w:pPr>
      <w:r>
        <w:rPr>
          <w:rFonts w:eastAsia="Calibri"/>
        </w:rPr>
        <w:lastRenderedPageBreak/>
        <w:tab/>
      </w:r>
      <w:r w:rsidR="005B39D1" w:rsidRPr="007A7801">
        <w:rPr>
          <w:rFonts w:eastAsia="Calibri"/>
        </w:rPr>
        <w:t>prescription services, billing, electronic health records, inventory control and personnel management.</w:t>
      </w:r>
    </w:p>
    <w:p w:rsidR="005B39D1" w:rsidRPr="007A7801" w:rsidRDefault="005B39D1" w:rsidP="001D09A7">
      <w:pPr>
        <w:pStyle w:val="ListParagraph"/>
        <w:numPr>
          <w:ilvl w:val="0"/>
          <w:numId w:val="12"/>
        </w:numPr>
        <w:tabs>
          <w:tab w:val="left" w:pos="426"/>
        </w:tabs>
        <w:ind w:left="851" w:hanging="425"/>
        <w:contextualSpacing/>
        <w:jc w:val="both"/>
        <w:rPr>
          <w:rFonts w:eastAsia="Calibri"/>
        </w:rPr>
      </w:pPr>
      <w:r w:rsidRPr="007A7801">
        <w:rPr>
          <w:rFonts w:eastAsia="Calibri"/>
        </w:rPr>
        <w:t xml:space="preserve">The development of a Pharmaceutical Information System has been completed including a registration and price control system, an inventory control system and prescription processing and invoicing. </w:t>
      </w:r>
    </w:p>
    <w:p w:rsidR="005B39D1" w:rsidRPr="007A7801" w:rsidRDefault="005B39D1" w:rsidP="005B39D1">
      <w:pPr>
        <w:pStyle w:val="ListParagraph"/>
        <w:tabs>
          <w:tab w:val="left" w:pos="426"/>
        </w:tabs>
        <w:ind w:left="709"/>
        <w:jc w:val="both"/>
        <w:rPr>
          <w:rFonts w:eastAsia="Calibri"/>
        </w:rPr>
      </w:pPr>
    </w:p>
    <w:p w:rsidR="005B39D1" w:rsidRPr="007A7801" w:rsidRDefault="005B39D1" w:rsidP="001D09A7">
      <w:pPr>
        <w:pStyle w:val="ListParagraph"/>
        <w:numPr>
          <w:ilvl w:val="0"/>
          <w:numId w:val="10"/>
        </w:numPr>
        <w:tabs>
          <w:tab w:val="left" w:pos="567"/>
        </w:tabs>
        <w:ind w:left="567" w:hanging="425"/>
        <w:jc w:val="both"/>
        <w:rPr>
          <w:rFonts w:eastAsia="Calibri"/>
        </w:rPr>
      </w:pPr>
      <w:r w:rsidRPr="007A7801">
        <w:rPr>
          <w:rFonts w:eastAsia="Calibri"/>
        </w:rPr>
        <w:t xml:space="preserve">E-commerce (details in </w:t>
      </w:r>
      <w:r w:rsidR="00EE2031">
        <w:rPr>
          <w:rFonts w:eastAsia="Calibri"/>
        </w:rPr>
        <w:t>Priority</w:t>
      </w:r>
      <w:r w:rsidRPr="007A7801">
        <w:rPr>
          <w:rFonts w:eastAsia="Calibri"/>
        </w:rPr>
        <w:t xml:space="preserve"> 14 below): A Strategic plan for the promotion of e-commerce has been prepared. The program is entitled “Business Online" and its duration is from May 2008 until April 2011. A web site has been launched with information about electronic commerce, seminars for consumers and companies were held and subsidies are being provided to SMEs to create new or upgrade existing websites.</w:t>
      </w:r>
    </w:p>
    <w:p w:rsidR="005B39D1" w:rsidRPr="007A7801" w:rsidRDefault="005B39D1" w:rsidP="005B39D1">
      <w:pPr>
        <w:jc w:val="both"/>
        <w:rPr>
          <w:rFonts w:eastAsia="Calibri"/>
        </w:rPr>
      </w:pPr>
    </w:p>
    <w:p w:rsidR="005B39D1" w:rsidRPr="007A7801" w:rsidRDefault="005B39D1" w:rsidP="005B39D1">
      <w:pPr>
        <w:pStyle w:val="astandard3520normal"/>
        <w:shd w:val="clear" w:color="auto" w:fill="FFFFFF"/>
        <w:spacing w:after="0"/>
        <w:rPr>
          <w:rFonts w:eastAsia="Calibri"/>
        </w:rPr>
      </w:pPr>
      <w:r w:rsidRPr="007A7801">
        <w:rPr>
          <w:rFonts w:eastAsia="Calibri"/>
        </w:rPr>
        <w:t xml:space="preserve">The analysis of the indicators in the Cyprus profile of the European Digital Competiveness Report 2010 is most useful in delineating the new Digital Agenda. </w:t>
      </w:r>
    </w:p>
    <w:p w:rsidR="005B39D1" w:rsidRPr="007A7801" w:rsidRDefault="005B39D1" w:rsidP="005B39D1">
      <w:pPr>
        <w:pStyle w:val="astandard3520normal"/>
        <w:shd w:val="clear" w:color="auto" w:fill="FFFFFF"/>
        <w:spacing w:after="0"/>
        <w:rPr>
          <w:rFonts w:eastAsia="Calibri"/>
          <w:b/>
          <w:highlight w:val="yellow"/>
        </w:rPr>
      </w:pPr>
    </w:p>
    <w:p w:rsidR="001406A8" w:rsidRPr="007A7801" w:rsidRDefault="007A704B" w:rsidP="005B39D1">
      <w:pPr>
        <w:pStyle w:val="astandard3520normal"/>
        <w:shd w:val="clear" w:color="auto" w:fill="FFFFFF"/>
        <w:spacing w:after="0"/>
        <w:rPr>
          <w:rFonts w:eastAsia="Calibri"/>
          <w:b/>
          <w:i/>
        </w:rPr>
      </w:pPr>
      <w:r>
        <w:rPr>
          <w:rFonts w:eastAsia="Calibri"/>
          <w:b/>
          <w:i/>
        </w:rPr>
        <w:t>Table</w:t>
      </w:r>
      <w:r w:rsidR="00C46D30">
        <w:rPr>
          <w:rFonts w:eastAsia="Calibri"/>
          <w:b/>
          <w:i/>
        </w:rPr>
        <w:t xml:space="preserve"> </w:t>
      </w:r>
      <w:r>
        <w:rPr>
          <w:rFonts w:eastAsia="Calibri"/>
          <w:b/>
          <w:i/>
        </w:rPr>
        <w:t>2</w:t>
      </w:r>
      <w:r w:rsidR="001406A8" w:rsidRPr="007A7801">
        <w:rPr>
          <w:rFonts w:eastAsia="Calibri"/>
          <w:b/>
          <w:i/>
        </w:rPr>
        <w:t>:</w:t>
      </w:r>
    </w:p>
    <w:tbl>
      <w:tblPr>
        <w:tblStyle w:val="LightShading-Accent11"/>
        <w:tblW w:w="9464" w:type="dxa"/>
        <w:tblLook w:val="04A0"/>
      </w:tblPr>
      <w:tblGrid>
        <w:gridCol w:w="3652"/>
        <w:gridCol w:w="992"/>
        <w:gridCol w:w="993"/>
        <w:gridCol w:w="992"/>
        <w:gridCol w:w="849"/>
        <w:gridCol w:w="994"/>
        <w:gridCol w:w="992"/>
      </w:tblGrid>
      <w:tr w:rsidR="005B39D1" w:rsidRPr="007A7801" w:rsidTr="00CE237E">
        <w:trPr>
          <w:cnfStyle w:val="100000000000"/>
        </w:trPr>
        <w:tc>
          <w:tcPr>
            <w:cnfStyle w:val="001000000000"/>
            <w:tcW w:w="3652" w:type="dxa"/>
          </w:tcPr>
          <w:p w:rsidR="005B39D1" w:rsidRPr="007A7801" w:rsidRDefault="005B39D1" w:rsidP="000F0134">
            <w:pPr>
              <w:rPr>
                <w:sz w:val="22"/>
                <w:szCs w:val="22"/>
              </w:rPr>
            </w:pPr>
          </w:p>
        </w:tc>
        <w:tc>
          <w:tcPr>
            <w:tcW w:w="992" w:type="dxa"/>
          </w:tcPr>
          <w:p w:rsidR="005B39D1" w:rsidRPr="007A7801" w:rsidRDefault="005B39D1" w:rsidP="000F0134">
            <w:pPr>
              <w:tabs>
                <w:tab w:val="left" w:pos="360"/>
              </w:tabs>
              <w:jc w:val="center"/>
              <w:cnfStyle w:val="100000000000"/>
              <w:rPr>
                <w:sz w:val="22"/>
                <w:szCs w:val="22"/>
                <w:lang w:val="en-GB"/>
              </w:rPr>
            </w:pPr>
            <w:r w:rsidRPr="007A7801">
              <w:rPr>
                <w:sz w:val="22"/>
                <w:szCs w:val="22"/>
                <w:lang w:val="en-GB"/>
              </w:rPr>
              <w:t>Cyprus</w:t>
            </w:r>
          </w:p>
          <w:p w:rsidR="005B39D1" w:rsidRPr="007A7801" w:rsidRDefault="005B39D1" w:rsidP="000F0134">
            <w:pPr>
              <w:tabs>
                <w:tab w:val="left" w:pos="360"/>
              </w:tabs>
              <w:jc w:val="center"/>
              <w:cnfStyle w:val="100000000000"/>
              <w:rPr>
                <w:sz w:val="22"/>
                <w:szCs w:val="22"/>
                <w:lang w:val="en-GB"/>
              </w:rPr>
            </w:pPr>
            <w:r w:rsidRPr="007A7801">
              <w:rPr>
                <w:sz w:val="22"/>
                <w:szCs w:val="22"/>
                <w:lang w:val="en-GB"/>
              </w:rPr>
              <w:t>2007</w:t>
            </w:r>
          </w:p>
        </w:tc>
        <w:tc>
          <w:tcPr>
            <w:tcW w:w="993" w:type="dxa"/>
          </w:tcPr>
          <w:p w:rsidR="005B39D1" w:rsidRPr="007A7801" w:rsidRDefault="005B39D1" w:rsidP="000F0134">
            <w:pPr>
              <w:tabs>
                <w:tab w:val="left" w:pos="360"/>
              </w:tabs>
              <w:jc w:val="center"/>
              <w:cnfStyle w:val="100000000000"/>
              <w:rPr>
                <w:sz w:val="22"/>
                <w:szCs w:val="22"/>
                <w:lang w:val="en-GB"/>
              </w:rPr>
            </w:pPr>
            <w:r w:rsidRPr="007A7801">
              <w:rPr>
                <w:sz w:val="22"/>
                <w:szCs w:val="22"/>
                <w:lang w:val="en-GB"/>
              </w:rPr>
              <w:t>Cyprus</w:t>
            </w:r>
          </w:p>
          <w:p w:rsidR="005B39D1" w:rsidRPr="007A7801" w:rsidRDefault="005B39D1" w:rsidP="000F0134">
            <w:pPr>
              <w:tabs>
                <w:tab w:val="left" w:pos="360"/>
              </w:tabs>
              <w:jc w:val="center"/>
              <w:cnfStyle w:val="100000000000"/>
              <w:rPr>
                <w:sz w:val="22"/>
                <w:szCs w:val="22"/>
                <w:lang w:val="en-GB"/>
              </w:rPr>
            </w:pPr>
            <w:r w:rsidRPr="007A7801">
              <w:rPr>
                <w:sz w:val="22"/>
                <w:szCs w:val="22"/>
                <w:lang w:val="en-GB"/>
              </w:rPr>
              <w:t>2008</w:t>
            </w:r>
          </w:p>
        </w:tc>
        <w:tc>
          <w:tcPr>
            <w:tcW w:w="992" w:type="dxa"/>
          </w:tcPr>
          <w:p w:rsidR="005B39D1" w:rsidRPr="007A7801" w:rsidRDefault="005B39D1" w:rsidP="000F0134">
            <w:pPr>
              <w:tabs>
                <w:tab w:val="left" w:pos="360"/>
              </w:tabs>
              <w:jc w:val="center"/>
              <w:cnfStyle w:val="100000000000"/>
              <w:rPr>
                <w:sz w:val="22"/>
                <w:szCs w:val="22"/>
                <w:lang w:val="en-GB"/>
              </w:rPr>
            </w:pPr>
            <w:r w:rsidRPr="007A7801">
              <w:rPr>
                <w:sz w:val="22"/>
                <w:szCs w:val="22"/>
                <w:lang w:val="en-GB"/>
              </w:rPr>
              <w:t>EU27</w:t>
            </w:r>
          </w:p>
          <w:p w:rsidR="005B39D1" w:rsidRPr="007A7801" w:rsidRDefault="005B39D1" w:rsidP="000F0134">
            <w:pPr>
              <w:tabs>
                <w:tab w:val="left" w:pos="360"/>
              </w:tabs>
              <w:jc w:val="center"/>
              <w:cnfStyle w:val="100000000000"/>
              <w:rPr>
                <w:sz w:val="22"/>
                <w:szCs w:val="22"/>
                <w:lang w:val="en-GB"/>
              </w:rPr>
            </w:pPr>
            <w:r w:rsidRPr="007A7801">
              <w:rPr>
                <w:sz w:val="22"/>
                <w:szCs w:val="22"/>
                <w:lang w:val="en-GB"/>
              </w:rPr>
              <w:t>(2008)</w:t>
            </w:r>
          </w:p>
        </w:tc>
        <w:tc>
          <w:tcPr>
            <w:tcW w:w="849" w:type="dxa"/>
          </w:tcPr>
          <w:p w:rsidR="005B39D1" w:rsidRPr="007A7801" w:rsidRDefault="005B39D1" w:rsidP="000F0134">
            <w:pPr>
              <w:tabs>
                <w:tab w:val="left" w:pos="360"/>
              </w:tabs>
              <w:jc w:val="center"/>
              <w:cnfStyle w:val="100000000000"/>
              <w:rPr>
                <w:sz w:val="22"/>
                <w:szCs w:val="22"/>
                <w:lang w:val="en-GB"/>
              </w:rPr>
            </w:pPr>
            <w:r w:rsidRPr="007A7801">
              <w:rPr>
                <w:sz w:val="22"/>
                <w:szCs w:val="22"/>
                <w:lang w:val="en-GB"/>
              </w:rPr>
              <w:t>EU27</w:t>
            </w:r>
          </w:p>
          <w:p w:rsidR="005B39D1" w:rsidRPr="007A7801" w:rsidRDefault="005B39D1" w:rsidP="000F0134">
            <w:pPr>
              <w:tabs>
                <w:tab w:val="left" w:pos="360"/>
              </w:tabs>
              <w:jc w:val="center"/>
              <w:cnfStyle w:val="100000000000"/>
              <w:rPr>
                <w:sz w:val="22"/>
                <w:szCs w:val="22"/>
                <w:lang w:val="en-GB"/>
              </w:rPr>
            </w:pPr>
            <w:r w:rsidRPr="007A7801">
              <w:rPr>
                <w:sz w:val="22"/>
                <w:szCs w:val="22"/>
                <w:lang w:val="en-GB"/>
              </w:rPr>
              <w:t>(2009)</w:t>
            </w:r>
          </w:p>
        </w:tc>
        <w:tc>
          <w:tcPr>
            <w:tcW w:w="994" w:type="dxa"/>
          </w:tcPr>
          <w:p w:rsidR="005B39D1" w:rsidRPr="007A7801" w:rsidRDefault="005B39D1" w:rsidP="000F0134">
            <w:pPr>
              <w:tabs>
                <w:tab w:val="left" w:pos="360"/>
              </w:tabs>
              <w:jc w:val="center"/>
              <w:cnfStyle w:val="100000000000"/>
              <w:rPr>
                <w:sz w:val="22"/>
                <w:szCs w:val="22"/>
                <w:lang w:val="en-GB"/>
              </w:rPr>
            </w:pPr>
            <w:r w:rsidRPr="007A7801">
              <w:rPr>
                <w:sz w:val="22"/>
                <w:szCs w:val="22"/>
                <w:lang w:val="en-GB"/>
              </w:rPr>
              <w:t>Cyprus</w:t>
            </w:r>
          </w:p>
          <w:p w:rsidR="005B39D1" w:rsidRPr="007A7801" w:rsidRDefault="005B39D1" w:rsidP="000F0134">
            <w:pPr>
              <w:tabs>
                <w:tab w:val="left" w:pos="360"/>
              </w:tabs>
              <w:jc w:val="center"/>
              <w:cnfStyle w:val="100000000000"/>
              <w:rPr>
                <w:sz w:val="22"/>
                <w:szCs w:val="22"/>
                <w:lang w:val="en-GB"/>
              </w:rPr>
            </w:pPr>
            <w:r w:rsidRPr="007A7801">
              <w:rPr>
                <w:sz w:val="22"/>
                <w:szCs w:val="22"/>
                <w:lang w:val="en-GB"/>
              </w:rPr>
              <w:t>2009</w:t>
            </w:r>
          </w:p>
        </w:tc>
        <w:tc>
          <w:tcPr>
            <w:tcW w:w="992" w:type="dxa"/>
          </w:tcPr>
          <w:p w:rsidR="005B39D1" w:rsidRPr="007A7801" w:rsidRDefault="005B39D1" w:rsidP="000F0134">
            <w:pPr>
              <w:tabs>
                <w:tab w:val="left" w:pos="360"/>
              </w:tabs>
              <w:jc w:val="center"/>
              <w:cnfStyle w:val="100000000000"/>
              <w:rPr>
                <w:sz w:val="22"/>
                <w:szCs w:val="22"/>
                <w:lang w:val="en-GB"/>
              </w:rPr>
            </w:pPr>
            <w:r w:rsidRPr="007A7801">
              <w:rPr>
                <w:sz w:val="22"/>
                <w:szCs w:val="22"/>
                <w:lang w:val="en-GB"/>
              </w:rPr>
              <w:t>Cyprus</w:t>
            </w:r>
          </w:p>
          <w:p w:rsidR="005B39D1" w:rsidRPr="007A7801" w:rsidRDefault="005B39D1" w:rsidP="000F0134">
            <w:pPr>
              <w:tabs>
                <w:tab w:val="left" w:pos="360"/>
              </w:tabs>
              <w:jc w:val="center"/>
              <w:cnfStyle w:val="100000000000"/>
              <w:rPr>
                <w:sz w:val="22"/>
                <w:szCs w:val="22"/>
                <w:lang w:val="en-GB"/>
              </w:rPr>
            </w:pPr>
            <w:r w:rsidRPr="007A7801">
              <w:rPr>
                <w:sz w:val="22"/>
                <w:szCs w:val="22"/>
                <w:lang w:val="en-GB"/>
              </w:rPr>
              <w:t>ranking</w:t>
            </w:r>
          </w:p>
        </w:tc>
      </w:tr>
      <w:tr w:rsidR="005B39D1" w:rsidRPr="007A7801" w:rsidTr="00CE237E">
        <w:trPr>
          <w:cnfStyle w:val="000000100000"/>
          <w:trHeight w:val="366"/>
        </w:trPr>
        <w:tc>
          <w:tcPr>
            <w:cnfStyle w:val="001000000000"/>
            <w:tcW w:w="3652" w:type="dxa"/>
          </w:tcPr>
          <w:p w:rsidR="005B39D1" w:rsidRPr="007A7801" w:rsidRDefault="005B39D1" w:rsidP="000F0134">
            <w:pPr>
              <w:tabs>
                <w:tab w:val="left" w:pos="360"/>
              </w:tabs>
              <w:jc w:val="both"/>
              <w:rPr>
                <w:color w:val="FF0000"/>
                <w:sz w:val="22"/>
                <w:szCs w:val="22"/>
                <w:lang w:val="en-GB"/>
              </w:rPr>
            </w:pPr>
            <w:r w:rsidRPr="007A7801">
              <w:rPr>
                <w:sz w:val="22"/>
                <w:szCs w:val="22"/>
                <w:lang w:val="en-GB"/>
              </w:rPr>
              <w:t xml:space="preserve">Broadband: </w:t>
            </w:r>
          </w:p>
        </w:tc>
        <w:tc>
          <w:tcPr>
            <w:tcW w:w="992" w:type="dxa"/>
          </w:tcPr>
          <w:p w:rsidR="005B39D1" w:rsidRPr="007A7801" w:rsidRDefault="005B39D1" w:rsidP="000F0134">
            <w:pPr>
              <w:jc w:val="center"/>
              <w:cnfStyle w:val="000000100000"/>
              <w:rPr>
                <w:sz w:val="22"/>
                <w:szCs w:val="22"/>
              </w:rPr>
            </w:pPr>
          </w:p>
        </w:tc>
        <w:tc>
          <w:tcPr>
            <w:tcW w:w="993" w:type="dxa"/>
          </w:tcPr>
          <w:p w:rsidR="005B39D1" w:rsidRPr="007A7801" w:rsidRDefault="005B39D1" w:rsidP="000F0134">
            <w:pPr>
              <w:jc w:val="center"/>
              <w:cnfStyle w:val="000000100000"/>
              <w:rPr>
                <w:sz w:val="22"/>
                <w:szCs w:val="22"/>
              </w:rPr>
            </w:pPr>
          </w:p>
        </w:tc>
        <w:tc>
          <w:tcPr>
            <w:tcW w:w="992" w:type="dxa"/>
          </w:tcPr>
          <w:p w:rsidR="005B39D1" w:rsidRPr="007A7801" w:rsidRDefault="005B39D1" w:rsidP="000F0134">
            <w:pPr>
              <w:jc w:val="center"/>
              <w:cnfStyle w:val="000000100000"/>
              <w:rPr>
                <w:sz w:val="22"/>
                <w:szCs w:val="22"/>
              </w:rPr>
            </w:pPr>
          </w:p>
        </w:tc>
        <w:tc>
          <w:tcPr>
            <w:tcW w:w="849" w:type="dxa"/>
          </w:tcPr>
          <w:p w:rsidR="005B39D1" w:rsidRPr="007A7801" w:rsidRDefault="005B39D1" w:rsidP="000F0134">
            <w:pPr>
              <w:jc w:val="center"/>
              <w:cnfStyle w:val="000000100000"/>
              <w:rPr>
                <w:sz w:val="22"/>
                <w:szCs w:val="22"/>
              </w:rPr>
            </w:pPr>
          </w:p>
        </w:tc>
        <w:tc>
          <w:tcPr>
            <w:tcW w:w="994" w:type="dxa"/>
          </w:tcPr>
          <w:p w:rsidR="005B39D1" w:rsidRPr="007A7801" w:rsidRDefault="005B39D1" w:rsidP="000F0134">
            <w:pPr>
              <w:jc w:val="center"/>
              <w:cnfStyle w:val="000000100000"/>
              <w:rPr>
                <w:sz w:val="22"/>
                <w:szCs w:val="22"/>
              </w:rPr>
            </w:pPr>
          </w:p>
        </w:tc>
        <w:tc>
          <w:tcPr>
            <w:tcW w:w="992" w:type="dxa"/>
          </w:tcPr>
          <w:p w:rsidR="005B39D1" w:rsidRPr="007A7801" w:rsidRDefault="005B39D1" w:rsidP="000F0134">
            <w:pPr>
              <w:jc w:val="center"/>
              <w:cnfStyle w:val="000000100000"/>
              <w:rPr>
                <w:sz w:val="22"/>
                <w:szCs w:val="22"/>
              </w:rPr>
            </w:pPr>
          </w:p>
        </w:tc>
      </w:tr>
      <w:tr w:rsidR="005B39D1" w:rsidRPr="007A7801" w:rsidTr="00FC3062">
        <w:tc>
          <w:tcPr>
            <w:cnfStyle w:val="001000000000"/>
            <w:tcW w:w="3652" w:type="dxa"/>
          </w:tcPr>
          <w:p w:rsidR="005B39D1" w:rsidRPr="007A7801" w:rsidRDefault="005B39D1" w:rsidP="000F0134">
            <w:pPr>
              <w:ind w:left="284"/>
              <w:rPr>
                <w:sz w:val="22"/>
                <w:szCs w:val="22"/>
                <w:lang w:val="en-GB"/>
              </w:rPr>
            </w:pPr>
            <w:r w:rsidRPr="007A7801">
              <w:rPr>
                <w:sz w:val="22"/>
                <w:szCs w:val="22"/>
                <w:lang w:val="en-GB"/>
              </w:rPr>
              <w:t>Broadband Penetration (% of population)</w:t>
            </w:r>
          </w:p>
        </w:tc>
        <w:tc>
          <w:tcPr>
            <w:tcW w:w="992" w:type="dxa"/>
            <w:vAlign w:val="center"/>
          </w:tcPr>
          <w:p w:rsidR="005B39D1" w:rsidRPr="007A7801" w:rsidRDefault="005B39D1" w:rsidP="00FC3062">
            <w:pPr>
              <w:jc w:val="center"/>
              <w:cnfStyle w:val="000000000000"/>
              <w:rPr>
                <w:sz w:val="22"/>
                <w:szCs w:val="22"/>
              </w:rPr>
            </w:pPr>
            <w:r w:rsidRPr="007A7801">
              <w:rPr>
                <w:sz w:val="22"/>
                <w:szCs w:val="22"/>
              </w:rPr>
              <w:t>13,8</w:t>
            </w:r>
          </w:p>
        </w:tc>
        <w:tc>
          <w:tcPr>
            <w:tcW w:w="993" w:type="dxa"/>
            <w:vAlign w:val="center"/>
          </w:tcPr>
          <w:p w:rsidR="005B39D1" w:rsidRPr="007A7801" w:rsidRDefault="005B39D1" w:rsidP="00FC3062">
            <w:pPr>
              <w:jc w:val="center"/>
              <w:cnfStyle w:val="000000000000"/>
              <w:rPr>
                <w:sz w:val="22"/>
                <w:szCs w:val="22"/>
              </w:rPr>
            </w:pPr>
            <w:r w:rsidRPr="007A7801">
              <w:rPr>
                <w:sz w:val="22"/>
                <w:szCs w:val="22"/>
              </w:rPr>
              <w:t>18,2</w:t>
            </w:r>
          </w:p>
        </w:tc>
        <w:tc>
          <w:tcPr>
            <w:tcW w:w="992" w:type="dxa"/>
            <w:vAlign w:val="center"/>
          </w:tcPr>
          <w:p w:rsidR="005B39D1" w:rsidRPr="007A7801" w:rsidRDefault="005B39D1" w:rsidP="00FC3062">
            <w:pPr>
              <w:jc w:val="center"/>
              <w:cnfStyle w:val="000000000000"/>
              <w:rPr>
                <w:sz w:val="22"/>
                <w:szCs w:val="22"/>
              </w:rPr>
            </w:pPr>
            <w:r w:rsidRPr="007A7801">
              <w:rPr>
                <w:sz w:val="22"/>
                <w:szCs w:val="22"/>
              </w:rPr>
              <w:t>22,6</w:t>
            </w:r>
          </w:p>
        </w:tc>
        <w:tc>
          <w:tcPr>
            <w:tcW w:w="849" w:type="dxa"/>
            <w:vAlign w:val="center"/>
          </w:tcPr>
          <w:p w:rsidR="005B39D1" w:rsidRPr="007A7801" w:rsidRDefault="005B39D1" w:rsidP="00FC3062">
            <w:pPr>
              <w:jc w:val="center"/>
              <w:cnfStyle w:val="000000000000"/>
              <w:rPr>
                <w:sz w:val="22"/>
                <w:szCs w:val="22"/>
              </w:rPr>
            </w:pPr>
            <w:r w:rsidRPr="007A7801">
              <w:rPr>
                <w:sz w:val="22"/>
                <w:szCs w:val="22"/>
              </w:rPr>
              <w:t>24,8</w:t>
            </w:r>
          </w:p>
        </w:tc>
        <w:tc>
          <w:tcPr>
            <w:tcW w:w="994" w:type="dxa"/>
            <w:vAlign w:val="center"/>
          </w:tcPr>
          <w:p w:rsidR="005B39D1" w:rsidRPr="007A7801" w:rsidRDefault="005B39D1" w:rsidP="00FC3062">
            <w:pPr>
              <w:jc w:val="center"/>
              <w:cnfStyle w:val="000000000000"/>
              <w:rPr>
                <w:sz w:val="22"/>
                <w:szCs w:val="22"/>
              </w:rPr>
            </w:pPr>
            <w:r w:rsidRPr="007A7801">
              <w:rPr>
                <w:sz w:val="22"/>
                <w:szCs w:val="22"/>
              </w:rPr>
              <w:t>22,2</w:t>
            </w:r>
          </w:p>
        </w:tc>
        <w:tc>
          <w:tcPr>
            <w:tcW w:w="992" w:type="dxa"/>
            <w:vAlign w:val="center"/>
          </w:tcPr>
          <w:p w:rsidR="005B39D1" w:rsidRPr="007A7801" w:rsidRDefault="005B39D1" w:rsidP="00FC3062">
            <w:pPr>
              <w:jc w:val="center"/>
              <w:cnfStyle w:val="000000000000"/>
              <w:rPr>
                <w:sz w:val="22"/>
                <w:szCs w:val="22"/>
              </w:rPr>
            </w:pPr>
            <w:r w:rsidRPr="007A7801">
              <w:rPr>
                <w:sz w:val="22"/>
                <w:szCs w:val="22"/>
              </w:rPr>
              <w:t>15</w:t>
            </w:r>
          </w:p>
        </w:tc>
      </w:tr>
      <w:tr w:rsidR="005B39D1" w:rsidRPr="007A7801" w:rsidTr="00FC3062">
        <w:trPr>
          <w:cnfStyle w:val="000000100000"/>
        </w:trPr>
        <w:tc>
          <w:tcPr>
            <w:cnfStyle w:val="001000000000"/>
            <w:tcW w:w="3652" w:type="dxa"/>
          </w:tcPr>
          <w:p w:rsidR="005B39D1" w:rsidRPr="007A7801" w:rsidRDefault="005B39D1" w:rsidP="000F0134">
            <w:pPr>
              <w:ind w:left="284"/>
              <w:rPr>
                <w:sz w:val="22"/>
                <w:szCs w:val="22"/>
                <w:lang w:val="en-GB"/>
              </w:rPr>
            </w:pPr>
            <w:r w:rsidRPr="007A7801">
              <w:rPr>
                <w:sz w:val="22"/>
                <w:szCs w:val="22"/>
                <w:lang w:val="en-GB"/>
              </w:rPr>
              <w:t xml:space="preserve">% of households with a broadband connection </w:t>
            </w:r>
          </w:p>
        </w:tc>
        <w:tc>
          <w:tcPr>
            <w:tcW w:w="992" w:type="dxa"/>
            <w:vAlign w:val="center"/>
          </w:tcPr>
          <w:p w:rsidR="005B39D1" w:rsidRPr="007A7801" w:rsidRDefault="005B39D1" w:rsidP="00FC3062">
            <w:pPr>
              <w:jc w:val="center"/>
              <w:cnfStyle w:val="000000100000"/>
              <w:rPr>
                <w:sz w:val="22"/>
                <w:szCs w:val="22"/>
              </w:rPr>
            </w:pPr>
            <w:r w:rsidRPr="007A7801">
              <w:rPr>
                <w:sz w:val="22"/>
                <w:szCs w:val="22"/>
              </w:rPr>
              <w:t>20</w:t>
            </w:r>
          </w:p>
        </w:tc>
        <w:tc>
          <w:tcPr>
            <w:tcW w:w="993" w:type="dxa"/>
            <w:vAlign w:val="center"/>
          </w:tcPr>
          <w:p w:rsidR="005B39D1" w:rsidRPr="007A7801" w:rsidRDefault="005B39D1" w:rsidP="00FC3062">
            <w:pPr>
              <w:jc w:val="center"/>
              <w:cnfStyle w:val="000000100000"/>
              <w:rPr>
                <w:sz w:val="22"/>
                <w:szCs w:val="22"/>
              </w:rPr>
            </w:pPr>
            <w:r w:rsidRPr="007A7801">
              <w:rPr>
                <w:sz w:val="22"/>
                <w:szCs w:val="22"/>
              </w:rPr>
              <w:t>33</w:t>
            </w:r>
          </w:p>
        </w:tc>
        <w:tc>
          <w:tcPr>
            <w:tcW w:w="992" w:type="dxa"/>
            <w:vAlign w:val="center"/>
          </w:tcPr>
          <w:p w:rsidR="005B39D1" w:rsidRPr="007A7801" w:rsidRDefault="005B39D1" w:rsidP="00FC3062">
            <w:pPr>
              <w:jc w:val="center"/>
              <w:cnfStyle w:val="000000100000"/>
              <w:rPr>
                <w:sz w:val="22"/>
                <w:szCs w:val="22"/>
              </w:rPr>
            </w:pPr>
            <w:r w:rsidRPr="007A7801">
              <w:rPr>
                <w:sz w:val="22"/>
                <w:szCs w:val="22"/>
              </w:rPr>
              <w:t>49</w:t>
            </w:r>
          </w:p>
        </w:tc>
        <w:tc>
          <w:tcPr>
            <w:tcW w:w="849" w:type="dxa"/>
            <w:vAlign w:val="center"/>
          </w:tcPr>
          <w:p w:rsidR="005B39D1" w:rsidRPr="007A7801" w:rsidRDefault="005B39D1" w:rsidP="00FC3062">
            <w:pPr>
              <w:jc w:val="center"/>
              <w:cnfStyle w:val="000000100000"/>
              <w:rPr>
                <w:sz w:val="22"/>
                <w:szCs w:val="22"/>
              </w:rPr>
            </w:pPr>
            <w:r w:rsidRPr="007A7801">
              <w:rPr>
                <w:sz w:val="22"/>
                <w:szCs w:val="22"/>
              </w:rPr>
              <w:t>56</w:t>
            </w:r>
          </w:p>
        </w:tc>
        <w:tc>
          <w:tcPr>
            <w:tcW w:w="994" w:type="dxa"/>
            <w:vAlign w:val="center"/>
          </w:tcPr>
          <w:p w:rsidR="005B39D1" w:rsidRPr="007A7801" w:rsidRDefault="005B39D1" w:rsidP="00FC3062">
            <w:pPr>
              <w:jc w:val="center"/>
              <w:cnfStyle w:val="000000100000"/>
              <w:rPr>
                <w:sz w:val="22"/>
                <w:szCs w:val="22"/>
              </w:rPr>
            </w:pPr>
            <w:r w:rsidRPr="007A7801">
              <w:rPr>
                <w:sz w:val="22"/>
                <w:szCs w:val="22"/>
              </w:rPr>
              <w:t>47</w:t>
            </w:r>
          </w:p>
        </w:tc>
        <w:tc>
          <w:tcPr>
            <w:tcW w:w="992" w:type="dxa"/>
            <w:vAlign w:val="center"/>
          </w:tcPr>
          <w:p w:rsidR="005B39D1" w:rsidRPr="007A7801" w:rsidRDefault="005B39D1" w:rsidP="00FC3062">
            <w:pPr>
              <w:jc w:val="center"/>
              <w:cnfStyle w:val="000000100000"/>
              <w:rPr>
                <w:sz w:val="22"/>
                <w:szCs w:val="22"/>
              </w:rPr>
            </w:pPr>
            <w:r w:rsidRPr="007A7801">
              <w:rPr>
                <w:sz w:val="22"/>
                <w:szCs w:val="22"/>
              </w:rPr>
              <w:t>21</w:t>
            </w:r>
          </w:p>
        </w:tc>
      </w:tr>
      <w:tr w:rsidR="005B39D1" w:rsidRPr="007A7801" w:rsidTr="00FC3062">
        <w:tc>
          <w:tcPr>
            <w:cnfStyle w:val="001000000000"/>
            <w:tcW w:w="3652" w:type="dxa"/>
          </w:tcPr>
          <w:p w:rsidR="005B39D1" w:rsidRPr="007A7801" w:rsidRDefault="005B39D1" w:rsidP="000F0134">
            <w:pPr>
              <w:ind w:left="284"/>
              <w:rPr>
                <w:sz w:val="22"/>
                <w:szCs w:val="22"/>
                <w:lang w:val="en-GB"/>
              </w:rPr>
            </w:pPr>
            <w:r w:rsidRPr="007A7801">
              <w:rPr>
                <w:sz w:val="22"/>
                <w:szCs w:val="22"/>
                <w:lang w:val="en-GB"/>
              </w:rPr>
              <w:t xml:space="preserve">% of enterprises with </w:t>
            </w:r>
          </w:p>
          <w:p w:rsidR="005B39D1" w:rsidRPr="007A7801" w:rsidRDefault="005B39D1" w:rsidP="000F0134">
            <w:pPr>
              <w:ind w:left="284"/>
              <w:rPr>
                <w:sz w:val="22"/>
                <w:szCs w:val="22"/>
              </w:rPr>
            </w:pPr>
            <w:r w:rsidRPr="007A7801">
              <w:rPr>
                <w:sz w:val="22"/>
                <w:szCs w:val="22"/>
                <w:lang w:val="en-GB"/>
              </w:rPr>
              <w:t>broadband access</w:t>
            </w:r>
          </w:p>
        </w:tc>
        <w:tc>
          <w:tcPr>
            <w:tcW w:w="992" w:type="dxa"/>
            <w:vAlign w:val="center"/>
          </w:tcPr>
          <w:p w:rsidR="005B39D1" w:rsidRPr="007A7801" w:rsidRDefault="005B39D1" w:rsidP="00FC3062">
            <w:pPr>
              <w:jc w:val="center"/>
              <w:cnfStyle w:val="000000000000"/>
              <w:rPr>
                <w:sz w:val="22"/>
                <w:szCs w:val="22"/>
              </w:rPr>
            </w:pPr>
            <w:r w:rsidRPr="007A7801">
              <w:rPr>
                <w:sz w:val="22"/>
                <w:szCs w:val="22"/>
              </w:rPr>
              <w:t>69</w:t>
            </w:r>
          </w:p>
        </w:tc>
        <w:tc>
          <w:tcPr>
            <w:tcW w:w="993" w:type="dxa"/>
            <w:vAlign w:val="center"/>
          </w:tcPr>
          <w:p w:rsidR="005B39D1" w:rsidRPr="007A7801" w:rsidRDefault="005B39D1" w:rsidP="00FC3062">
            <w:pPr>
              <w:jc w:val="center"/>
              <w:cnfStyle w:val="000000000000"/>
              <w:rPr>
                <w:sz w:val="22"/>
                <w:szCs w:val="22"/>
              </w:rPr>
            </w:pPr>
            <w:r w:rsidRPr="007A7801">
              <w:rPr>
                <w:sz w:val="22"/>
                <w:szCs w:val="22"/>
              </w:rPr>
              <w:t>79</w:t>
            </w:r>
          </w:p>
        </w:tc>
        <w:tc>
          <w:tcPr>
            <w:tcW w:w="992" w:type="dxa"/>
            <w:vAlign w:val="center"/>
          </w:tcPr>
          <w:p w:rsidR="005B39D1" w:rsidRPr="007A7801" w:rsidRDefault="005B39D1" w:rsidP="00FC3062">
            <w:pPr>
              <w:jc w:val="center"/>
              <w:cnfStyle w:val="000000000000"/>
              <w:rPr>
                <w:sz w:val="22"/>
                <w:szCs w:val="22"/>
              </w:rPr>
            </w:pPr>
            <w:r w:rsidRPr="007A7801">
              <w:rPr>
                <w:sz w:val="22"/>
                <w:szCs w:val="22"/>
              </w:rPr>
              <w:t>81</w:t>
            </w:r>
          </w:p>
        </w:tc>
        <w:tc>
          <w:tcPr>
            <w:tcW w:w="849" w:type="dxa"/>
            <w:vAlign w:val="center"/>
          </w:tcPr>
          <w:p w:rsidR="005B39D1" w:rsidRPr="007A7801" w:rsidRDefault="005B39D1" w:rsidP="00FC3062">
            <w:pPr>
              <w:jc w:val="center"/>
              <w:cnfStyle w:val="000000000000"/>
              <w:rPr>
                <w:sz w:val="22"/>
                <w:szCs w:val="22"/>
              </w:rPr>
            </w:pPr>
            <w:r w:rsidRPr="007A7801">
              <w:rPr>
                <w:sz w:val="22"/>
                <w:szCs w:val="22"/>
              </w:rPr>
              <w:t>83</w:t>
            </w:r>
          </w:p>
        </w:tc>
        <w:tc>
          <w:tcPr>
            <w:tcW w:w="994" w:type="dxa"/>
            <w:vAlign w:val="center"/>
          </w:tcPr>
          <w:p w:rsidR="005B39D1" w:rsidRPr="007A7801" w:rsidRDefault="005B39D1" w:rsidP="00FC3062">
            <w:pPr>
              <w:jc w:val="center"/>
              <w:cnfStyle w:val="000000000000"/>
              <w:rPr>
                <w:sz w:val="22"/>
                <w:szCs w:val="22"/>
              </w:rPr>
            </w:pPr>
            <w:r w:rsidRPr="007A7801">
              <w:rPr>
                <w:sz w:val="22"/>
                <w:szCs w:val="22"/>
              </w:rPr>
              <w:t>87</w:t>
            </w:r>
          </w:p>
        </w:tc>
        <w:tc>
          <w:tcPr>
            <w:tcW w:w="992" w:type="dxa"/>
            <w:vAlign w:val="center"/>
          </w:tcPr>
          <w:p w:rsidR="005B39D1" w:rsidRPr="007A7801" w:rsidRDefault="005B39D1" w:rsidP="00FC3062">
            <w:pPr>
              <w:jc w:val="center"/>
              <w:cnfStyle w:val="000000000000"/>
              <w:rPr>
                <w:sz w:val="22"/>
                <w:szCs w:val="22"/>
              </w:rPr>
            </w:pPr>
            <w:r w:rsidRPr="007A7801">
              <w:rPr>
                <w:sz w:val="22"/>
                <w:szCs w:val="22"/>
              </w:rPr>
              <w:t>9</w:t>
            </w:r>
          </w:p>
        </w:tc>
      </w:tr>
      <w:tr w:rsidR="005B39D1" w:rsidRPr="007A7801" w:rsidTr="00FC3062">
        <w:trPr>
          <w:cnfStyle w:val="000000100000"/>
        </w:trPr>
        <w:tc>
          <w:tcPr>
            <w:cnfStyle w:val="001000000000"/>
            <w:tcW w:w="3652" w:type="dxa"/>
          </w:tcPr>
          <w:p w:rsidR="005B39D1" w:rsidRPr="007A7801" w:rsidRDefault="005B39D1" w:rsidP="000F0134">
            <w:pPr>
              <w:tabs>
                <w:tab w:val="left" w:pos="360"/>
              </w:tabs>
              <w:rPr>
                <w:sz w:val="22"/>
                <w:szCs w:val="22"/>
                <w:lang w:val="en-GB"/>
              </w:rPr>
            </w:pPr>
            <w:r w:rsidRPr="007A7801">
              <w:rPr>
                <w:sz w:val="22"/>
                <w:szCs w:val="22"/>
                <w:lang w:val="en-GB"/>
              </w:rPr>
              <w:t>Internet Usage:</w:t>
            </w:r>
          </w:p>
        </w:tc>
        <w:tc>
          <w:tcPr>
            <w:tcW w:w="992" w:type="dxa"/>
            <w:vAlign w:val="center"/>
          </w:tcPr>
          <w:p w:rsidR="005B39D1" w:rsidRPr="007A7801" w:rsidRDefault="005B39D1" w:rsidP="00FC3062">
            <w:pPr>
              <w:jc w:val="center"/>
              <w:cnfStyle w:val="000000100000"/>
              <w:rPr>
                <w:sz w:val="22"/>
                <w:szCs w:val="22"/>
              </w:rPr>
            </w:pPr>
          </w:p>
        </w:tc>
        <w:tc>
          <w:tcPr>
            <w:tcW w:w="993" w:type="dxa"/>
            <w:vAlign w:val="center"/>
          </w:tcPr>
          <w:p w:rsidR="005B39D1" w:rsidRPr="007A7801" w:rsidRDefault="005B39D1" w:rsidP="00FC3062">
            <w:pPr>
              <w:jc w:val="center"/>
              <w:cnfStyle w:val="000000100000"/>
              <w:rPr>
                <w:sz w:val="22"/>
                <w:szCs w:val="22"/>
              </w:rPr>
            </w:pPr>
          </w:p>
        </w:tc>
        <w:tc>
          <w:tcPr>
            <w:tcW w:w="992" w:type="dxa"/>
            <w:vAlign w:val="center"/>
          </w:tcPr>
          <w:p w:rsidR="005B39D1" w:rsidRPr="007A7801" w:rsidRDefault="005B39D1" w:rsidP="00FC3062">
            <w:pPr>
              <w:jc w:val="center"/>
              <w:cnfStyle w:val="000000100000"/>
              <w:rPr>
                <w:sz w:val="22"/>
                <w:szCs w:val="22"/>
              </w:rPr>
            </w:pPr>
          </w:p>
        </w:tc>
        <w:tc>
          <w:tcPr>
            <w:tcW w:w="849" w:type="dxa"/>
            <w:vAlign w:val="center"/>
          </w:tcPr>
          <w:p w:rsidR="005B39D1" w:rsidRPr="007A7801" w:rsidRDefault="005B39D1" w:rsidP="00FC3062">
            <w:pPr>
              <w:jc w:val="center"/>
              <w:cnfStyle w:val="000000100000"/>
              <w:rPr>
                <w:sz w:val="22"/>
                <w:szCs w:val="22"/>
              </w:rPr>
            </w:pPr>
          </w:p>
        </w:tc>
        <w:tc>
          <w:tcPr>
            <w:tcW w:w="994" w:type="dxa"/>
            <w:vAlign w:val="center"/>
          </w:tcPr>
          <w:p w:rsidR="005B39D1" w:rsidRPr="007A7801" w:rsidRDefault="005B39D1" w:rsidP="00FC3062">
            <w:pPr>
              <w:jc w:val="center"/>
              <w:cnfStyle w:val="000000100000"/>
              <w:rPr>
                <w:sz w:val="22"/>
                <w:szCs w:val="22"/>
              </w:rPr>
            </w:pPr>
          </w:p>
        </w:tc>
        <w:tc>
          <w:tcPr>
            <w:tcW w:w="992" w:type="dxa"/>
            <w:vAlign w:val="center"/>
          </w:tcPr>
          <w:p w:rsidR="005B39D1" w:rsidRPr="007A7801" w:rsidRDefault="005B39D1" w:rsidP="00FC3062">
            <w:pPr>
              <w:jc w:val="center"/>
              <w:cnfStyle w:val="000000100000"/>
              <w:rPr>
                <w:sz w:val="22"/>
                <w:szCs w:val="22"/>
              </w:rPr>
            </w:pPr>
          </w:p>
        </w:tc>
      </w:tr>
      <w:tr w:rsidR="005B39D1" w:rsidRPr="007A7801" w:rsidTr="00FC3062">
        <w:tc>
          <w:tcPr>
            <w:cnfStyle w:val="001000000000"/>
            <w:tcW w:w="3652" w:type="dxa"/>
          </w:tcPr>
          <w:p w:rsidR="005B39D1" w:rsidRPr="007A7801" w:rsidRDefault="005B39D1" w:rsidP="000F0134">
            <w:pPr>
              <w:tabs>
                <w:tab w:val="left" w:pos="284"/>
              </w:tabs>
              <w:ind w:left="284"/>
              <w:rPr>
                <w:sz w:val="22"/>
                <w:szCs w:val="22"/>
                <w:lang w:val="en-GB"/>
              </w:rPr>
            </w:pPr>
            <w:r w:rsidRPr="007A7801">
              <w:rPr>
                <w:sz w:val="22"/>
                <w:szCs w:val="22"/>
                <w:lang w:val="en-GB"/>
              </w:rPr>
              <w:t>% of population who are regular internet users</w:t>
            </w:r>
          </w:p>
        </w:tc>
        <w:tc>
          <w:tcPr>
            <w:tcW w:w="992" w:type="dxa"/>
            <w:vAlign w:val="center"/>
          </w:tcPr>
          <w:p w:rsidR="005B39D1" w:rsidRPr="007A7801" w:rsidRDefault="005B39D1" w:rsidP="00FC3062">
            <w:pPr>
              <w:jc w:val="center"/>
              <w:cnfStyle w:val="000000000000"/>
              <w:rPr>
                <w:sz w:val="22"/>
                <w:szCs w:val="22"/>
              </w:rPr>
            </w:pPr>
            <w:r w:rsidRPr="007A7801">
              <w:rPr>
                <w:sz w:val="22"/>
                <w:szCs w:val="22"/>
              </w:rPr>
              <w:t>35</w:t>
            </w:r>
          </w:p>
        </w:tc>
        <w:tc>
          <w:tcPr>
            <w:tcW w:w="993" w:type="dxa"/>
            <w:vAlign w:val="center"/>
          </w:tcPr>
          <w:p w:rsidR="005B39D1" w:rsidRPr="007A7801" w:rsidRDefault="005B39D1" w:rsidP="00FC3062">
            <w:pPr>
              <w:jc w:val="center"/>
              <w:cnfStyle w:val="000000000000"/>
              <w:rPr>
                <w:sz w:val="22"/>
                <w:szCs w:val="22"/>
              </w:rPr>
            </w:pPr>
            <w:r w:rsidRPr="007A7801">
              <w:rPr>
                <w:sz w:val="22"/>
                <w:szCs w:val="22"/>
              </w:rPr>
              <w:t>35</w:t>
            </w:r>
          </w:p>
        </w:tc>
        <w:tc>
          <w:tcPr>
            <w:tcW w:w="992" w:type="dxa"/>
            <w:vAlign w:val="center"/>
          </w:tcPr>
          <w:p w:rsidR="005B39D1" w:rsidRPr="007A7801" w:rsidRDefault="005B39D1" w:rsidP="00FC3062">
            <w:pPr>
              <w:jc w:val="center"/>
              <w:cnfStyle w:val="000000000000"/>
              <w:rPr>
                <w:sz w:val="22"/>
                <w:szCs w:val="22"/>
              </w:rPr>
            </w:pPr>
            <w:r w:rsidRPr="007A7801">
              <w:rPr>
                <w:sz w:val="22"/>
                <w:szCs w:val="22"/>
              </w:rPr>
              <w:t>56</w:t>
            </w:r>
          </w:p>
        </w:tc>
        <w:tc>
          <w:tcPr>
            <w:tcW w:w="849" w:type="dxa"/>
            <w:vAlign w:val="center"/>
          </w:tcPr>
          <w:p w:rsidR="005B39D1" w:rsidRPr="007A7801" w:rsidRDefault="005B39D1" w:rsidP="00FC3062">
            <w:pPr>
              <w:jc w:val="center"/>
              <w:cnfStyle w:val="000000000000"/>
              <w:rPr>
                <w:sz w:val="22"/>
                <w:szCs w:val="22"/>
              </w:rPr>
            </w:pPr>
            <w:r w:rsidRPr="007A7801">
              <w:rPr>
                <w:sz w:val="22"/>
                <w:szCs w:val="22"/>
              </w:rPr>
              <w:t>60</w:t>
            </w:r>
          </w:p>
        </w:tc>
        <w:tc>
          <w:tcPr>
            <w:tcW w:w="994" w:type="dxa"/>
            <w:vAlign w:val="center"/>
          </w:tcPr>
          <w:p w:rsidR="005B39D1" w:rsidRPr="007A7801" w:rsidRDefault="005B39D1" w:rsidP="00FC3062">
            <w:pPr>
              <w:jc w:val="center"/>
              <w:cnfStyle w:val="000000000000"/>
              <w:rPr>
                <w:sz w:val="22"/>
                <w:szCs w:val="22"/>
              </w:rPr>
            </w:pPr>
            <w:r w:rsidRPr="007A7801">
              <w:rPr>
                <w:sz w:val="22"/>
                <w:szCs w:val="22"/>
              </w:rPr>
              <w:t>45</w:t>
            </w:r>
          </w:p>
        </w:tc>
        <w:tc>
          <w:tcPr>
            <w:tcW w:w="992" w:type="dxa"/>
            <w:vAlign w:val="center"/>
          </w:tcPr>
          <w:p w:rsidR="005B39D1" w:rsidRPr="007A7801" w:rsidRDefault="005B39D1" w:rsidP="00FC3062">
            <w:pPr>
              <w:jc w:val="center"/>
              <w:cnfStyle w:val="000000000000"/>
              <w:rPr>
                <w:sz w:val="22"/>
                <w:szCs w:val="22"/>
              </w:rPr>
            </w:pPr>
            <w:r w:rsidRPr="007A7801">
              <w:rPr>
                <w:sz w:val="22"/>
                <w:szCs w:val="22"/>
              </w:rPr>
              <w:t>22</w:t>
            </w:r>
          </w:p>
        </w:tc>
      </w:tr>
      <w:tr w:rsidR="005B39D1" w:rsidRPr="007A7801" w:rsidTr="00FC3062">
        <w:trPr>
          <w:cnfStyle w:val="000000100000"/>
          <w:trHeight w:val="405"/>
        </w:trPr>
        <w:tc>
          <w:tcPr>
            <w:cnfStyle w:val="001000000000"/>
            <w:tcW w:w="3652" w:type="dxa"/>
          </w:tcPr>
          <w:p w:rsidR="005B39D1" w:rsidRPr="007A7801" w:rsidRDefault="005B39D1" w:rsidP="000F0134">
            <w:pPr>
              <w:tabs>
                <w:tab w:val="left" w:pos="360"/>
              </w:tabs>
              <w:jc w:val="both"/>
              <w:rPr>
                <w:sz w:val="22"/>
                <w:szCs w:val="22"/>
                <w:lang w:val="en-GB"/>
              </w:rPr>
            </w:pPr>
            <w:r w:rsidRPr="007A7801">
              <w:rPr>
                <w:sz w:val="22"/>
                <w:szCs w:val="22"/>
                <w:lang w:val="en-GB"/>
              </w:rPr>
              <w:t xml:space="preserve">eGovernment indicators: </w:t>
            </w:r>
          </w:p>
        </w:tc>
        <w:tc>
          <w:tcPr>
            <w:tcW w:w="992" w:type="dxa"/>
            <w:vAlign w:val="center"/>
          </w:tcPr>
          <w:p w:rsidR="005B39D1" w:rsidRPr="007A7801" w:rsidRDefault="005B39D1" w:rsidP="00FC3062">
            <w:pPr>
              <w:jc w:val="center"/>
              <w:cnfStyle w:val="000000100000"/>
              <w:rPr>
                <w:sz w:val="22"/>
                <w:szCs w:val="22"/>
              </w:rPr>
            </w:pPr>
          </w:p>
        </w:tc>
        <w:tc>
          <w:tcPr>
            <w:tcW w:w="993" w:type="dxa"/>
            <w:vAlign w:val="center"/>
          </w:tcPr>
          <w:p w:rsidR="005B39D1" w:rsidRPr="007A7801" w:rsidRDefault="005B39D1" w:rsidP="00FC3062">
            <w:pPr>
              <w:jc w:val="center"/>
              <w:cnfStyle w:val="000000100000"/>
              <w:rPr>
                <w:sz w:val="22"/>
                <w:szCs w:val="22"/>
              </w:rPr>
            </w:pPr>
          </w:p>
        </w:tc>
        <w:tc>
          <w:tcPr>
            <w:tcW w:w="992" w:type="dxa"/>
            <w:vAlign w:val="center"/>
          </w:tcPr>
          <w:p w:rsidR="005B39D1" w:rsidRPr="007A7801" w:rsidRDefault="005B39D1" w:rsidP="00FC3062">
            <w:pPr>
              <w:jc w:val="center"/>
              <w:cnfStyle w:val="000000100000"/>
              <w:rPr>
                <w:sz w:val="22"/>
                <w:szCs w:val="22"/>
              </w:rPr>
            </w:pPr>
          </w:p>
        </w:tc>
        <w:tc>
          <w:tcPr>
            <w:tcW w:w="849" w:type="dxa"/>
            <w:vAlign w:val="center"/>
          </w:tcPr>
          <w:p w:rsidR="005B39D1" w:rsidRPr="007A7801" w:rsidRDefault="005B39D1" w:rsidP="00FC3062">
            <w:pPr>
              <w:jc w:val="center"/>
              <w:cnfStyle w:val="000000100000"/>
              <w:rPr>
                <w:sz w:val="22"/>
                <w:szCs w:val="22"/>
              </w:rPr>
            </w:pPr>
          </w:p>
        </w:tc>
        <w:tc>
          <w:tcPr>
            <w:tcW w:w="994" w:type="dxa"/>
            <w:vAlign w:val="center"/>
          </w:tcPr>
          <w:p w:rsidR="005B39D1" w:rsidRPr="007A7801" w:rsidRDefault="005B39D1" w:rsidP="00FC3062">
            <w:pPr>
              <w:jc w:val="center"/>
              <w:cnfStyle w:val="000000100000"/>
              <w:rPr>
                <w:sz w:val="22"/>
                <w:szCs w:val="22"/>
              </w:rPr>
            </w:pPr>
          </w:p>
        </w:tc>
        <w:tc>
          <w:tcPr>
            <w:tcW w:w="992" w:type="dxa"/>
            <w:vAlign w:val="center"/>
          </w:tcPr>
          <w:p w:rsidR="005B39D1" w:rsidRPr="007A7801" w:rsidRDefault="005B39D1" w:rsidP="00FC3062">
            <w:pPr>
              <w:jc w:val="center"/>
              <w:cnfStyle w:val="000000100000"/>
              <w:rPr>
                <w:sz w:val="22"/>
                <w:szCs w:val="22"/>
              </w:rPr>
            </w:pPr>
          </w:p>
        </w:tc>
      </w:tr>
      <w:tr w:rsidR="005B39D1" w:rsidRPr="007A7801" w:rsidTr="00FC3062">
        <w:trPr>
          <w:trHeight w:val="349"/>
        </w:trPr>
        <w:tc>
          <w:tcPr>
            <w:cnfStyle w:val="001000000000"/>
            <w:tcW w:w="3652" w:type="dxa"/>
          </w:tcPr>
          <w:p w:rsidR="005B39D1" w:rsidRPr="007A7801" w:rsidRDefault="005B39D1" w:rsidP="000F0134">
            <w:pPr>
              <w:tabs>
                <w:tab w:val="left" w:pos="360"/>
              </w:tabs>
              <w:ind w:left="284"/>
              <w:rPr>
                <w:sz w:val="22"/>
                <w:szCs w:val="22"/>
                <w:lang w:val="en-GB"/>
              </w:rPr>
            </w:pPr>
            <w:r w:rsidRPr="007A7801">
              <w:rPr>
                <w:sz w:val="22"/>
                <w:szCs w:val="22"/>
                <w:lang w:val="en-GB"/>
              </w:rPr>
              <w:t>% of population using eGovernment services</w:t>
            </w:r>
          </w:p>
        </w:tc>
        <w:tc>
          <w:tcPr>
            <w:tcW w:w="992" w:type="dxa"/>
            <w:vAlign w:val="center"/>
          </w:tcPr>
          <w:p w:rsidR="005B39D1" w:rsidRPr="007A7801" w:rsidDel="001E2DF3" w:rsidRDefault="005B39D1" w:rsidP="00FC3062">
            <w:pPr>
              <w:jc w:val="center"/>
              <w:cnfStyle w:val="000000000000"/>
              <w:rPr>
                <w:sz w:val="22"/>
                <w:szCs w:val="22"/>
              </w:rPr>
            </w:pPr>
            <w:r w:rsidRPr="007A7801">
              <w:rPr>
                <w:sz w:val="22"/>
                <w:szCs w:val="22"/>
              </w:rPr>
              <w:t>20</w:t>
            </w:r>
          </w:p>
        </w:tc>
        <w:tc>
          <w:tcPr>
            <w:tcW w:w="993" w:type="dxa"/>
            <w:vAlign w:val="center"/>
          </w:tcPr>
          <w:p w:rsidR="005B39D1" w:rsidRPr="007A7801" w:rsidDel="001E2DF3" w:rsidRDefault="005B39D1" w:rsidP="00FC3062">
            <w:pPr>
              <w:jc w:val="center"/>
              <w:cnfStyle w:val="000000000000"/>
              <w:rPr>
                <w:sz w:val="22"/>
                <w:szCs w:val="22"/>
              </w:rPr>
            </w:pPr>
            <w:r w:rsidRPr="007A7801">
              <w:rPr>
                <w:sz w:val="22"/>
                <w:szCs w:val="22"/>
              </w:rPr>
              <w:t>16</w:t>
            </w:r>
          </w:p>
        </w:tc>
        <w:tc>
          <w:tcPr>
            <w:tcW w:w="992" w:type="dxa"/>
            <w:vAlign w:val="center"/>
          </w:tcPr>
          <w:p w:rsidR="005B39D1" w:rsidRPr="007A7801" w:rsidDel="001E2DF3" w:rsidRDefault="005B39D1" w:rsidP="00FC3062">
            <w:pPr>
              <w:jc w:val="center"/>
              <w:cnfStyle w:val="000000000000"/>
              <w:rPr>
                <w:sz w:val="22"/>
                <w:szCs w:val="22"/>
              </w:rPr>
            </w:pPr>
          </w:p>
        </w:tc>
        <w:tc>
          <w:tcPr>
            <w:tcW w:w="849" w:type="dxa"/>
            <w:vAlign w:val="center"/>
          </w:tcPr>
          <w:p w:rsidR="005B39D1" w:rsidRPr="007A7801" w:rsidDel="001E2DF3" w:rsidRDefault="005B39D1" w:rsidP="00FC3062">
            <w:pPr>
              <w:jc w:val="center"/>
              <w:cnfStyle w:val="000000000000"/>
              <w:rPr>
                <w:sz w:val="22"/>
                <w:szCs w:val="22"/>
              </w:rPr>
            </w:pPr>
            <w:r w:rsidRPr="007A7801">
              <w:rPr>
                <w:sz w:val="22"/>
                <w:szCs w:val="22"/>
              </w:rPr>
              <w:t>30</w:t>
            </w:r>
          </w:p>
        </w:tc>
        <w:tc>
          <w:tcPr>
            <w:tcW w:w="994" w:type="dxa"/>
            <w:vAlign w:val="center"/>
          </w:tcPr>
          <w:p w:rsidR="005B39D1" w:rsidRPr="007A7801" w:rsidDel="001E2DF3" w:rsidRDefault="005B39D1" w:rsidP="00FC3062">
            <w:pPr>
              <w:jc w:val="center"/>
              <w:cnfStyle w:val="000000000000"/>
              <w:rPr>
                <w:sz w:val="22"/>
                <w:szCs w:val="22"/>
              </w:rPr>
            </w:pPr>
            <w:r w:rsidRPr="007A7801">
              <w:rPr>
                <w:sz w:val="22"/>
                <w:szCs w:val="22"/>
              </w:rPr>
              <w:t>22</w:t>
            </w:r>
          </w:p>
        </w:tc>
        <w:tc>
          <w:tcPr>
            <w:tcW w:w="992" w:type="dxa"/>
            <w:vAlign w:val="center"/>
          </w:tcPr>
          <w:p w:rsidR="005B39D1" w:rsidRPr="007A7801" w:rsidDel="001E2DF3" w:rsidRDefault="005B39D1" w:rsidP="00FC3062">
            <w:pPr>
              <w:jc w:val="center"/>
              <w:cnfStyle w:val="000000000000"/>
              <w:rPr>
                <w:sz w:val="22"/>
                <w:szCs w:val="22"/>
              </w:rPr>
            </w:pPr>
            <w:r w:rsidRPr="007A7801">
              <w:rPr>
                <w:sz w:val="22"/>
                <w:szCs w:val="22"/>
              </w:rPr>
              <w:t>20</w:t>
            </w:r>
          </w:p>
        </w:tc>
      </w:tr>
      <w:tr w:rsidR="005B39D1" w:rsidRPr="007A7801" w:rsidTr="00FC3062">
        <w:trPr>
          <w:cnfStyle w:val="000000100000"/>
          <w:trHeight w:val="349"/>
        </w:trPr>
        <w:tc>
          <w:tcPr>
            <w:cnfStyle w:val="001000000000"/>
            <w:tcW w:w="3652" w:type="dxa"/>
          </w:tcPr>
          <w:p w:rsidR="005B39D1" w:rsidRPr="007A7801" w:rsidRDefault="005B39D1" w:rsidP="000F0134">
            <w:pPr>
              <w:tabs>
                <w:tab w:val="left" w:pos="360"/>
              </w:tabs>
              <w:ind w:left="284"/>
              <w:rPr>
                <w:sz w:val="22"/>
                <w:szCs w:val="22"/>
                <w:lang w:val="en-GB"/>
              </w:rPr>
            </w:pPr>
            <w:r w:rsidRPr="007A7801">
              <w:rPr>
                <w:sz w:val="22"/>
                <w:szCs w:val="22"/>
                <w:lang w:val="en-GB"/>
              </w:rPr>
              <w:t>% of enterprises using eGovernment services</w:t>
            </w:r>
          </w:p>
        </w:tc>
        <w:tc>
          <w:tcPr>
            <w:tcW w:w="992" w:type="dxa"/>
            <w:vAlign w:val="center"/>
          </w:tcPr>
          <w:p w:rsidR="005B39D1" w:rsidRPr="007A7801" w:rsidRDefault="005B39D1" w:rsidP="00FC3062">
            <w:pPr>
              <w:jc w:val="center"/>
              <w:cnfStyle w:val="000000100000"/>
              <w:rPr>
                <w:sz w:val="22"/>
                <w:szCs w:val="22"/>
              </w:rPr>
            </w:pPr>
            <w:r w:rsidRPr="007A7801">
              <w:rPr>
                <w:sz w:val="22"/>
                <w:szCs w:val="22"/>
              </w:rPr>
              <w:t>54</w:t>
            </w:r>
          </w:p>
        </w:tc>
        <w:tc>
          <w:tcPr>
            <w:tcW w:w="993" w:type="dxa"/>
            <w:vAlign w:val="center"/>
          </w:tcPr>
          <w:p w:rsidR="005B39D1" w:rsidRPr="007A7801" w:rsidRDefault="005B39D1" w:rsidP="00FC3062">
            <w:pPr>
              <w:jc w:val="center"/>
              <w:cnfStyle w:val="000000100000"/>
              <w:rPr>
                <w:sz w:val="22"/>
                <w:szCs w:val="22"/>
              </w:rPr>
            </w:pPr>
            <w:r w:rsidRPr="007A7801">
              <w:rPr>
                <w:sz w:val="22"/>
                <w:szCs w:val="22"/>
              </w:rPr>
              <w:t>65</w:t>
            </w:r>
          </w:p>
        </w:tc>
        <w:tc>
          <w:tcPr>
            <w:tcW w:w="992" w:type="dxa"/>
            <w:vAlign w:val="center"/>
          </w:tcPr>
          <w:p w:rsidR="005B39D1" w:rsidRPr="007A7801" w:rsidRDefault="005B39D1" w:rsidP="00FC3062">
            <w:pPr>
              <w:jc w:val="center"/>
              <w:cnfStyle w:val="000000100000"/>
              <w:rPr>
                <w:sz w:val="22"/>
                <w:szCs w:val="22"/>
              </w:rPr>
            </w:pPr>
            <w:r w:rsidRPr="007A7801">
              <w:rPr>
                <w:sz w:val="22"/>
                <w:szCs w:val="22"/>
              </w:rPr>
              <w:t>68</w:t>
            </w:r>
          </w:p>
        </w:tc>
        <w:tc>
          <w:tcPr>
            <w:tcW w:w="849" w:type="dxa"/>
            <w:vAlign w:val="center"/>
          </w:tcPr>
          <w:p w:rsidR="005B39D1" w:rsidRPr="007A7801" w:rsidRDefault="005B39D1" w:rsidP="00FC3062">
            <w:pPr>
              <w:jc w:val="center"/>
              <w:cnfStyle w:val="000000100000"/>
              <w:rPr>
                <w:sz w:val="22"/>
                <w:szCs w:val="22"/>
              </w:rPr>
            </w:pPr>
            <w:r w:rsidRPr="007A7801">
              <w:rPr>
                <w:sz w:val="22"/>
                <w:szCs w:val="22"/>
              </w:rPr>
              <w:t>71</w:t>
            </w:r>
          </w:p>
        </w:tc>
        <w:tc>
          <w:tcPr>
            <w:tcW w:w="994" w:type="dxa"/>
            <w:vAlign w:val="center"/>
          </w:tcPr>
          <w:p w:rsidR="005B39D1" w:rsidRPr="007A7801" w:rsidRDefault="005B39D1" w:rsidP="00FC3062">
            <w:pPr>
              <w:jc w:val="center"/>
              <w:cnfStyle w:val="000000100000"/>
              <w:rPr>
                <w:sz w:val="22"/>
                <w:szCs w:val="22"/>
              </w:rPr>
            </w:pPr>
            <w:r w:rsidRPr="007A7801">
              <w:rPr>
                <w:sz w:val="22"/>
                <w:szCs w:val="22"/>
              </w:rPr>
              <w:t>72</w:t>
            </w:r>
          </w:p>
        </w:tc>
        <w:tc>
          <w:tcPr>
            <w:tcW w:w="992" w:type="dxa"/>
            <w:vAlign w:val="center"/>
          </w:tcPr>
          <w:p w:rsidR="005B39D1" w:rsidRPr="007A7801" w:rsidRDefault="005B39D1" w:rsidP="00FC3062">
            <w:pPr>
              <w:jc w:val="center"/>
              <w:cnfStyle w:val="000000100000"/>
              <w:rPr>
                <w:sz w:val="22"/>
                <w:szCs w:val="22"/>
              </w:rPr>
            </w:pPr>
            <w:r w:rsidRPr="007A7801">
              <w:rPr>
                <w:sz w:val="22"/>
                <w:szCs w:val="22"/>
              </w:rPr>
              <w:t>17</w:t>
            </w:r>
          </w:p>
        </w:tc>
      </w:tr>
    </w:tbl>
    <w:p w:rsidR="005B39D1" w:rsidRPr="007A7801" w:rsidRDefault="005B39D1" w:rsidP="005B39D1">
      <w:pPr>
        <w:pStyle w:val="astandard3520normal"/>
        <w:shd w:val="clear" w:color="auto" w:fill="FFFFFF"/>
        <w:spacing w:after="0"/>
        <w:rPr>
          <w:rFonts w:eastAsia="Calibri"/>
        </w:rPr>
      </w:pPr>
    </w:p>
    <w:p w:rsidR="005B39D1" w:rsidRPr="007A7801" w:rsidRDefault="005B39D1" w:rsidP="005B39D1">
      <w:pPr>
        <w:pStyle w:val="astandard3520normal"/>
        <w:shd w:val="clear" w:color="auto" w:fill="FFFFFF"/>
        <w:spacing w:after="0"/>
        <w:rPr>
          <w:rFonts w:eastAsia="Calibri"/>
        </w:rPr>
      </w:pPr>
      <w:r w:rsidRPr="007A7801">
        <w:rPr>
          <w:rFonts w:eastAsia="Calibri"/>
          <w:b/>
          <w:u w:val="single"/>
        </w:rPr>
        <w:t>Bottleneck</w:t>
      </w:r>
      <w:r w:rsidRPr="007A7801">
        <w:rPr>
          <w:rFonts w:eastAsia="Calibri"/>
          <w:u w:val="single"/>
        </w:rPr>
        <w:t>s</w:t>
      </w:r>
      <w:r w:rsidRPr="007A7801">
        <w:rPr>
          <w:rFonts w:eastAsia="Calibri"/>
        </w:rPr>
        <w:t xml:space="preserve">: </w:t>
      </w:r>
    </w:p>
    <w:p w:rsidR="005B39D1" w:rsidRPr="007A7801" w:rsidRDefault="005B39D1" w:rsidP="005B39D1">
      <w:pPr>
        <w:pStyle w:val="astandard3520normal"/>
        <w:shd w:val="clear" w:color="auto" w:fill="FFFFFF"/>
        <w:spacing w:after="0"/>
        <w:rPr>
          <w:rFonts w:eastAsia="Calibri"/>
        </w:rPr>
      </w:pPr>
    </w:p>
    <w:p w:rsidR="005B39D1" w:rsidRDefault="005B39D1" w:rsidP="001D09A7">
      <w:pPr>
        <w:pStyle w:val="IntenseQuote"/>
        <w:numPr>
          <w:ilvl w:val="0"/>
          <w:numId w:val="9"/>
        </w:numPr>
        <w:pBdr>
          <w:bottom w:val="none" w:sz="0" w:space="0" w:color="auto"/>
        </w:pBdr>
        <w:shd w:val="clear" w:color="auto" w:fill="FFFFFF"/>
        <w:autoSpaceDE w:val="0"/>
        <w:autoSpaceDN w:val="0"/>
        <w:adjustRightInd w:val="0"/>
        <w:spacing w:before="0" w:after="0" w:line="240" w:lineRule="auto"/>
        <w:ind w:left="284" w:right="0" w:hanging="284"/>
        <w:jc w:val="both"/>
        <w:rPr>
          <w:rFonts w:ascii="Times New Roman" w:hAnsi="Times New Roman" w:cs="Times New Roman"/>
          <w:b w:val="0"/>
          <w:i w:val="0"/>
          <w:color w:val="auto"/>
          <w:sz w:val="24"/>
          <w:szCs w:val="24"/>
        </w:rPr>
      </w:pPr>
      <w:r w:rsidRPr="00F0709B">
        <w:rPr>
          <w:rFonts w:ascii="Times New Roman" w:hAnsi="Times New Roman" w:cs="Times New Roman"/>
          <w:i w:val="0"/>
          <w:color w:val="auto"/>
          <w:sz w:val="24"/>
          <w:szCs w:val="24"/>
          <w:lang w:eastAsia="el-GR"/>
        </w:rPr>
        <w:t>Usage of eGovernment Services:</w:t>
      </w:r>
      <w:r w:rsidRPr="00F0709B">
        <w:rPr>
          <w:rFonts w:ascii="Times New Roman" w:hAnsi="Times New Roman" w:cs="Times New Roman"/>
          <w:b w:val="0"/>
          <w:color w:val="auto"/>
          <w:sz w:val="24"/>
          <w:szCs w:val="24"/>
          <w:lang w:eastAsia="el-GR"/>
        </w:rPr>
        <w:t xml:space="preserve"> </w:t>
      </w:r>
      <w:r w:rsidRPr="00F0709B">
        <w:rPr>
          <w:rFonts w:ascii="Times New Roman" w:hAnsi="Times New Roman" w:cs="Times New Roman"/>
          <w:b w:val="0"/>
          <w:i w:val="0"/>
          <w:color w:val="auto"/>
          <w:sz w:val="24"/>
          <w:szCs w:val="24"/>
        </w:rPr>
        <w:t>The supply of e-government services in Cyprus is still below average compared to EU-27</w:t>
      </w:r>
      <w:r w:rsidR="005B5BA6">
        <w:rPr>
          <w:rFonts w:ascii="Times New Roman" w:hAnsi="Times New Roman" w:cs="Times New Roman"/>
          <w:b w:val="0"/>
          <w:i w:val="0"/>
          <w:color w:val="auto"/>
          <w:sz w:val="24"/>
          <w:szCs w:val="24"/>
        </w:rPr>
        <w:t xml:space="preserve"> </w:t>
      </w:r>
      <w:r w:rsidRPr="00F0709B">
        <w:rPr>
          <w:rFonts w:ascii="Times New Roman" w:hAnsi="Times New Roman" w:cs="Times New Roman"/>
          <w:b w:val="0"/>
          <w:i w:val="0"/>
          <w:color w:val="auto"/>
          <w:sz w:val="24"/>
          <w:szCs w:val="24"/>
        </w:rPr>
        <w:t xml:space="preserve">(see </w:t>
      </w:r>
      <w:r w:rsidR="007A704B">
        <w:rPr>
          <w:rFonts w:ascii="Times New Roman" w:hAnsi="Times New Roman" w:cs="Times New Roman"/>
          <w:b w:val="0"/>
          <w:i w:val="0"/>
          <w:color w:val="auto"/>
          <w:sz w:val="24"/>
          <w:szCs w:val="24"/>
        </w:rPr>
        <w:t>Table 2</w:t>
      </w:r>
      <w:r w:rsidR="001406A8" w:rsidRPr="00F0709B">
        <w:rPr>
          <w:rFonts w:ascii="Times New Roman" w:hAnsi="Times New Roman" w:cs="Times New Roman"/>
          <w:b w:val="0"/>
          <w:i w:val="0"/>
          <w:color w:val="auto"/>
          <w:sz w:val="24"/>
          <w:szCs w:val="24"/>
        </w:rPr>
        <w:t xml:space="preserve"> above</w:t>
      </w:r>
      <w:r w:rsidRPr="007A7801">
        <w:rPr>
          <w:rStyle w:val="FootnoteReference"/>
          <w:rFonts w:ascii="Times New Roman" w:hAnsi="Times New Roman" w:cs="Times New Roman"/>
          <w:i w:val="0"/>
          <w:color w:val="auto"/>
          <w:sz w:val="24"/>
          <w:szCs w:val="24"/>
        </w:rPr>
        <w:footnoteReference w:id="2"/>
      </w:r>
      <w:r w:rsidRPr="00F0709B">
        <w:rPr>
          <w:rFonts w:ascii="Times New Roman" w:hAnsi="Times New Roman" w:cs="Times New Roman"/>
          <w:b w:val="0"/>
          <w:i w:val="0"/>
          <w:color w:val="auto"/>
          <w:sz w:val="24"/>
          <w:szCs w:val="24"/>
        </w:rPr>
        <w:t xml:space="preserve">), </w:t>
      </w:r>
      <w:r w:rsidRPr="00F0709B">
        <w:rPr>
          <w:rFonts w:ascii="Times New Roman" w:eastAsia="Calibri" w:hAnsi="Times New Roman" w:cs="Times New Roman"/>
          <w:b w:val="0"/>
          <w:i w:val="0"/>
          <w:color w:val="auto"/>
          <w:sz w:val="24"/>
          <w:szCs w:val="24"/>
        </w:rPr>
        <w:t>but there is a noteworthy</w:t>
      </w:r>
      <w:r w:rsidRPr="00F0709B">
        <w:rPr>
          <w:rFonts w:ascii="Times New Roman" w:hAnsi="Times New Roman" w:cs="Times New Roman"/>
          <w:b w:val="0"/>
          <w:i w:val="0"/>
          <w:color w:val="auto"/>
          <w:sz w:val="24"/>
          <w:szCs w:val="24"/>
        </w:rPr>
        <w:t xml:space="preserve"> improvement in electronic </w:t>
      </w:r>
      <w:r w:rsidRPr="00F0709B">
        <w:rPr>
          <w:rFonts w:ascii="Times New Roman" w:eastAsia="Calibri" w:hAnsi="Times New Roman" w:cs="Times New Roman"/>
          <w:b w:val="0"/>
          <w:i w:val="0"/>
          <w:color w:val="auto"/>
          <w:sz w:val="24"/>
          <w:szCs w:val="24"/>
        </w:rPr>
        <w:t>public services offered to citizens and enterprises</w:t>
      </w:r>
      <w:r w:rsidRPr="00F0709B">
        <w:rPr>
          <w:rFonts w:ascii="Times New Roman" w:hAnsi="Times New Roman" w:cs="Times New Roman"/>
          <w:b w:val="0"/>
          <w:i w:val="0"/>
          <w:color w:val="auto"/>
          <w:sz w:val="24"/>
          <w:szCs w:val="24"/>
        </w:rPr>
        <w:t xml:space="preserve">. The major problem lies on the demand of e-government services which is even lower compared to the EU-27 average. Therefore Cyprus should continue to promote further the supply of e-government services, but emphasis should be placed on increasing the demand of e-government services. </w:t>
      </w:r>
    </w:p>
    <w:p w:rsidR="009C76E0" w:rsidRDefault="009C76E0" w:rsidP="00F0709B">
      <w:pPr>
        <w:sectPr w:rsidR="009C76E0" w:rsidSect="00F0709B">
          <w:type w:val="continuous"/>
          <w:pgSz w:w="12240" w:h="15840"/>
          <w:pgMar w:top="1560" w:right="1440" w:bottom="1296" w:left="1440" w:header="720" w:footer="720" w:gutter="0"/>
          <w:cols w:space="720"/>
          <w:titlePg/>
          <w:docGrid w:linePitch="360"/>
        </w:sectPr>
      </w:pPr>
    </w:p>
    <w:p w:rsidR="001406A8" w:rsidRPr="007A7801" w:rsidRDefault="00EE699F" w:rsidP="001406A8">
      <w:pPr>
        <w:spacing w:before="120"/>
        <w:rPr>
          <w:b/>
          <w:i/>
        </w:rPr>
      </w:pPr>
      <w:r>
        <w:rPr>
          <w:b/>
          <w:i/>
        </w:rPr>
        <w:lastRenderedPageBreak/>
        <w:t xml:space="preserve">Figure </w:t>
      </w:r>
      <w:r w:rsidR="007A704B">
        <w:rPr>
          <w:b/>
          <w:i/>
        </w:rPr>
        <w:t>2</w:t>
      </w:r>
      <w:r w:rsidR="005B39D1" w:rsidRPr="007A7801">
        <w:rPr>
          <w:b/>
          <w:i/>
        </w:rPr>
        <w:t xml:space="preserve">: Full online availability of the basic public services </w:t>
      </w:r>
    </w:p>
    <w:p w:rsidR="001A26E2" w:rsidRPr="001A26E2" w:rsidRDefault="001A26E2" w:rsidP="001A26E2">
      <w:pPr>
        <w:ind w:left="-284"/>
        <w:rPr>
          <w:noProof/>
          <w:lang w:eastAsia="el-GR"/>
        </w:rPr>
      </w:pPr>
      <w:r w:rsidRPr="001A26E2">
        <w:rPr>
          <w:noProof/>
        </w:rPr>
        <w:drawing>
          <wp:inline distT="0" distB="0" distL="0" distR="0">
            <wp:extent cx="5943600" cy="30003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t="9509"/>
                    <a:stretch>
                      <a:fillRect/>
                    </a:stretch>
                  </pic:blipFill>
                  <pic:spPr bwMode="auto">
                    <a:xfrm>
                      <a:off x="0" y="0"/>
                      <a:ext cx="5943600" cy="3000375"/>
                    </a:xfrm>
                    <a:prstGeom prst="rect">
                      <a:avLst/>
                    </a:prstGeom>
                    <a:noFill/>
                    <a:ln w="9525">
                      <a:noFill/>
                      <a:miter lim="800000"/>
                      <a:headEnd/>
                      <a:tailEnd/>
                    </a:ln>
                  </pic:spPr>
                </pic:pic>
              </a:graphicData>
            </a:graphic>
          </wp:inline>
        </w:drawing>
      </w:r>
    </w:p>
    <w:p w:rsidR="005B39D1" w:rsidRPr="007A7801" w:rsidRDefault="005B39D1" w:rsidP="005B39D1">
      <w:pPr>
        <w:jc w:val="center"/>
      </w:pPr>
    </w:p>
    <w:p w:rsidR="009C76E0" w:rsidRDefault="005B39D1" w:rsidP="001D09A7">
      <w:pPr>
        <w:pStyle w:val="ListParagraph"/>
        <w:numPr>
          <w:ilvl w:val="0"/>
          <w:numId w:val="21"/>
        </w:numPr>
        <w:autoSpaceDE w:val="0"/>
        <w:autoSpaceDN w:val="0"/>
        <w:adjustRightInd w:val="0"/>
        <w:ind w:left="284" w:hanging="284"/>
        <w:contextualSpacing/>
        <w:jc w:val="both"/>
        <w:rPr>
          <w:lang w:eastAsia="el-GR"/>
        </w:rPr>
        <w:sectPr w:rsidR="009C76E0" w:rsidSect="00F0709B">
          <w:type w:val="continuous"/>
          <w:pgSz w:w="12240" w:h="15840"/>
          <w:pgMar w:top="1560" w:right="1440" w:bottom="1296" w:left="1440" w:header="720" w:footer="720" w:gutter="0"/>
          <w:cols w:space="720"/>
          <w:titlePg/>
          <w:docGrid w:linePitch="360"/>
        </w:sectPr>
      </w:pPr>
      <w:r w:rsidRPr="007A7801">
        <w:rPr>
          <w:b/>
          <w:lang w:eastAsia="el-GR"/>
        </w:rPr>
        <w:t xml:space="preserve">Broadband growth, coverage and speed: </w:t>
      </w:r>
      <w:r w:rsidRPr="007A7801">
        <w:rPr>
          <w:lang w:eastAsia="el-GR"/>
        </w:rPr>
        <w:t>(i) Even though broadband penetration grew considerably to 23,3%  in 2010 compared to 13,8% in 2007, broadband penetration in Cyprus still stands below the EU average of 25,6%</w:t>
      </w:r>
      <w:r w:rsidR="00F14D16">
        <w:rPr>
          <w:lang w:eastAsia="el-GR"/>
        </w:rPr>
        <w:t xml:space="preserve"> </w:t>
      </w:r>
      <w:r w:rsidRPr="007A7801">
        <w:rPr>
          <w:lang w:eastAsia="el-GR"/>
        </w:rPr>
        <w:t xml:space="preserve">(see </w:t>
      </w:r>
      <w:r w:rsidR="007A704B">
        <w:rPr>
          <w:lang w:eastAsia="el-GR"/>
        </w:rPr>
        <w:t>Figure 3</w:t>
      </w:r>
      <w:r w:rsidRPr="007A7801">
        <w:rPr>
          <w:lang w:eastAsia="el-GR"/>
        </w:rPr>
        <w:t xml:space="preserve"> below</w:t>
      </w:r>
      <w:r w:rsidRPr="007A7801">
        <w:rPr>
          <w:rStyle w:val="FootnoteReference"/>
          <w:lang w:eastAsia="el-GR"/>
        </w:rPr>
        <w:footnoteReference w:id="3"/>
      </w:r>
      <w:r w:rsidRPr="007A7801">
        <w:rPr>
          <w:lang w:eastAsia="el-GR"/>
        </w:rPr>
        <w:t xml:space="preserve">). The situation concerning household penetration though is better </w:t>
      </w:r>
      <w:r w:rsidRPr="00C32C9F">
        <w:rPr>
          <w:lang w:eastAsia="el-GR"/>
        </w:rPr>
        <w:t>at 64% (</w:t>
      </w:r>
      <w:r w:rsidRPr="007A7801">
        <w:rPr>
          <w:lang w:eastAsia="el-GR"/>
        </w:rPr>
        <w:t>the figures provided in the Report for Cyprus are wrong)</w:t>
      </w:r>
      <w:r w:rsidR="0029235D">
        <w:rPr>
          <w:lang w:eastAsia="el-GR"/>
        </w:rPr>
        <w:t>.</w:t>
      </w:r>
      <w:r w:rsidRPr="007A7801">
        <w:rPr>
          <w:lang w:eastAsia="el-GR"/>
        </w:rPr>
        <w:t xml:space="preserve"> (ii) </w:t>
      </w:r>
      <w:r w:rsidR="0029235D">
        <w:rPr>
          <w:lang w:eastAsia="el-GR"/>
        </w:rPr>
        <w:t>T</w:t>
      </w:r>
      <w:r w:rsidRPr="007A7801">
        <w:rPr>
          <w:lang w:eastAsia="el-GR"/>
        </w:rPr>
        <w:t xml:space="preserve">he incumbent maintains its strong share in the broadband market (of 80% in July 2009). Although there are regulatory measures in place, such as LLU and </w:t>
      </w:r>
      <w:r w:rsidR="001406A8" w:rsidRPr="007A7801">
        <w:rPr>
          <w:lang w:eastAsia="el-GR"/>
        </w:rPr>
        <w:t>bit stream</w:t>
      </w:r>
      <w:r w:rsidRPr="007A7801">
        <w:rPr>
          <w:lang w:eastAsia="el-GR"/>
        </w:rPr>
        <w:t xml:space="preserve"> access, that allow alternative operators if they so wish to compete in the rural areas, the incumbent is the only operator that offers services in these areas, so far, </w:t>
      </w:r>
      <w:r w:rsidR="0029235D">
        <w:rPr>
          <w:lang w:eastAsia="el-GR"/>
        </w:rPr>
        <w:t xml:space="preserve">even </w:t>
      </w:r>
      <w:r w:rsidRPr="007A7801">
        <w:rPr>
          <w:lang w:eastAsia="el-GR"/>
        </w:rPr>
        <w:t xml:space="preserve">though alternative operators have expressed their interest in using </w:t>
      </w:r>
      <w:r w:rsidR="001406A8" w:rsidRPr="007A7801">
        <w:rPr>
          <w:lang w:eastAsia="el-GR"/>
        </w:rPr>
        <w:t>bit stream</w:t>
      </w:r>
      <w:r w:rsidRPr="007A7801">
        <w:rPr>
          <w:lang w:eastAsia="el-GR"/>
        </w:rPr>
        <w:t xml:space="preserve"> access to serve rural areas. (iii) While in January 2010 the majority of fixed broadband lines were bel</w:t>
      </w:r>
      <w:r w:rsidR="00C32C9F">
        <w:rPr>
          <w:lang w:eastAsia="el-GR"/>
        </w:rPr>
        <w:t>ow 2 Mbps (74,7%) and around 25,</w:t>
      </w:r>
      <w:r w:rsidRPr="007A7801">
        <w:rPr>
          <w:lang w:eastAsia="el-GR"/>
        </w:rPr>
        <w:t xml:space="preserve">2% of the total lines were in the range of 2-10 Mbps, thereby ranking Cyprus as one of the EU countries with low broadband access speeds being offered to the market, currently, new offerings of up to 40Mbps, considerably change this outlook. (iv) Although DSL broadband coverage (as % of total population) in rural areas was only 30% in 2009 and </w:t>
      </w:r>
      <w:r w:rsidR="006F7942">
        <w:rPr>
          <w:lang w:eastAsia="el-GR"/>
        </w:rPr>
        <w:t>well below the EU average of 79,</w:t>
      </w:r>
      <w:r w:rsidRPr="007A7801">
        <w:rPr>
          <w:lang w:eastAsia="el-GR"/>
        </w:rPr>
        <w:t>7%, the incumbent has been rolling out fiber optic network infrastructure that will enable offerings of at least 2Mbps to every community in Cyprus by 3Q2011. (v) While the median monthly cost for data download</w:t>
      </w:r>
      <w:r w:rsidR="00C32C9F">
        <w:rPr>
          <w:lang w:eastAsia="el-GR"/>
        </w:rPr>
        <w:t xml:space="preserve"> between 2Mbps and 4Μbps was €26,</w:t>
      </w:r>
      <w:r w:rsidRPr="007A7801">
        <w:rPr>
          <w:lang w:eastAsia="el-GR"/>
        </w:rPr>
        <w:t>65 in the EU in December 2009, in Cyprus the minimum offering by the incumbent (512/256kbps) is about 33 euro per month (includes monthly rental for fixed line access, DSL service access and ISP services), while there are offerings by alternative operators in the range of 39 euro per month (internet and telephony - 4Mbps/512kbps) and triple play offerings with internet speeds 3Mbps/768kbps for 29 euro per month</w:t>
      </w:r>
      <w:r w:rsidR="00F14D16">
        <w:rPr>
          <w:lang w:eastAsia="el-GR"/>
        </w:rPr>
        <w:t>.</w:t>
      </w:r>
      <w:r w:rsidRPr="007A7801">
        <w:rPr>
          <w:lang w:eastAsia="el-GR"/>
        </w:rPr>
        <w:t xml:space="preserve"> (vi)</w:t>
      </w:r>
      <w:r w:rsidR="0029235D">
        <w:rPr>
          <w:lang w:eastAsia="el-GR"/>
        </w:rPr>
        <w:t xml:space="preserve"> A recent study by OCECPR shows that households in the rural areas of Cyprus are much less able and </w:t>
      </w:r>
    </w:p>
    <w:p w:rsidR="00F0709B" w:rsidRDefault="0029235D" w:rsidP="009C76E0">
      <w:pPr>
        <w:autoSpaceDE w:val="0"/>
        <w:autoSpaceDN w:val="0"/>
        <w:adjustRightInd w:val="0"/>
        <w:ind w:left="284"/>
        <w:contextualSpacing/>
        <w:jc w:val="both"/>
        <w:rPr>
          <w:lang w:eastAsia="el-GR"/>
        </w:rPr>
        <w:sectPr w:rsidR="00F0709B" w:rsidSect="00F0709B">
          <w:type w:val="continuous"/>
          <w:pgSz w:w="12240" w:h="15840"/>
          <w:pgMar w:top="1560" w:right="1440" w:bottom="1296" w:left="1440" w:header="720" w:footer="720" w:gutter="0"/>
          <w:cols w:space="720"/>
          <w:titlePg/>
          <w:docGrid w:linePitch="360"/>
        </w:sectPr>
      </w:pPr>
      <w:r>
        <w:rPr>
          <w:lang w:eastAsia="el-GR"/>
        </w:rPr>
        <w:lastRenderedPageBreak/>
        <w:t xml:space="preserve">willing to pay for broadband services compared to households in urban areas. These findings focus on the need for actions that will result in increased broadband penetration, take-up of services, reduced broadband prices, increased competition in the rural areas. </w:t>
      </w:r>
    </w:p>
    <w:p w:rsidR="00F0709B" w:rsidRDefault="00F0709B" w:rsidP="001A26E2">
      <w:pPr>
        <w:autoSpaceDE w:val="0"/>
        <w:autoSpaceDN w:val="0"/>
        <w:adjustRightInd w:val="0"/>
        <w:contextualSpacing/>
        <w:jc w:val="both"/>
        <w:rPr>
          <w:lang w:eastAsia="el-GR"/>
        </w:rPr>
        <w:sectPr w:rsidR="00F0709B" w:rsidSect="00F0709B">
          <w:type w:val="continuous"/>
          <w:pgSz w:w="12240" w:h="15840"/>
          <w:pgMar w:top="1560" w:right="1440" w:bottom="1296" w:left="1440" w:header="720" w:footer="720" w:gutter="0"/>
          <w:cols w:space="720"/>
          <w:titlePg/>
          <w:docGrid w:linePitch="360"/>
        </w:sectPr>
      </w:pPr>
    </w:p>
    <w:p w:rsidR="005B39D1" w:rsidRPr="007A7801" w:rsidRDefault="005B39D1" w:rsidP="001A26E2">
      <w:pPr>
        <w:shd w:val="clear" w:color="auto" w:fill="FFFFFF"/>
        <w:autoSpaceDE w:val="0"/>
        <w:autoSpaceDN w:val="0"/>
        <w:adjustRightInd w:val="0"/>
        <w:jc w:val="both"/>
        <w:rPr>
          <w:rFonts w:eastAsia="Calibri"/>
        </w:rPr>
      </w:pPr>
    </w:p>
    <w:p w:rsidR="005B39D1" w:rsidRPr="007A7801" w:rsidRDefault="001406A8" w:rsidP="005B39D1">
      <w:pPr>
        <w:shd w:val="clear" w:color="auto" w:fill="FFFFFF"/>
        <w:autoSpaceDE w:val="0"/>
        <w:autoSpaceDN w:val="0"/>
        <w:adjustRightInd w:val="0"/>
        <w:ind w:left="284" w:hanging="284"/>
        <w:jc w:val="both"/>
        <w:rPr>
          <w:rFonts w:eastAsia="Calibri"/>
          <w:i/>
        </w:rPr>
      </w:pPr>
      <w:r w:rsidRPr="007A7801">
        <w:rPr>
          <w:b/>
          <w:i/>
        </w:rPr>
        <w:t>Figure</w:t>
      </w:r>
      <w:r w:rsidR="00EE699F">
        <w:rPr>
          <w:b/>
          <w:i/>
        </w:rPr>
        <w:t xml:space="preserve"> </w:t>
      </w:r>
      <w:r w:rsidR="007A704B">
        <w:rPr>
          <w:b/>
          <w:i/>
        </w:rPr>
        <w:t>3</w:t>
      </w:r>
      <w:r w:rsidR="005B39D1" w:rsidRPr="007A7801">
        <w:rPr>
          <w:b/>
          <w:i/>
        </w:rPr>
        <w:t xml:space="preserve">: Fixed Broadband Penetration, July 2010 </w:t>
      </w:r>
    </w:p>
    <w:p w:rsidR="005B39D1" w:rsidRDefault="005B39D1" w:rsidP="00D97677">
      <w:pPr>
        <w:shd w:val="clear" w:color="auto" w:fill="FFFFFF"/>
        <w:autoSpaceDE w:val="0"/>
        <w:autoSpaceDN w:val="0"/>
        <w:adjustRightInd w:val="0"/>
        <w:ind w:left="-142"/>
        <w:jc w:val="both"/>
        <w:rPr>
          <w:rFonts w:eastAsia="Calibri"/>
          <w:noProof/>
          <w:lang w:eastAsia="el-GR"/>
        </w:rPr>
      </w:pPr>
    </w:p>
    <w:p w:rsidR="001A26E2" w:rsidRDefault="001A26E2" w:rsidP="00D97677">
      <w:pPr>
        <w:shd w:val="clear" w:color="auto" w:fill="FFFFFF"/>
        <w:autoSpaceDE w:val="0"/>
        <w:autoSpaceDN w:val="0"/>
        <w:adjustRightInd w:val="0"/>
        <w:ind w:left="-142"/>
        <w:jc w:val="both"/>
        <w:rPr>
          <w:rFonts w:eastAsia="Calibri"/>
          <w:noProof/>
          <w:lang w:eastAsia="el-GR"/>
        </w:rPr>
      </w:pPr>
      <w:r w:rsidRPr="001A26E2">
        <w:rPr>
          <w:rFonts w:eastAsia="Calibri"/>
          <w:noProof/>
        </w:rPr>
        <w:drawing>
          <wp:inline distT="0" distB="0" distL="0" distR="0">
            <wp:extent cx="5942937" cy="2954738"/>
            <wp:effectExtent l="57150" t="19050" r="1971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l="735" t="8765" r="1577" b="3316"/>
                    <a:stretch>
                      <a:fillRect/>
                    </a:stretch>
                  </pic:blipFill>
                  <pic:spPr bwMode="auto">
                    <a:xfrm>
                      <a:off x="0" y="0"/>
                      <a:ext cx="5943600" cy="2955068"/>
                    </a:xfrm>
                    <a:prstGeom prst="rect">
                      <a:avLst/>
                    </a:prstGeom>
                    <a:solidFill>
                      <a:srgbClr val="FFFFFF">
                        <a:shade val="85000"/>
                      </a:srgbClr>
                    </a:solidFill>
                    <a:ln w="88900" cap="sq">
                      <a:noFill/>
                      <a:miter lim="800000"/>
                    </a:ln>
                    <a:effectLst/>
                    <a:scene3d>
                      <a:camera prst="orthographicFront">
                        <a:rot lat="0" lon="0" rev="0"/>
                      </a:camera>
                      <a:lightRig rig="contrasting" dir="t">
                        <a:rot lat="0" lon="0" rev="7800000"/>
                      </a:lightRig>
                    </a:scene3d>
                    <a:sp3d>
                      <a:bevelT w="139700" h="139700"/>
                    </a:sp3d>
                  </pic:spPr>
                </pic:pic>
              </a:graphicData>
            </a:graphic>
          </wp:inline>
        </w:drawing>
      </w:r>
    </w:p>
    <w:p w:rsidR="005B39D1" w:rsidRPr="007A7801" w:rsidRDefault="005B39D1" w:rsidP="005B39D1">
      <w:pPr>
        <w:rPr>
          <w:b/>
        </w:rPr>
      </w:pPr>
    </w:p>
    <w:p w:rsidR="005B39D1" w:rsidRPr="007A7801" w:rsidRDefault="005B39D1" w:rsidP="001D09A7">
      <w:pPr>
        <w:pStyle w:val="IntenseQuote"/>
        <w:numPr>
          <w:ilvl w:val="0"/>
          <w:numId w:val="9"/>
        </w:numPr>
        <w:pBdr>
          <w:bottom w:val="none" w:sz="0" w:space="0" w:color="auto"/>
        </w:pBdr>
        <w:shd w:val="clear" w:color="auto" w:fill="FFFFFF"/>
        <w:autoSpaceDE w:val="0"/>
        <w:autoSpaceDN w:val="0"/>
        <w:adjustRightInd w:val="0"/>
        <w:spacing w:before="0" w:after="0" w:line="240" w:lineRule="auto"/>
        <w:ind w:left="284" w:right="0" w:hanging="284"/>
        <w:jc w:val="both"/>
        <w:rPr>
          <w:rFonts w:ascii="Times New Roman" w:hAnsi="Times New Roman" w:cs="Times New Roman"/>
          <w:i w:val="0"/>
          <w:color w:val="auto"/>
          <w:sz w:val="24"/>
          <w:szCs w:val="24"/>
        </w:rPr>
      </w:pPr>
      <w:r w:rsidRPr="007A7801">
        <w:rPr>
          <w:rFonts w:ascii="Times New Roman" w:hAnsi="Times New Roman" w:cs="Times New Roman"/>
          <w:i w:val="0"/>
          <w:color w:val="auto"/>
          <w:sz w:val="24"/>
          <w:szCs w:val="24"/>
          <w:lang w:eastAsia="el-GR"/>
        </w:rPr>
        <w:t xml:space="preserve">Internet take-up and use: </w:t>
      </w:r>
      <w:r w:rsidRPr="007A7801">
        <w:rPr>
          <w:rFonts w:ascii="Times New Roman" w:hAnsi="Times New Roman" w:cs="Times New Roman"/>
          <w:b w:val="0"/>
          <w:i w:val="0"/>
          <w:color w:val="auto"/>
          <w:sz w:val="24"/>
          <w:szCs w:val="24"/>
        </w:rPr>
        <w:t xml:space="preserve">The analysis of the </w:t>
      </w:r>
      <w:r w:rsidRPr="007A7801">
        <w:rPr>
          <w:rFonts w:ascii="Times New Roman" w:eastAsia="Calibri" w:hAnsi="Times New Roman" w:cs="Times New Roman"/>
          <w:b w:val="0"/>
          <w:i w:val="0"/>
          <w:color w:val="auto"/>
          <w:sz w:val="24"/>
          <w:szCs w:val="24"/>
          <w:lang w:eastAsia="el-GR"/>
        </w:rPr>
        <w:t>Internet take-up and use</w:t>
      </w:r>
      <w:r w:rsidRPr="007A7801">
        <w:rPr>
          <w:rFonts w:ascii="Times New Roman" w:eastAsia="Calibri" w:hAnsi="Times New Roman" w:cs="Times New Roman"/>
          <w:b w:val="0"/>
          <w:i w:val="0"/>
          <w:color w:val="auto"/>
          <w:sz w:val="24"/>
          <w:szCs w:val="24"/>
        </w:rPr>
        <w:t xml:space="preserve"> </w:t>
      </w:r>
      <w:r w:rsidRPr="007A7801">
        <w:rPr>
          <w:rFonts w:ascii="Times New Roman" w:hAnsi="Times New Roman" w:cs="Times New Roman"/>
          <w:b w:val="0"/>
          <w:i w:val="0"/>
          <w:color w:val="auto"/>
          <w:sz w:val="24"/>
          <w:szCs w:val="24"/>
        </w:rPr>
        <w:t>indicators</w:t>
      </w:r>
      <w:r w:rsidRPr="007A7801">
        <w:rPr>
          <w:rFonts w:ascii="Times New Roman" w:eastAsia="Calibri" w:hAnsi="Times New Roman" w:cs="Times New Roman"/>
          <w:b w:val="0"/>
          <w:i w:val="0"/>
          <w:color w:val="auto"/>
          <w:sz w:val="24"/>
          <w:szCs w:val="24"/>
        </w:rPr>
        <w:t xml:space="preserve"> has shown</w:t>
      </w:r>
      <w:r w:rsidRPr="007A7801">
        <w:rPr>
          <w:rFonts w:ascii="Times New Roman" w:hAnsi="Times New Roman" w:cs="Times New Roman"/>
          <w:b w:val="0"/>
          <w:i w:val="0"/>
          <w:color w:val="auto"/>
          <w:sz w:val="24"/>
          <w:szCs w:val="24"/>
        </w:rPr>
        <w:t xml:space="preserve"> that Cyprus should</w:t>
      </w:r>
      <w:r w:rsidRPr="007A7801">
        <w:rPr>
          <w:rFonts w:ascii="Times New Roman" w:eastAsia="Calibri" w:hAnsi="Times New Roman" w:cs="Times New Roman"/>
          <w:b w:val="0"/>
          <w:i w:val="0"/>
          <w:color w:val="auto"/>
          <w:sz w:val="24"/>
          <w:szCs w:val="24"/>
        </w:rPr>
        <w:t xml:space="preserve"> focus on actions</w:t>
      </w:r>
      <w:r w:rsidRPr="007A7801">
        <w:rPr>
          <w:rFonts w:ascii="Times New Roman" w:hAnsi="Times New Roman" w:cs="Times New Roman"/>
          <w:b w:val="0"/>
          <w:i w:val="0"/>
          <w:color w:val="auto"/>
          <w:sz w:val="24"/>
          <w:szCs w:val="24"/>
        </w:rPr>
        <w:t xml:space="preserve"> to increase people’s awareness of the benefits of using the Internet.</w:t>
      </w:r>
      <w:r w:rsidRPr="007A7801">
        <w:rPr>
          <w:rFonts w:ascii="Times New Roman" w:hAnsi="Times New Roman" w:cs="Times New Roman"/>
          <w:i w:val="0"/>
          <w:color w:val="auto"/>
          <w:sz w:val="24"/>
          <w:szCs w:val="24"/>
        </w:rPr>
        <w:t xml:space="preserve"> </w:t>
      </w:r>
    </w:p>
    <w:p w:rsidR="005B39D1" w:rsidRPr="007A7801" w:rsidRDefault="005B39D1" w:rsidP="005B39D1">
      <w:pPr>
        <w:shd w:val="clear" w:color="auto" w:fill="FFFFFF"/>
        <w:autoSpaceDE w:val="0"/>
        <w:autoSpaceDN w:val="0"/>
        <w:adjustRightInd w:val="0"/>
        <w:ind w:left="284" w:hanging="284"/>
        <w:jc w:val="both"/>
      </w:pPr>
    </w:p>
    <w:p w:rsidR="005B39D1" w:rsidRPr="007A7801" w:rsidRDefault="005B39D1" w:rsidP="001D09A7">
      <w:pPr>
        <w:pStyle w:val="IntenseQuote"/>
        <w:numPr>
          <w:ilvl w:val="0"/>
          <w:numId w:val="9"/>
        </w:numPr>
        <w:pBdr>
          <w:bottom w:val="none" w:sz="0" w:space="0" w:color="auto"/>
        </w:pBdr>
        <w:spacing w:before="0" w:after="0" w:line="240" w:lineRule="auto"/>
        <w:ind w:left="284" w:right="0" w:hanging="284"/>
        <w:jc w:val="both"/>
        <w:rPr>
          <w:rFonts w:ascii="Times New Roman" w:hAnsi="Times New Roman" w:cs="Times New Roman"/>
          <w:i w:val="0"/>
          <w:color w:val="auto"/>
          <w:sz w:val="24"/>
          <w:szCs w:val="24"/>
        </w:rPr>
      </w:pPr>
      <w:r w:rsidRPr="007A7801">
        <w:rPr>
          <w:rFonts w:ascii="Times New Roman" w:hAnsi="Times New Roman" w:cs="Times New Roman"/>
          <w:i w:val="0"/>
          <w:color w:val="auto"/>
          <w:sz w:val="24"/>
          <w:szCs w:val="24"/>
          <w:lang w:eastAsia="el-GR"/>
        </w:rPr>
        <w:t xml:space="preserve">Online Commerce and eTransactions: </w:t>
      </w:r>
      <w:r w:rsidRPr="007A7801">
        <w:rPr>
          <w:rFonts w:ascii="Times New Roman" w:hAnsi="Times New Roman" w:cs="Times New Roman"/>
          <w:b w:val="0"/>
          <w:i w:val="0"/>
          <w:color w:val="auto"/>
          <w:sz w:val="24"/>
          <w:szCs w:val="24"/>
        </w:rPr>
        <w:t>The use of ICT and the usage of basic internet applications and electronic transactions from the enterprises in Cyprus are also below the EU-27 average; therefore Cyprus should f</w:t>
      </w:r>
      <w:r w:rsidRPr="007A7801">
        <w:rPr>
          <w:rFonts w:ascii="Times New Roman" w:eastAsia="Calibri" w:hAnsi="Times New Roman" w:cs="Times New Roman"/>
          <w:b w:val="0"/>
          <w:i w:val="0"/>
          <w:color w:val="auto"/>
          <w:sz w:val="24"/>
          <w:szCs w:val="24"/>
        </w:rPr>
        <w:t xml:space="preserve">ocus on actions and measures to promote </w:t>
      </w:r>
      <w:r w:rsidRPr="007A7801">
        <w:rPr>
          <w:rFonts w:ascii="Times New Roman" w:hAnsi="Times New Roman" w:cs="Times New Roman"/>
          <w:b w:val="0"/>
          <w:i w:val="0"/>
          <w:color w:val="auto"/>
          <w:sz w:val="24"/>
          <w:szCs w:val="24"/>
        </w:rPr>
        <w:t>electronic commerce and electronic transactions on both the supply and demand sides.</w:t>
      </w:r>
    </w:p>
    <w:p w:rsidR="005B39D1" w:rsidRPr="007A7801" w:rsidRDefault="005B39D1" w:rsidP="005B39D1">
      <w:pPr>
        <w:jc w:val="both"/>
      </w:pPr>
    </w:p>
    <w:p w:rsidR="005B39D1" w:rsidRPr="007A7801" w:rsidRDefault="005B39D1" w:rsidP="005B39D1">
      <w:pPr>
        <w:pStyle w:val="astandard3520normal"/>
        <w:shd w:val="clear" w:color="auto" w:fill="FFFFFF"/>
        <w:spacing w:after="0"/>
        <w:rPr>
          <w:rFonts w:eastAsia="Calibri"/>
        </w:rPr>
      </w:pPr>
      <w:r w:rsidRPr="007A7801">
        <w:rPr>
          <w:rFonts w:eastAsia="Calibri"/>
        </w:rPr>
        <w:t>The actions that have to be taken</w:t>
      </w:r>
      <w:r w:rsidRPr="007A7801">
        <w:rPr>
          <w:rStyle w:val="FootnoteReference"/>
          <w:rFonts w:eastAsia="Calibri"/>
        </w:rPr>
        <w:footnoteReference w:id="4"/>
      </w:r>
      <w:r w:rsidRPr="007A7801">
        <w:rPr>
          <w:rFonts w:eastAsia="Calibri"/>
        </w:rPr>
        <w:t xml:space="preserve"> to overcome the abovementioned bottlenecks are being addressed in the draft Digital Strategy for Cyprus.</w:t>
      </w:r>
    </w:p>
    <w:p w:rsidR="005B39D1" w:rsidRDefault="005B39D1" w:rsidP="005B39D1">
      <w:pPr>
        <w:pStyle w:val="astandard3520normal"/>
        <w:shd w:val="clear" w:color="auto" w:fill="FFFFFF"/>
        <w:spacing w:after="0"/>
        <w:rPr>
          <w:rFonts w:eastAsia="Calibri"/>
        </w:rPr>
      </w:pPr>
    </w:p>
    <w:p w:rsidR="005B39D1" w:rsidRPr="007A7801" w:rsidRDefault="004E3885" w:rsidP="004E3885">
      <w:pPr>
        <w:pStyle w:val="Heading2"/>
        <w:jc w:val="both"/>
        <w:rPr>
          <w:lang w:val="en-GB"/>
        </w:rPr>
      </w:pPr>
      <w:bookmarkStart w:id="58" w:name="_Toc292454626"/>
      <w:r w:rsidRPr="007A7801">
        <w:rPr>
          <w:rFonts w:eastAsia="Calibri"/>
        </w:rPr>
        <w:t>NATIONAL PRIORITIES</w:t>
      </w:r>
      <w:r w:rsidRPr="007A7801">
        <w:rPr>
          <w:lang w:val="en-GB"/>
        </w:rPr>
        <w:t xml:space="preserve"> AND KEY MEASURES</w:t>
      </w:r>
      <w:bookmarkEnd w:id="58"/>
      <w:r w:rsidRPr="007A7801">
        <w:rPr>
          <w:lang w:val="en-GB"/>
        </w:rPr>
        <w:t xml:space="preserve"> </w:t>
      </w:r>
    </w:p>
    <w:p w:rsidR="00F74058" w:rsidRDefault="00F74058" w:rsidP="005B39D1">
      <w:pPr>
        <w:jc w:val="both"/>
        <w:rPr>
          <w:rFonts w:eastAsia="Calibri"/>
        </w:rPr>
      </w:pPr>
    </w:p>
    <w:p w:rsidR="00F74058" w:rsidRDefault="00746361" w:rsidP="005B39D1">
      <w:pPr>
        <w:jc w:val="both"/>
        <w:sectPr w:rsidR="00F74058" w:rsidSect="00F0709B">
          <w:type w:val="continuous"/>
          <w:pgSz w:w="12240" w:h="15840"/>
          <w:pgMar w:top="1560" w:right="1440" w:bottom="1296" w:left="1440" w:header="720" w:footer="720" w:gutter="0"/>
          <w:cols w:space="720"/>
          <w:titlePg/>
          <w:docGrid w:linePitch="360"/>
        </w:sectPr>
      </w:pPr>
      <w:r>
        <w:rPr>
          <w:rFonts w:eastAsia="Calibri"/>
        </w:rPr>
        <w:t xml:space="preserve">The </w:t>
      </w:r>
      <w:r w:rsidR="005B39D1" w:rsidRPr="007A7801">
        <w:rPr>
          <w:rFonts w:eastAsia="Calibri"/>
        </w:rPr>
        <w:t xml:space="preserve">Digital Strategy for Cyprus 2011-2020 is under preparation. The stated overall vision of the draft Digital Strategy is </w:t>
      </w:r>
      <w:r w:rsidR="005B39D1" w:rsidRPr="007A7801">
        <w:t xml:space="preserve">for </w:t>
      </w:r>
      <w:r>
        <w:t>“</w:t>
      </w:r>
      <w:r w:rsidR="005B39D1" w:rsidRPr="007A7801">
        <w:t xml:space="preserve">the information and communication technologies to support the development and competitiveness of the economy, and citizen participation in the social, </w:t>
      </w:r>
    </w:p>
    <w:p w:rsidR="005B39D1" w:rsidRPr="007A7801" w:rsidRDefault="005B39D1" w:rsidP="005B39D1">
      <w:pPr>
        <w:jc w:val="both"/>
        <w:rPr>
          <w:lang w:val="en-GB"/>
        </w:rPr>
      </w:pPr>
      <w:r w:rsidRPr="007A7801">
        <w:lastRenderedPageBreak/>
        <w:t>cultural and political domains</w:t>
      </w:r>
      <w:r w:rsidRPr="007A7801">
        <w:rPr>
          <w:rFonts w:eastAsia="Calibri"/>
        </w:rPr>
        <w:t>”. Some of t</w:t>
      </w:r>
      <w:r w:rsidRPr="007A7801">
        <w:rPr>
          <w:lang w:val="en-GB"/>
        </w:rPr>
        <w:t xml:space="preserve">he key measures to attain the priorities and tackle the bottlenecks which are included in the draft Digital Strategy for Cyprus are presented below. </w:t>
      </w:r>
    </w:p>
    <w:p w:rsidR="005B39D1" w:rsidRPr="007A7801" w:rsidRDefault="005B39D1" w:rsidP="005B39D1">
      <w:pPr>
        <w:jc w:val="both"/>
        <w:rPr>
          <w:lang w:val="en-GB"/>
        </w:rPr>
      </w:pPr>
    </w:p>
    <w:p w:rsidR="005B39D1" w:rsidRPr="007A7801" w:rsidRDefault="005B39D1" w:rsidP="005B39D1">
      <w:pPr>
        <w:jc w:val="both"/>
        <w:rPr>
          <w:lang w:val="en-GB"/>
        </w:rPr>
      </w:pPr>
      <w:r w:rsidRPr="007A7801">
        <w:rPr>
          <w:lang w:val="en-GB"/>
        </w:rPr>
        <w:t>The Digital Strategy for Cyprus will be finalised following consultations with the Advisory Committee. Before its implementation, the Digital Strategy for Cyprus will be approved by the Minister of Communications and Works (responsible Minister for Information Society) and the Council of Ministers (frontloading –</w:t>
      </w:r>
      <w:r w:rsidR="00C32C9F">
        <w:rPr>
          <w:lang w:val="en-GB"/>
        </w:rPr>
        <w:t xml:space="preserve"> </w:t>
      </w:r>
      <w:r w:rsidRPr="007A7801">
        <w:rPr>
          <w:lang w:val="en-GB"/>
        </w:rPr>
        <w:t xml:space="preserve">expected to be approved in 2011). </w:t>
      </w:r>
    </w:p>
    <w:p w:rsidR="005B39D1" w:rsidRPr="007A7801" w:rsidRDefault="005B39D1" w:rsidP="005B39D1">
      <w:pPr>
        <w:jc w:val="both"/>
        <w:rPr>
          <w:rFonts w:eastAsia="Calibri"/>
        </w:rPr>
      </w:pPr>
    </w:p>
    <w:p w:rsidR="005B39D1" w:rsidRPr="007A7801" w:rsidRDefault="005B39D1" w:rsidP="001D09A7">
      <w:pPr>
        <w:pStyle w:val="ListParagraph"/>
        <w:numPr>
          <w:ilvl w:val="0"/>
          <w:numId w:val="14"/>
        </w:numPr>
        <w:ind w:left="360"/>
        <w:contextualSpacing/>
        <w:jc w:val="both"/>
        <w:rPr>
          <w:b/>
          <w:u w:val="single"/>
        </w:rPr>
      </w:pPr>
      <w:r w:rsidRPr="007A7801">
        <w:rPr>
          <w:b/>
          <w:u w:val="single"/>
        </w:rPr>
        <w:t>Driving Cyprus into a Digital Era</w:t>
      </w:r>
    </w:p>
    <w:p w:rsidR="005B39D1" w:rsidRPr="007A7801" w:rsidRDefault="005B39D1" w:rsidP="005B39D1">
      <w:pPr>
        <w:jc w:val="both"/>
        <w:rPr>
          <w:b/>
        </w:rPr>
      </w:pPr>
    </w:p>
    <w:p w:rsidR="005B39D1" w:rsidRDefault="005B39D1" w:rsidP="001D09A7">
      <w:pPr>
        <w:pStyle w:val="ListParagraph"/>
        <w:numPr>
          <w:ilvl w:val="0"/>
          <w:numId w:val="22"/>
        </w:numPr>
        <w:tabs>
          <w:tab w:val="left" w:pos="0"/>
        </w:tabs>
        <w:ind w:left="360"/>
        <w:contextualSpacing/>
        <w:jc w:val="both"/>
        <w:textAlignment w:val="top"/>
        <w:rPr>
          <w:color w:val="000000"/>
        </w:rPr>
      </w:pPr>
      <w:r w:rsidRPr="007A7801">
        <w:rPr>
          <w:color w:val="000000"/>
        </w:rPr>
        <w:t xml:space="preserve">Full broadband coverage of Cyprus so that all citizens have access to information society services. A market-based national broadband approach will be adopted. The key elements of this plan are regulatory certainty, technological neutrality, promotion of the cooperation between the providers of electronic communications and close monitoring of the progress. The said approach aims at achieving the targets set out in the Digital Agenda for Europe, namely: </w:t>
      </w:r>
    </w:p>
    <w:p w:rsidR="00D64A6A" w:rsidRPr="007A7801" w:rsidRDefault="00D64A6A" w:rsidP="00D64A6A">
      <w:pPr>
        <w:pStyle w:val="ListParagraph"/>
        <w:tabs>
          <w:tab w:val="left" w:pos="0"/>
        </w:tabs>
        <w:ind w:left="360"/>
        <w:contextualSpacing/>
        <w:jc w:val="both"/>
        <w:textAlignment w:val="top"/>
        <w:rPr>
          <w:color w:val="000000"/>
        </w:rPr>
      </w:pPr>
    </w:p>
    <w:p w:rsidR="005B39D1" w:rsidRPr="007A7801" w:rsidRDefault="005B39D1" w:rsidP="001D09A7">
      <w:pPr>
        <w:pStyle w:val="ListParagraph"/>
        <w:numPr>
          <w:ilvl w:val="0"/>
          <w:numId w:val="13"/>
        </w:numPr>
        <w:contextualSpacing/>
        <w:jc w:val="both"/>
        <w:textAlignment w:val="top"/>
        <w:rPr>
          <w:color w:val="000000"/>
        </w:rPr>
      </w:pPr>
      <w:r w:rsidRPr="007A7801">
        <w:rPr>
          <w:color w:val="000000"/>
        </w:rPr>
        <w:t>By 2013, all households and businesses will have access to the Internet with at least 2Mbps (frontloading</w:t>
      </w:r>
      <w:r w:rsidR="005B5BA6">
        <w:rPr>
          <w:color w:val="000000"/>
        </w:rPr>
        <w:t xml:space="preserve"> </w:t>
      </w:r>
      <w:r w:rsidRPr="007A7801">
        <w:rPr>
          <w:color w:val="000000"/>
        </w:rPr>
        <w:t>this target is expected to be achieved at the beginning of 2012).</w:t>
      </w:r>
    </w:p>
    <w:p w:rsidR="005B39D1" w:rsidRPr="007A7801" w:rsidRDefault="005B39D1" w:rsidP="001D09A7">
      <w:pPr>
        <w:pStyle w:val="ListParagraph"/>
        <w:numPr>
          <w:ilvl w:val="0"/>
          <w:numId w:val="13"/>
        </w:numPr>
        <w:jc w:val="both"/>
        <w:rPr>
          <w:color w:val="000000"/>
        </w:rPr>
      </w:pPr>
      <w:r w:rsidRPr="007A7801">
        <w:rPr>
          <w:color w:val="000000"/>
        </w:rPr>
        <w:t xml:space="preserve">By 2020 all households and businesses will have access to the Internet with at least 30 Mbps.    </w:t>
      </w:r>
    </w:p>
    <w:p w:rsidR="005B39D1" w:rsidRPr="007A7801" w:rsidRDefault="005B39D1" w:rsidP="001D09A7">
      <w:pPr>
        <w:pStyle w:val="ListParagraph"/>
        <w:numPr>
          <w:ilvl w:val="0"/>
          <w:numId w:val="13"/>
        </w:numPr>
        <w:jc w:val="both"/>
        <w:rPr>
          <w:color w:val="000000"/>
        </w:rPr>
      </w:pPr>
      <w:r w:rsidRPr="007A7801">
        <w:rPr>
          <w:color w:val="000000"/>
        </w:rPr>
        <w:t xml:space="preserve">By 2020 50% or more of the households will have access to the Internet with at least 100 Mbps. </w:t>
      </w:r>
    </w:p>
    <w:p w:rsidR="005B39D1" w:rsidRPr="007A7801" w:rsidRDefault="005B39D1" w:rsidP="005B39D1">
      <w:pPr>
        <w:jc w:val="both"/>
        <w:rPr>
          <w:color w:val="000000"/>
        </w:rPr>
      </w:pPr>
    </w:p>
    <w:p w:rsidR="005B39D1" w:rsidRPr="007A7801" w:rsidRDefault="005B39D1" w:rsidP="001D09A7">
      <w:pPr>
        <w:pStyle w:val="ListParagraph"/>
        <w:numPr>
          <w:ilvl w:val="0"/>
          <w:numId w:val="22"/>
        </w:numPr>
        <w:tabs>
          <w:tab w:val="left" w:pos="0"/>
        </w:tabs>
        <w:ind w:left="360"/>
        <w:contextualSpacing/>
        <w:jc w:val="both"/>
        <w:textAlignment w:val="top"/>
        <w:rPr>
          <w:color w:val="000000"/>
        </w:rPr>
      </w:pPr>
      <w:r w:rsidRPr="007A7801">
        <w:rPr>
          <w:color w:val="000000"/>
        </w:rPr>
        <w:t xml:space="preserve">Promote the installation of passive infrastructure where public civil works are performed. The measure, already in place, aims at reducing the cost of civil works for the network infrastructure operators and promotes duct sharing (currently under review within the context of the broadband market analysis procedure). </w:t>
      </w:r>
    </w:p>
    <w:p w:rsidR="005B39D1" w:rsidRPr="007A7801" w:rsidRDefault="005B39D1" w:rsidP="005B39D1">
      <w:pPr>
        <w:tabs>
          <w:tab w:val="left" w:pos="0"/>
        </w:tabs>
        <w:jc w:val="both"/>
        <w:textAlignment w:val="top"/>
        <w:rPr>
          <w:color w:val="000000"/>
        </w:rPr>
      </w:pPr>
    </w:p>
    <w:p w:rsidR="005B39D1" w:rsidRPr="007A7801" w:rsidRDefault="005B39D1" w:rsidP="001D09A7">
      <w:pPr>
        <w:pStyle w:val="ListParagraph"/>
        <w:numPr>
          <w:ilvl w:val="0"/>
          <w:numId w:val="22"/>
        </w:numPr>
        <w:tabs>
          <w:tab w:val="left" w:pos="0"/>
        </w:tabs>
        <w:ind w:left="360"/>
        <w:contextualSpacing/>
        <w:jc w:val="both"/>
        <w:textAlignment w:val="top"/>
        <w:rPr>
          <w:color w:val="000000"/>
        </w:rPr>
      </w:pPr>
      <w:r w:rsidRPr="007A7801">
        <w:rPr>
          <w:color w:val="000000"/>
        </w:rPr>
        <w:t>Seek further reduction of the prices of electronic communications services. During the analysis of the broadband markets</w:t>
      </w:r>
      <w:r w:rsidR="000C1359">
        <w:rPr>
          <w:color w:val="000000"/>
        </w:rPr>
        <w:t>,</w:t>
      </w:r>
      <w:r w:rsidRPr="007A7801">
        <w:rPr>
          <w:color w:val="000000"/>
        </w:rPr>
        <w:t xml:space="preserve"> OCECPR will review the cost of the end-to-end wholesale cost components for the provision of broadband services at the retail level. </w:t>
      </w:r>
    </w:p>
    <w:p w:rsidR="005B39D1" w:rsidRPr="007A7801" w:rsidRDefault="005B39D1" w:rsidP="005B39D1">
      <w:pPr>
        <w:tabs>
          <w:tab w:val="left" w:pos="0"/>
        </w:tabs>
        <w:jc w:val="both"/>
        <w:textAlignment w:val="top"/>
        <w:rPr>
          <w:color w:val="000000"/>
          <w:lang w:eastAsia="el-GR"/>
        </w:rPr>
      </w:pPr>
    </w:p>
    <w:p w:rsidR="001960BA" w:rsidRDefault="005B39D1" w:rsidP="001960BA">
      <w:pPr>
        <w:pStyle w:val="ListParagraph"/>
        <w:numPr>
          <w:ilvl w:val="0"/>
          <w:numId w:val="22"/>
        </w:numPr>
        <w:tabs>
          <w:tab w:val="left" w:pos="0"/>
        </w:tabs>
        <w:ind w:left="360"/>
        <w:contextualSpacing/>
        <w:jc w:val="both"/>
        <w:textAlignment w:val="top"/>
        <w:rPr>
          <w:color w:val="000000"/>
        </w:rPr>
        <w:sectPr w:rsidR="001960BA" w:rsidSect="00F0709B">
          <w:type w:val="continuous"/>
          <w:pgSz w:w="12240" w:h="15840"/>
          <w:pgMar w:top="1560" w:right="1440" w:bottom="1296" w:left="1440" w:header="720" w:footer="720" w:gutter="0"/>
          <w:cols w:space="720"/>
          <w:titlePg/>
          <w:docGrid w:linePitch="360"/>
        </w:sectPr>
      </w:pPr>
      <w:r w:rsidRPr="001960BA">
        <w:rPr>
          <w:color w:val="000000"/>
        </w:rPr>
        <w:t>Promote the use of spectrum for the establishment and operation of wireless networks that provide high quality and high speed broadband services. Wireless technologies offer an easy and relatively cheap way of implementing electronic communications networks that can provide an alternative solution to fixed networks and also support mobility. We shall take advantage of these technologies to provide broadband coverage to remote areas where wired technologies are not cost effective and also to further promote competition in the elec</w:t>
      </w:r>
      <w:r w:rsidR="001960BA" w:rsidRPr="001960BA">
        <w:rPr>
          <w:color w:val="000000"/>
        </w:rPr>
        <w:t xml:space="preserve">tronic communications sector. </w:t>
      </w:r>
      <w:r w:rsidRPr="001960BA">
        <w:rPr>
          <w:color w:val="000000"/>
        </w:rPr>
        <w:t xml:space="preserve">A licensing plan (with specific timeframes) will be prepared for the </w:t>
      </w:r>
    </w:p>
    <w:p w:rsidR="005B39D1" w:rsidRPr="007A7801" w:rsidRDefault="005B39D1" w:rsidP="001960BA">
      <w:pPr>
        <w:pStyle w:val="ListParagraph"/>
        <w:tabs>
          <w:tab w:val="left" w:pos="0"/>
        </w:tabs>
        <w:ind w:left="360"/>
        <w:contextualSpacing/>
        <w:jc w:val="both"/>
        <w:textAlignment w:val="top"/>
      </w:pPr>
      <w:r w:rsidRPr="001960BA">
        <w:rPr>
          <w:color w:val="000000"/>
        </w:rPr>
        <w:lastRenderedPageBreak/>
        <w:t>authori</w:t>
      </w:r>
      <w:r w:rsidR="008C3821">
        <w:rPr>
          <w:color w:val="000000"/>
        </w:rPr>
        <w:t>s</w:t>
      </w:r>
      <w:r w:rsidRPr="001960BA">
        <w:rPr>
          <w:color w:val="000000"/>
        </w:rPr>
        <w:t>ation of radio frequencies designated for electronic communications services. This plan will also include provisions related to technology neutrality, avoidance of spect</w:t>
      </w:r>
      <w:r w:rsidR="001960BA" w:rsidRPr="001960BA">
        <w:rPr>
          <w:color w:val="000000"/>
        </w:rPr>
        <w:t>rum hoarding, etc, in line with</w:t>
      </w:r>
      <w:r w:rsidR="001960BA">
        <w:rPr>
          <w:color w:val="000000"/>
        </w:rPr>
        <w:t xml:space="preserve"> </w:t>
      </w:r>
      <w:r w:rsidRPr="001960BA">
        <w:rPr>
          <w:color w:val="000000"/>
        </w:rPr>
        <w:t xml:space="preserve">the Radio Spectrum Policy Programme. </w:t>
      </w:r>
      <w:r w:rsidR="008C3821">
        <w:rPr>
          <w:color w:val="000000"/>
        </w:rPr>
        <w:t>I</w:t>
      </w:r>
      <w:r w:rsidRPr="001960BA">
        <w:rPr>
          <w:color w:val="000000"/>
        </w:rPr>
        <w:t>mposing specific obligations, where appropriate, such</w:t>
      </w:r>
      <w:r w:rsidR="008C3821">
        <w:rPr>
          <w:color w:val="000000"/>
        </w:rPr>
        <w:t xml:space="preserve"> as</w:t>
      </w:r>
      <w:r w:rsidRPr="001960BA">
        <w:rPr>
          <w:color w:val="000000"/>
        </w:rPr>
        <w:t xml:space="preserve"> like geographical coverage and access speeds</w:t>
      </w:r>
      <w:r w:rsidR="008C3821">
        <w:rPr>
          <w:color w:val="000000"/>
        </w:rPr>
        <w:t>, shall also be considered</w:t>
      </w:r>
      <w:r w:rsidRPr="001960BA">
        <w:rPr>
          <w:color w:val="000000"/>
        </w:rPr>
        <w:t>.</w:t>
      </w:r>
    </w:p>
    <w:p w:rsidR="005B39D1" w:rsidRPr="007A7801" w:rsidRDefault="005B39D1" w:rsidP="005B39D1">
      <w:pPr>
        <w:pStyle w:val="ListParagraph"/>
        <w:jc w:val="both"/>
        <w:textAlignment w:val="top"/>
        <w:rPr>
          <w:color w:val="000000"/>
        </w:rPr>
      </w:pPr>
    </w:p>
    <w:p w:rsidR="00F74058" w:rsidRDefault="00F74058" w:rsidP="001D09A7">
      <w:pPr>
        <w:pStyle w:val="ListParagraph"/>
        <w:numPr>
          <w:ilvl w:val="0"/>
          <w:numId w:val="22"/>
        </w:numPr>
        <w:tabs>
          <w:tab w:val="left" w:pos="0"/>
        </w:tabs>
        <w:ind w:left="360"/>
        <w:contextualSpacing/>
        <w:jc w:val="both"/>
        <w:textAlignment w:val="top"/>
        <w:rPr>
          <w:color w:val="000000"/>
        </w:rPr>
        <w:sectPr w:rsidR="00F74058" w:rsidSect="00F0709B">
          <w:type w:val="continuous"/>
          <w:pgSz w:w="12240" w:h="15840"/>
          <w:pgMar w:top="1560" w:right="1440" w:bottom="1296" w:left="1440" w:header="720" w:footer="720" w:gutter="0"/>
          <w:cols w:space="720"/>
          <w:titlePg/>
          <w:docGrid w:linePitch="360"/>
        </w:sectPr>
      </w:pPr>
    </w:p>
    <w:p w:rsidR="005B39D1" w:rsidRPr="00D64A6A" w:rsidRDefault="005B39D1" w:rsidP="001D09A7">
      <w:pPr>
        <w:pStyle w:val="ListParagraph"/>
        <w:numPr>
          <w:ilvl w:val="0"/>
          <w:numId w:val="22"/>
        </w:numPr>
        <w:tabs>
          <w:tab w:val="left" w:pos="0"/>
        </w:tabs>
        <w:ind w:left="360"/>
        <w:contextualSpacing/>
        <w:jc w:val="both"/>
        <w:textAlignment w:val="top"/>
        <w:rPr>
          <w:color w:val="000000"/>
        </w:rPr>
      </w:pPr>
      <w:r w:rsidRPr="007A7801">
        <w:rPr>
          <w:color w:val="000000"/>
        </w:rPr>
        <w:lastRenderedPageBreak/>
        <w:t xml:space="preserve">The Government through the use of ICT aims to become smart, sustainable and innovative. By using ICT for its internal functioning the Government aims to become paperless, more effective and efficient and also open and friendly to citizens and businesses by providing citizens </w:t>
      </w:r>
      <w:r w:rsidRPr="00D64A6A">
        <w:rPr>
          <w:color w:val="000000"/>
        </w:rPr>
        <w:t xml:space="preserve">and businesses all services online. Some of the major measures that are promoted are: </w:t>
      </w:r>
    </w:p>
    <w:p w:rsidR="005B39D1" w:rsidRPr="00D64A6A" w:rsidRDefault="005B39D1" w:rsidP="005B39D1">
      <w:pPr>
        <w:tabs>
          <w:tab w:val="left" w:pos="426"/>
        </w:tabs>
        <w:jc w:val="both"/>
        <w:textAlignment w:val="top"/>
        <w:rPr>
          <w:rStyle w:val="longtext"/>
          <w:color w:val="000000"/>
          <w:shd w:val="clear" w:color="auto" w:fill="FFFFFF"/>
        </w:rPr>
      </w:pPr>
    </w:p>
    <w:p w:rsidR="005B39D1" w:rsidRPr="007A7801" w:rsidRDefault="005B39D1" w:rsidP="00D64A6A">
      <w:pPr>
        <w:pStyle w:val="ListParagraph"/>
        <w:numPr>
          <w:ilvl w:val="0"/>
          <w:numId w:val="17"/>
        </w:numPr>
        <w:tabs>
          <w:tab w:val="left" w:pos="450"/>
          <w:tab w:val="left" w:pos="720"/>
        </w:tabs>
        <w:contextualSpacing/>
        <w:jc w:val="both"/>
        <w:textAlignment w:val="top"/>
      </w:pPr>
      <w:r w:rsidRPr="00D64A6A">
        <w:t>Revision of Information Systems Strategy (ISS): The aim is to refine the strategy for achieving the</w:t>
      </w:r>
      <w:r w:rsidRPr="007A7801">
        <w:t xml:space="preserve"> Cyprus Government objectives up to 2015 for productivity and growth whilst being in line with the EU policies and directives. The necessary budget has been approved and </w:t>
      </w:r>
      <w:r w:rsidR="00AF139F">
        <w:t>will be co-financed by the ERDF. The</w:t>
      </w:r>
      <w:r w:rsidRPr="007A7801">
        <w:t xml:space="preserve"> project is expected to be completed in 2012. </w:t>
      </w:r>
    </w:p>
    <w:p w:rsidR="00AF139F" w:rsidRPr="007A7801" w:rsidRDefault="005B39D1" w:rsidP="00D64A6A">
      <w:pPr>
        <w:pStyle w:val="ListParagraph"/>
        <w:numPr>
          <w:ilvl w:val="0"/>
          <w:numId w:val="17"/>
        </w:numPr>
        <w:tabs>
          <w:tab w:val="left" w:pos="450"/>
          <w:tab w:val="left" w:pos="720"/>
        </w:tabs>
        <w:spacing w:before="120"/>
        <w:contextualSpacing/>
        <w:jc w:val="both"/>
      </w:pPr>
      <w:r w:rsidRPr="007A7801">
        <w:t>Setting up of a Help Desk System: This system is expected to manage centrally all technical support issues related to ICT usage in the Public Sector through a Call Centre and/or Intranet. The system will log all problems and solve or channel them for resolution by the involved party. The necessary budget has been approved.</w:t>
      </w:r>
      <w:r w:rsidR="00AF139F" w:rsidRPr="00AF139F">
        <w:t xml:space="preserve"> </w:t>
      </w:r>
      <w:r w:rsidR="00AF139F">
        <w:t>The project will be co-financed by the ERDF.</w:t>
      </w:r>
    </w:p>
    <w:p w:rsidR="005B39D1" w:rsidRPr="00D64A6A" w:rsidRDefault="005B39D1" w:rsidP="00D64A6A">
      <w:pPr>
        <w:pStyle w:val="ListParagraph"/>
        <w:keepNext/>
        <w:numPr>
          <w:ilvl w:val="0"/>
          <w:numId w:val="17"/>
        </w:numPr>
        <w:tabs>
          <w:tab w:val="left" w:pos="450"/>
          <w:tab w:val="left" w:pos="720"/>
        </w:tabs>
        <w:autoSpaceDE w:val="0"/>
        <w:autoSpaceDN w:val="0"/>
        <w:adjustRightInd w:val="0"/>
        <w:spacing w:before="120" w:line="240" w:lineRule="atLeast"/>
        <w:contextualSpacing/>
        <w:jc w:val="both"/>
        <w:textAlignment w:val="top"/>
        <w:rPr>
          <w:color w:val="000000"/>
          <w:sz w:val="22"/>
          <w:szCs w:val="22"/>
        </w:rPr>
      </w:pPr>
      <w:r w:rsidRPr="007A7801">
        <w:t xml:space="preserve">Development of a Central Government Data Warehouse: The ultimate aim of this project is to create a central Government Data Repository, which will constitute the base for the development of Business Intelligence systems. The Government Data Warehouse will be a single cohesive database with a subject-centric approach, in order to provide a consolidated view of Civil Service data, </w:t>
      </w:r>
      <w:r w:rsidR="000A32EB" w:rsidRPr="007A7801">
        <w:t>optimi</w:t>
      </w:r>
      <w:r w:rsidR="00F72BE8">
        <w:t>s</w:t>
      </w:r>
      <w:r w:rsidR="000A32EB" w:rsidRPr="007A7801">
        <w:t>ed</w:t>
      </w:r>
      <w:r w:rsidRPr="007A7801">
        <w:t xml:space="preserve"> for reporting and analysis. With the implementation of this project, the data of the Government Information Systems will turn into high-quality information for policy, strategy and management decision making. The necessary budget has been approved and the project is expected to be completed in 2015.</w:t>
      </w:r>
      <w:r w:rsidR="00AF139F" w:rsidRPr="00AF139F">
        <w:t xml:space="preserve"> </w:t>
      </w:r>
      <w:r w:rsidR="00AF139F">
        <w:t>The project will be co-financed by the ERDF.</w:t>
      </w:r>
    </w:p>
    <w:p w:rsidR="005B39D1" w:rsidRPr="00D64A6A" w:rsidRDefault="005B39D1" w:rsidP="00D64A6A">
      <w:pPr>
        <w:pStyle w:val="ListParagraph"/>
        <w:keepNext/>
        <w:numPr>
          <w:ilvl w:val="0"/>
          <w:numId w:val="17"/>
        </w:numPr>
        <w:tabs>
          <w:tab w:val="left" w:pos="450"/>
          <w:tab w:val="left" w:pos="720"/>
        </w:tabs>
        <w:autoSpaceDE w:val="0"/>
        <w:autoSpaceDN w:val="0"/>
        <w:adjustRightInd w:val="0"/>
        <w:spacing w:line="240" w:lineRule="atLeast"/>
        <w:contextualSpacing/>
        <w:jc w:val="both"/>
        <w:textAlignment w:val="top"/>
      </w:pPr>
      <w:r w:rsidRPr="007A7801">
        <w:t xml:space="preserve">Development of a Government Secure Gateway: The Government Gateway will provide the foundation/cornerstone for delivery of the vision for a "Joined-up Government" and will constitute the central passage to all electronic transactions between citizens, businesses, institutions and the Government. It will comprise a highly secure environment, a resilient </w:t>
      </w:r>
      <w:r w:rsidR="00F72BE8">
        <w:t>“</w:t>
      </w:r>
      <w:r w:rsidRPr="007A7801">
        <w:t>always on</w:t>
      </w:r>
      <w:r w:rsidR="00F72BE8">
        <w:t>”</w:t>
      </w:r>
      <w:r w:rsidRPr="007A7801">
        <w:t xml:space="preserve"> service and a capacity to handle high volumes. In terms of functionality, it will incorporate a unified registration and authentication service, allowing users to conduct their transactions with the relevant Government Organisations over the Internet in a secure manner, with a single set of credentials, using any application, any device, anytime, anywhere.</w:t>
      </w:r>
      <w:r w:rsidRPr="007A7801">
        <w:rPr>
          <w:color w:val="000000"/>
          <w:sz w:val="22"/>
          <w:szCs w:val="22"/>
        </w:rPr>
        <w:t xml:space="preserve"> </w:t>
      </w:r>
      <w:r w:rsidRPr="007A7801">
        <w:t xml:space="preserve">The necessary budget has been approved and </w:t>
      </w:r>
      <w:r w:rsidR="00AF139F">
        <w:t>will be co-financed by the ERDF. T</w:t>
      </w:r>
      <w:r w:rsidRPr="007A7801">
        <w:t>he project is expected to be completed in 2013.</w:t>
      </w:r>
    </w:p>
    <w:p w:rsidR="001960BA" w:rsidRDefault="005B39D1" w:rsidP="00D64A6A">
      <w:pPr>
        <w:pStyle w:val="ListParagraph"/>
        <w:numPr>
          <w:ilvl w:val="0"/>
          <w:numId w:val="17"/>
        </w:numPr>
        <w:tabs>
          <w:tab w:val="left" w:pos="450"/>
          <w:tab w:val="left" w:pos="720"/>
        </w:tabs>
        <w:contextualSpacing/>
        <w:jc w:val="both"/>
        <w:textAlignment w:val="top"/>
        <w:sectPr w:rsidR="001960BA" w:rsidSect="00F0709B">
          <w:type w:val="continuous"/>
          <w:pgSz w:w="12240" w:h="15840"/>
          <w:pgMar w:top="1560" w:right="1440" w:bottom="1296" w:left="1440" w:header="720" w:footer="720" w:gutter="0"/>
          <w:cols w:space="720"/>
          <w:titlePg/>
          <w:docGrid w:linePitch="360"/>
        </w:sectPr>
      </w:pPr>
      <w:r w:rsidRPr="007A7801">
        <w:t xml:space="preserve">Web-enabled version of the Office Automation System (eOAS): The ultimate aim of eOAS is the electronic management and administration of all documents of the Civil </w:t>
      </w:r>
    </w:p>
    <w:p w:rsidR="005B39D1" w:rsidRPr="007A7801" w:rsidRDefault="005B39D1" w:rsidP="00D64A6A">
      <w:pPr>
        <w:pStyle w:val="ListParagraph"/>
        <w:tabs>
          <w:tab w:val="left" w:pos="450"/>
          <w:tab w:val="left" w:pos="720"/>
        </w:tabs>
        <w:contextualSpacing/>
        <w:jc w:val="both"/>
        <w:textAlignment w:val="top"/>
      </w:pPr>
      <w:r w:rsidRPr="007A7801">
        <w:lastRenderedPageBreak/>
        <w:t>Service, as well as the automation of the procedures and regulations that rule their creation, archiving, security, confidentiality grading, distribution and disposal, including their final destruction or long</w:t>
      </w:r>
      <w:r w:rsidR="00607105">
        <w:t>-</w:t>
      </w:r>
      <w:r w:rsidRPr="007A7801">
        <w:t xml:space="preserve">term preservation for future </w:t>
      </w:r>
      <w:r w:rsidR="001960BA">
        <w:t xml:space="preserve">accessibility by the public and </w:t>
      </w:r>
      <w:r w:rsidRPr="007A7801">
        <w:t>researchers. This project is under way and so far it has been installed and is operational in 7 Government Departments. The necessary budget has been approved and the project is expected to be completed in 2016.</w:t>
      </w:r>
    </w:p>
    <w:p w:rsidR="00F74058" w:rsidRDefault="00F74058" w:rsidP="00D64A6A">
      <w:pPr>
        <w:tabs>
          <w:tab w:val="left" w:pos="450"/>
          <w:tab w:val="left" w:pos="720"/>
        </w:tabs>
        <w:contextualSpacing/>
        <w:jc w:val="both"/>
        <w:textAlignment w:val="top"/>
        <w:sectPr w:rsidR="00F74058" w:rsidSect="00F0709B">
          <w:type w:val="continuous"/>
          <w:pgSz w:w="12240" w:h="15840"/>
          <w:pgMar w:top="1560" w:right="1440" w:bottom="1296" w:left="1440" w:header="720" w:footer="720" w:gutter="0"/>
          <w:cols w:space="720"/>
          <w:titlePg/>
          <w:docGrid w:linePitch="360"/>
        </w:sectPr>
      </w:pPr>
    </w:p>
    <w:p w:rsidR="00D64A6A" w:rsidRDefault="005B39D1" w:rsidP="00D64A6A">
      <w:pPr>
        <w:pStyle w:val="ListParagraph"/>
        <w:numPr>
          <w:ilvl w:val="0"/>
          <w:numId w:val="17"/>
        </w:numPr>
        <w:tabs>
          <w:tab w:val="left" w:pos="450"/>
          <w:tab w:val="left" w:pos="720"/>
        </w:tabs>
        <w:contextualSpacing/>
        <w:jc w:val="both"/>
        <w:textAlignment w:val="top"/>
        <w:sectPr w:rsidR="00D64A6A" w:rsidSect="00F0709B">
          <w:type w:val="continuous"/>
          <w:pgSz w:w="12240" w:h="15840"/>
          <w:pgMar w:top="1560" w:right="1440" w:bottom="1296" w:left="1440" w:header="720" w:footer="720" w:gutter="0"/>
          <w:cols w:space="720"/>
          <w:titlePg/>
          <w:docGrid w:linePitch="360"/>
        </w:sectPr>
      </w:pPr>
      <w:r w:rsidRPr="007A7801">
        <w:lastRenderedPageBreak/>
        <w:t>Setting up and operating a call center: The objective of this call center is the delivery of administrative information and/or the handling of cases that relate to the competences of a large number of civil service organi</w:t>
      </w:r>
      <w:r w:rsidR="00E56AA5">
        <w:t>s</w:t>
      </w:r>
      <w:r w:rsidRPr="007A7801">
        <w:t xml:space="preserve">ations from a point of filling a request to the point </w:t>
      </w:r>
    </w:p>
    <w:p w:rsidR="00F74058" w:rsidRPr="007A7801" w:rsidRDefault="005B39D1" w:rsidP="00D64A6A">
      <w:pPr>
        <w:pStyle w:val="ListParagraph"/>
        <w:tabs>
          <w:tab w:val="left" w:pos="450"/>
          <w:tab w:val="left" w:pos="720"/>
        </w:tabs>
        <w:contextualSpacing/>
        <w:jc w:val="both"/>
        <w:textAlignment w:val="top"/>
      </w:pPr>
      <w:r w:rsidRPr="007A7801">
        <w:lastRenderedPageBreak/>
        <w:t xml:space="preserve">of the delivery of a service through a central telephone number. An agreement was signed with a Subject Matter Expert who will prepare the </w:t>
      </w:r>
      <w:r w:rsidR="000A32EB" w:rsidRPr="007A7801">
        <w:t>tender document for the project.</w:t>
      </w:r>
    </w:p>
    <w:p w:rsidR="005B39D1" w:rsidRPr="00B14006" w:rsidRDefault="005B39D1" w:rsidP="00F74058">
      <w:pPr>
        <w:pStyle w:val="ListParagraph"/>
        <w:numPr>
          <w:ilvl w:val="0"/>
          <w:numId w:val="17"/>
        </w:numPr>
        <w:tabs>
          <w:tab w:val="left" w:pos="450"/>
          <w:tab w:val="left" w:pos="720"/>
        </w:tabs>
        <w:spacing w:before="120"/>
        <w:contextualSpacing/>
        <w:jc w:val="both"/>
        <w:textAlignment w:val="top"/>
      </w:pPr>
      <w:r w:rsidRPr="007A7801">
        <w:t xml:space="preserve">Establish more Citizen Service Centers (CSCs) all over the island: the aim of the CSCs is to provide multiple services from one point of contact/location based on one-stop-shop, using ICT. </w:t>
      </w:r>
      <w:r w:rsidR="009311F2" w:rsidRPr="00B14006">
        <w:t>Additionally some of the CSCs can be equipped with virtual collaboration systems in order for citizens to be served by the regional CSCs through the virtual CSCs.</w:t>
      </w:r>
    </w:p>
    <w:p w:rsidR="005B39D1" w:rsidRPr="007A7801" w:rsidRDefault="005B39D1" w:rsidP="005B39D1">
      <w:pPr>
        <w:tabs>
          <w:tab w:val="left" w:pos="450"/>
          <w:tab w:val="left" w:pos="720"/>
        </w:tabs>
        <w:spacing w:before="120"/>
        <w:jc w:val="both"/>
        <w:textAlignment w:val="top"/>
      </w:pPr>
      <w:r w:rsidRPr="007A7801">
        <w:t xml:space="preserve">(More measures in Chapter 8 </w:t>
      </w:r>
      <w:r w:rsidR="003B1028">
        <w:t>under “</w:t>
      </w:r>
      <w:r w:rsidRPr="007A7801">
        <w:t>Improving the efficiency of the public sector</w:t>
      </w:r>
      <w:r w:rsidR="003B1028">
        <w:t>”</w:t>
      </w:r>
      <w:r w:rsidRPr="007A7801">
        <w:t xml:space="preserve">). </w:t>
      </w:r>
    </w:p>
    <w:p w:rsidR="005B39D1" w:rsidRPr="007A7801" w:rsidRDefault="005B39D1" w:rsidP="005B39D1">
      <w:pPr>
        <w:textAlignment w:val="top"/>
        <w:rPr>
          <w:vanish/>
          <w:color w:val="1111CC"/>
          <w:sz w:val="13"/>
          <w:szCs w:val="13"/>
        </w:rPr>
      </w:pPr>
      <w:r w:rsidRPr="007A7801">
        <w:rPr>
          <w:rStyle w:val="gt-icon-text1"/>
          <w:vanish/>
          <w:color w:val="1111CC"/>
          <w:sz w:val="13"/>
          <w:szCs w:val="13"/>
        </w:rPr>
        <w:t>Read phonetically</w:t>
      </w:r>
    </w:p>
    <w:p w:rsidR="005B39D1" w:rsidRPr="007A7801" w:rsidRDefault="005B39D1" w:rsidP="005B39D1">
      <w:pPr>
        <w:pStyle w:val="ListParagraph"/>
        <w:rPr>
          <w:color w:val="000000"/>
          <w:lang w:eastAsia="el-GR"/>
        </w:rPr>
      </w:pPr>
    </w:p>
    <w:p w:rsidR="005B39D1" w:rsidRPr="007A7801" w:rsidRDefault="005B39D1" w:rsidP="001D09A7">
      <w:pPr>
        <w:pStyle w:val="ListParagraph"/>
        <w:numPr>
          <w:ilvl w:val="0"/>
          <w:numId w:val="22"/>
        </w:numPr>
        <w:tabs>
          <w:tab w:val="left" w:pos="0"/>
        </w:tabs>
        <w:ind w:left="360"/>
        <w:contextualSpacing/>
        <w:jc w:val="both"/>
        <w:textAlignment w:val="top"/>
        <w:rPr>
          <w:color w:val="000000"/>
        </w:rPr>
      </w:pPr>
      <w:r w:rsidRPr="007A7801">
        <w:rPr>
          <w:color w:val="000000"/>
        </w:rPr>
        <w:t xml:space="preserve">The local authorities through the use of ICT aim to provide quality, innovative electronic services to citizens and businesses and improve the communication between local authorities and citizens and local authorities and government. </w:t>
      </w:r>
    </w:p>
    <w:p w:rsidR="005B39D1" w:rsidRPr="007A7801" w:rsidRDefault="005B39D1" w:rsidP="005B39D1">
      <w:pPr>
        <w:tabs>
          <w:tab w:val="left" w:pos="426"/>
        </w:tabs>
        <w:jc w:val="both"/>
        <w:textAlignment w:val="top"/>
      </w:pPr>
    </w:p>
    <w:p w:rsidR="005B39D1" w:rsidRPr="007A7801" w:rsidRDefault="005B39D1" w:rsidP="005B39D1">
      <w:pPr>
        <w:tabs>
          <w:tab w:val="left" w:pos="426"/>
        </w:tabs>
        <w:ind w:left="360"/>
        <w:jc w:val="both"/>
        <w:textAlignment w:val="top"/>
      </w:pPr>
      <w:r w:rsidRPr="007A7801">
        <w:t>The Cyprus Municipalities Union is in the process (initial stages) of creating a centrali</w:t>
      </w:r>
      <w:r w:rsidR="00E56AA5">
        <w:t>s</w:t>
      </w:r>
      <w:r w:rsidRPr="007A7801">
        <w:t xml:space="preserve">ed management system that will be used to serve all municipalities. Each municipality will be able </w:t>
      </w:r>
      <w:r w:rsidR="00E56AA5">
        <w:t xml:space="preserve">to </w:t>
      </w:r>
      <w:r w:rsidRPr="007A7801">
        <w:t>utili</w:t>
      </w:r>
      <w:r w:rsidR="00E56AA5">
        <w:t>s</w:t>
      </w:r>
      <w:r w:rsidR="00D64A6A">
        <w:t xml:space="preserve">e </w:t>
      </w:r>
      <w:r w:rsidRPr="007A7801">
        <w:t xml:space="preserve">applications of its </w:t>
      </w:r>
      <w:r w:rsidR="00E56AA5" w:rsidRPr="007A7801">
        <w:t>cho</w:t>
      </w:r>
      <w:r w:rsidR="00E56AA5">
        <w:t>ice</w:t>
      </w:r>
      <w:r w:rsidR="00E56AA5" w:rsidRPr="007A7801">
        <w:t xml:space="preserve"> </w:t>
      </w:r>
      <w:r w:rsidRPr="007A7801">
        <w:t>for administrative support services (</w:t>
      </w:r>
      <w:r w:rsidR="000A32EB" w:rsidRPr="007A7801">
        <w:t>e.g.</w:t>
      </w:r>
      <w:r w:rsidRPr="007A7801">
        <w:t xml:space="preserve"> accounting, registry, etc</w:t>
      </w:r>
      <w:r w:rsidR="00E56AA5">
        <w:t>.</w:t>
      </w:r>
      <w:r w:rsidR="00D64A6A">
        <w:t>) as well</w:t>
      </w:r>
      <w:r w:rsidRPr="007A7801">
        <w:t xml:space="preserve"> applications for electronic services to their citizens (</w:t>
      </w:r>
      <w:r w:rsidR="000A32EB" w:rsidRPr="007A7801">
        <w:t>e.g.</w:t>
      </w:r>
      <w:r w:rsidR="00D64A6A">
        <w:t>, web portal services,</w:t>
      </w:r>
      <w:r w:rsidRPr="007A7801">
        <w:t xml:space="preserve"> e-learning, e-payment, e-billing</w:t>
      </w:r>
      <w:r w:rsidR="003B1028">
        <w:t>,</w:t>
      </w:r>
      <w:r w:rsidRPr="007A7801">
        <w:t xml:space="preserve"> etc.) without depending on the technical infrastructure available to the municipality. </w:t>
      </w:r>
    </w:p>
    <w:p w:rsidR="005B39D1" w:rsidRPr="007A7801" w:rsidRDefault="005B39D1" w:rsidP="005B39D1">
      <w:pPr>
        <w:tabs>
          <w:tab w:val="left" w:pos="426"/>
        </w:tabs>
        <w:jc w:val="both"/>
        <w:textAlignment w:val="top"/>
        <w:rPr>
          <w:strike/>
          <w:color w:val="000000"/>
          <w:lang w:eastAsia="el-GR"/>
        </w:rPr>
      </w:pPr>
    </w:p>
    <w:p w:rsidR="005B39D1" w:rsidRPr="007A7801" w:rsidRDefault="005B39D1" w:rsidP="001D09A7">
      <w:pPr>
        <w:pStyle w:val="ListParagraph"/>
        <w:numPr>
          <w:ilvl w:val="0"/>
          <w:numId w:val="22"/>
        </w:numPr>
        <w:tabs>
          <w:tab w:val="left" w:pos="0"/>
        </w:tabs>
        <w:ind w:left="360"/>
        <w:contextualSpacing/>
        <w:jc w:val="both"/>
        <w:textAlignment w:val="top"/>
        <w:rPr>
          <w:color w:val="000000"/>
        </w:rPr>
      </w:pPr>
      <w:r w:rsidRPr="007A7801">
        <w:rPr>
          <w:color w:val="000000"/>
        </w:rPr>
        <w:t>Combat the distribution of illegal content both online or by other electronic communications networks, address cyber threats and strengthen security in the digital society. Some of the measures to achieve this objective are:</w:t>
      </w:r>
    </w:p>
    <w:p w:rsidR="005B39D1" w:rsidRPr="007A7801" w:rsidRDefault="005B39D1" w:rsidP="005B39D1">
      <w:pPr>
        <w:tabs>
          <w:tab w:val="left" w:pos="426"/>
        </w:tabs>
        <w:jc w:val="both"/>
        <w:textAlignment w:val="top"/>
        <w:rPr>
          <w:color w:val="000000"/>
          <w:lang w:eastAsia="el-GR"/>
        </w:rPr>
      </w:pPr>
      <w:r w:rsidRPr="007A7801">
        <w:rPr>
          <w:color w:val="000000"/>
          <w:lang w:eastAsia="el-GR"/>
        </w:rPr>
        <w:t xml:space="preserve"> </w:t>
      </w:r>
    </w:p>
    <w:p w:rsidR="000A32EB" w:rsidRDefault="005B39D1" w:rsidP="001D09A7">
      <w:pPr>
        <w:pStyle w:val="ListParagraph"/>
        <w:numPr>
          <w:ilvl w:val="0"/>
          <w:numId w:val="15"/>
        </w:numPr>
        <w:tabs>
          <w:tab w:val="left" w:pos="851"/>
        </w:tabs>
        <w:ind w:left="851" w:hanging="425"/>
        <w:contextualSpacing/>
        <w:jc w:val="both"/>
        <w:textAlignment w:val="top"/>
      </w:pPr>
      <w:r w:rsidRPr="007A7801">
        <w:t>The OCECPR has published a policy paper regarding the establishment of a Computer Security Incident Response Team (</w:t>
      </w:r>
      <w:r w:rsidRPr="007A7801">
        <w:rPr>
          <w:noProof/>
        </w:rPr>
        <w:t>CSIRT</w:t>
      </w:r>
      <w:r w:rsidRPr="007A7801">
        <w:t>) with executive arms the Department of Information Technology Services (DITS) and the Cyprus Research and Academic Network (CyNet)</w:t>
      </w:r>
      <w:r w:rsidR="00E56AA5">
        <w:t>. On</w:t>
      </w:r>
      <w:r w:rsidRPr="007A7801">
        <w:t xml:space="preserve"> the basis of this policy document,</w:t>
      </w:r>
      <w:r w:rsidR="00E56AA5">
        <w:t xml:space="preserve"> the OCECPR</w:t>
      </w:r>
      <w:r w:rsidRPr="007A7801">
        <w:t xml:space="preserve"> has adopted an Order which establishes the DITS and CyNet as CSIRTs. </w:t>
      </w:r>
    </w:p>
    <w:p w:rsidR="000A32EB" w:rsidRPr="007A7801" w:rsidRDefault="005B39D1" w:rsidP="001D09A7">
      <w:pPr>
        <w:pStyle w:val="ListParagraph"/>
        <w:numPr>
          <w:ilvl w:val="0"/>
          <w:numId w:val="15"/>
        </w:numPr>
        <w:tabs>
          <w:tab w:val="left" w:pos="851"/>
        </w:tabs>
        <w:ind w:left="851" w:hanging="425"/>
        <w:contextualSpacing/>
        <w:jc w:val="both"/>
        <w:textAlignment w:val="top"/>
      </w:pPr>
      <w:r w:rsidRPr="007A7801">
        <w:t>In this direction DITS will proceed with the required procedures (training, acquire of software etc.) in order to establish the Cyprus Government CSIRT within the year 2011.</w:t>
      </w:r>
    </w:p>
    <w:p w:rsidR="001960BA" w:rsidRDefault="005B39D1" w:rsidP="001D09A7">
      <w:pPr>
        <w:pStyle w:val="ListParagraph"/>
        <w:numPr>
          <w:ilvl w:val="0"/>
          <w:numId w:val="15"/>
        </w:numPr>
        <w:tabs>
          <w:tab w:val="left" w:pos="851"/>
        </w:tabs>
        <w:ind w:left="851" w:hanging="425"/>
        <w:contextualSpacing/>
        <w:jc w:val="both"/>
        <w:textAlignment w:val="top"/>
        <w:sectPr w:rsidR="001960BA" w:rsidSect="00F0709B">
          <w:type w:val="continuous"/>
          <w:pgSz w:w="12240" w:h="15840"/>
          <w:pgMar w:top="1560" w:right="1440" w:bottom="1296" w:left="1440" w:header="720" w:footer="720" w:gutter="0"/>
          <w:cols w:space="720"/>
          <w:titlePg/>
          <w:docGrid w:linePitch="360"/>
        </w:sectPr>
      </w:pPr>
      <w:r w:rsidRPr="007A7801">
        <w:t xml:space="preserve">In this direction CYNET plans to proceed with the employment of an officer, attend related trainings and in close cooperation with other already established CERTs to </w:t>
      </w:r>
    </w:p>
    <w:p w:rsidR="005B39D1" w:rsidRPr="007A7801" w:rsidRDefault="00D64A6A" w:rsidP="001D09A7">
      <w:pPr>
        <w:pStyle w:val="ListParagraph"/>
        <w:numPr>
          <w:ilvl w:val="0"/>
          <w:numId w:val="15"/>
        </w:numPr>
        <w:tabs>
          <w:tab w:val="left" w:pos="851"/>
        </w:tabs>
        <w:ind w:left="851" w:hanging="425"/>
        <w:contextualSpacing/>
        <w:jc w:val="both"/>
        <w:textAlignment w:val="top"/>
      </w:pPr>
      <w:r w:rsidRPr="007A7801">
        <w:lastRenderedPageBreak/>
        <w:t>Organi</w:t>
      </w:r>
      <w:r w:rsidR="00C87EB0">
        <w:t>s</w:t>
      </w:r>
      <w:r w:rsidRPr="007A7801">
        <w:t>e</w:t>
      </w:r>
      <w:r w:rsidR="005B39D1" w:rsidRPr="007A7801">
        <w:t xml:space="preserve"> the activities for the establishment of the academic/research CERT in Cyprus by the end of 2011.</w:t>
      </w:r>
      <w:bookmarkStart w:id="59" w:name="_GoBack"/>
      <w:bookmarkEnd w:id="59"/>
    </w:p>
    <w:p w:rsidR="005B39D1" w:rsidRPr="007A7801" w:rsidRDefault="005B39D1" w:rsidP="005B39D1">
      <w:pPr>
        <w:pStyle w:val="ListParagraph"/>
        <w:tabs>
          <w:tab w:val="left" w:pos="426"/>
        </w:tabs>
        <w:ind w:left="780"/>
        <w:jc w:val="both"/>
        <w:textAlignment w:val="top"/>
      </w:pPr>
    </w:p>
    <w:p w:rsidR="00EC471E" w:rsidRDefault="00EC471E" w:rsidP="001D09A7">
      <w:pPr>
        <w:pStyle w:val="ListParagraph"/>
        <w:numPr>
          <w:ilvl w:val="0"/>
          <w:numId w:val="22"/>
        </w:numPr>
        <w:tabs>
          <w:tab w:val="left" w:pos="0"/>
        </w:tabs>
        <w:ind w:left="426" w:hanging="426"/>
        <w:contextualSpacing/>
        <w:jc w:val="both"/>
        <w:textAlignment w:val="top"/>
        <w:rPr>
          <w:color w:val="000000"/>
        </w:rPr>
        <w:sectPr w:rsidR="00EC471E" w:rsidSect="00F0709B">
          <w:type w:val="continuous"/>
          <w:pgSz w:w="12240" w:h="15840"/>
          <w:pgMar w:top="1560" w:right="1440" w:bottom="1296" w:left="1440" w:header="720" w:footer="720" w:gutter="0"/>
          <w:cols w:space="720"/>
          <w:titlePg/>
          <w:docGrid w:linePitch="360"/>
        </w:sectPr>
      </w:pPr>
    </w:p>
    <w:p w:rsidR="005B39D1" w:rsidRPr="007A7801" w:rsidRDefault="005B39D1" w:rsidP="001D09A7">
      <w:pPr>
        <w:pStyle w:val="ListParagraph"/>
        <w:numPr>
          <w:ilvl w:val="0"/>
          <w:numId w:val="22"/>
        </w:numPr>
        <w:tabs>
          <w:tab w:val="left" w:pos="0"/>
        </w:tabs>
        <w:ind w:left="426" w:hanging="426"/>
        <w:contextualSpacing/>
        <w:jc w:val="both"/>
        <w:textAlignment w:val="top"/>
        <w:rPr>
          <w:color w:val="000000"/>
        </w:rPr>
      </w:pPr>
      <w:r w:rsidRPr="007A7801">
        <w:rPr>
          <w:color w:val="000000"/>
        </w:rPr>
        <w:lastRenderedPageBreak/>
        <w:t>Restructure the health sector with the use of ICT, in order to moderni</w:t>
      </w:r>
      <w:r w:rsidR="004F7375">
        <w:rPr>
          <w:color w:val="000000"/>
        </w:rPr>
        <w:t>s</w:t>
      </w:r>
      <w:r w:rsidRPr="007A7801">
        <w:rPr>
          <w:color w:val="000000"/>
        </w:rPr>
        <w:t xml:space="preserve">e the health care system so that all citizens (including citizens who belong to vulnerable groups), regardless of their geographical location, </w:t>
      </w:r>
      <w:r w:rsidR="004F7375">
        <w:rPr>
          <w:color w:val="000000"/>
        </w:rPr>
        <w:t xml:space="preserve">are </w:t>
      </w:r>
      <w:r w:rsidRPr="007A7801">
        <w:rPr>
          <w:color w:val="000000"/>
        </w:rPr>
        <w:t xml:space="preserve">able to have access to quality health services. </w:t>
      </w:r>
    </w:p>
    <w:p w:rsidR="005B39D1" w:rsidRPr="007A7801" w:rsidRDefault="005B39D1" w:rsidP="005B39D1">
      <w:pPr>
        <w:tabs>
          <w:tab w:val="left" w:pos="426"/>
        </w:tabs>
        <w:jc w:val="both"/>
        <w:textAlignment w:val="top"/>
        <w:rPr>
          <w:color w:val="000000"/>
        </w:rPr>
      </w:pPr>
    </w:p>
    <w:p w:rsidR="00D64A6A" w:rsidRDefault="005B39D1" w:rsidP="00F74058">
      <w:pPr>
        <w:tabs>
          <w:tab w:val="left" w:pos="426"/>
        </w:tabs>
        <w:ind w:left="360"/>
        <w:jc w:val="both"/>
        <w:textAlignment w:val="top"/>
        <w:rPr>
          <w:rFonts w:eastAsia="Calibri"/>
        </w:rPr>
        <w:sectPr w:rsidR="00D64A6A" w:rsidSect="00F0709B">
          <w:type w:val="continuous"/>
          <w:pgSz w:w="12240" w:h="15840"/>
          <w:pgMar w:top="1560" w:right="1440" w:bottom="1296" w:left="1440" w:header="720" w:footer="720" w:gutter="0"/>
          <w:cols w:space="720"/>
          <w:titlePg/>
          <w:docGrid w:linePitch="360"/>
        </w:sectPr>
      </w:pPr>
      <w:r w:rsidRPr="007A7801">
        <w:t xml:space="preserve">The Ministry of Health is preparing a Digital Strategy that promotes the establishment of  </w:t>
      </w:r>
      <w:r w:rsidR="004F7375">
        <w:t xml:space="preserve">an </w:t>
      </w:r>
      <w:r w:rsidRPr="007A7801">
        <w:rPr>
          <w:rFonts w:eastAsia="Calibri"/>
        </w:rPr>
        <w:t>Integrated Health Care Information System</w:t>
      </w:r>
      <w:r w:rsidRPr="007A7801">
        <w:rPr>
          <w:color w:val="000000"/>
          <w:lang w:eastAsia="el-GR"/>
        </w:rPr>
        <w:t xml:space="preserve">. </w:t>
      </w:r>
      <w:r w:rsidRPr="007A7801">
        <w:t xml:space="preserve">The </w:t>
      </w:r>
      <w:r w:rsidRPr="007A7801">
        <w:rPr>
          <w:rFonts w:eastAsia="Calibri"/>
        </w:rPr>
        <w:t xml:space="preserve">Integrated Health Care Information System </w:t>
      </w:r>
      <w:r w:rsidRPr="007A7801">
        <w:t xml:space="preserve">covers the key elements of the hospital procedures in order to control both quality of service to patients and hospital cost. The </w:t>
      </w:r>
      <w:r w:rsidRPr="007A7801">
        <w:rPr>
          <w:rFonts w:eastAsia="Calibri"/>
        </w:rPr>
        <w:t xml:space="preserve">Integrated Health Care Information System </w:t>
      </w:r>
      <w:r w:rsidRPr="007A7801">
        <w:t xml:space="preserve">has already been installed in the General Hospital of Nicosia and Famagusta and the plan is to be installed in all other public hospitals. With the </w:t>
      </w:r>
      <w:r w:rsidRPr="007A7801">
        <w:rPr>
          <w:rFonts w:eastAsia="Calibri"/>
        </w:rPr>
        <w:t xml:space="preserve">Integrated Health Care Information System </w:t>
      </w:r>
    </w:p>
    <w:p w:rsidR="005B39D1" w:rsidRPr="007A7801" w:rsidRDefault="005B39D1" w:rsidP="00F74058">
      <w:pPr>
        <w:tabs>
          <w:tab w:val="left" w:pos="426"/>
        </w:tabs>
        <w:ind w:left="360"/>
        <w:jc w:val="both"/>
        <w:textAlignment w:val="top"/>
      </w:pPr>
      <w:r w:rsidRPr="007A7801">
        <w:lastRenderedPageBreak/>
        <w:t>the Ministry of Health will achieve the standardi</w:t>
      </w:r>
      <w:r w:rsidR="004F7375">
        <w:t>s</w:t>
      </w:r>
      <w:r w:rsidRPr="007A7801">
        <w:t xml:space="preserve">ation of hospital procedures to all public hospitals (the public hospitals will work the same way).  </w:t>
      </w:r>
    </w:p>
    <w:p w:rsidR="005B39D1" w:rsidRPr="007A7801" w:rsidRDefault="005B39D1" w:rsidP="005B39D1">
      <w:pPr>
        <w:tabs>
          <w:tab w:val="left" w:pos="426"/>
        </w:tabs>
        <w:ind w:left="360"/>
        <w:jc w:val="both"/>
        <w:textAlignment w:val="top"/>
        <w:rPr>
          <w:color w:val="000000"/>
          <w:lang w:eastAsia="el-GR"/>
        </w:rPr>
      </w:pPr>
      <w:r w:rsidRPr="007A7801">
        <w:rPr>
          <w:rStyle w:val="gt-icon-text1"/>
          <w:vanish/>
          <w:color w:val="1111CC"/>
          <w:sz w:val="13"/>
          <w:szCs w:val="13"/>
        </w:rPr>
        <w:t>Listen</w:t>
      </w:r>
    </w:p>
    <w:p w:rsidR="005B39D1" w:rsidRPr="007A7801" w:rsidRDefault="005B39D1" w:rsidP="005B39D1">
      <w:pPr>
        <w:textAlignment w:val="top"/>
        <w:rPr>
          <w:vanish/>
          <w:color w:val="1111CC"/>
          <w:sz w:val="13"/>
          <w:szCs w:val="13"/>
        </w:rPr>
      </w:pPr>
      <w:r w:rsidRPr="007A7801">
        <w:rPr>
          <w:rStyle w:val="gt-icon-text1"/>
          <w:vanish/>
          <w:color w:val="1111CC"/>
          <w:sz w:val="13"/>
          <w:szCs w:val="13"/>
        </w:rPr>
        <w:t>Read phonetically</w:t>
      </w:r>
    </w:p>
    <w:p w:rsidR="005B39D1" w:rsidRPr="007A7801" w:rsidRDefault="005B39D1" w:rsidP="005B39D1">
      <w:pPr>
        <w:textAlignment w:val="top"/>
        <w:rPr>
          <w:vanish/>
          <w:color w:val="1111CC"/>
          <w:sz w:val="15"/>
          <w:szCs w:val="15"/>
        </w:rPr>
      </w:pPr>
      <w:r w:rsidRPr="007A7801">
        <w:rPr>
          <w:rStyle w:val="gt-icon-text1"/>
          <w:vanish/>
          <w:color w:val="1111CC"/>
          <w:sz w:val="15"/>
          <w:szCs w:val="15"/>
        </w:rPr>
        <w:t>Listen</w:t>
      </w:r>
    </w:p>
    <w:p w:rsidR="005B39D1" w:rsidRPr="007A7801" w:rsidRDefault="005B39D1" w:rsidP="005B39D1">
      <w:pPr>
        <w:textAlignment w:val="top"/>
        <w:rPr>
          <w:vanish/>
          <w:color w:val="1111CC"/>
          <w:sz w:val="15"/>
          <w:szCs w:val="15"/>
        </w:rPr>
      </w:pPr>
      <w:r w:rsidRPr="007A7801">
        <w:rPr>
          <w:rStyle w:val="gt-icon-text1"/>
          <w:vanish/>
          <w:color w:val="1111CC"/>
          <w:sz w:val="15"/>
          <w:szCs w:val="15"/>
        </w:rPr>
        <w:t>Read phonetically</w:t>
      </w:r>
    </w:p>
    <w:p w:rsidR="005B39D1" w:rsidRPr="007A7801" w:rsidRDefault="005B39D1" w:rsidP="005B39D1">
      <w:pPr>
        <w:spacing w:after="115" w:line="184" w:lineRule="atLeast"/>
        <w:textAlignment w:val="top"/>
        <w:outlineLvl w:val="3"/>
        <w:rPr>
          <w:vanish/>
          <w:color w:val="888888"/>
          <w:sz w:val="15"/>
          <w:szCs w:val="15"/>
        </w:rPr>
      </w:pPr>
      <w:r w:rsidRPr="007A7801">
        <w:rPr>
          <w:vanish/>
          <w:color w:val="888888"/>
          <w:sz w:val="15"/>
          <w:szCs w:val="15"/>
        </w:rPr>
        <w:t xml:space="preserve">Dictionary - </w:t>
      </w:r>
      <w:hyperlink r:id="rId30" w:history="1">
        <w:r w:rsidRPr="007A7801">
          <w:rPr>
            <w:vanish/>
            <w:color w:val="4272DB"/>
            <w:sz w:val="15"/>
            <w:szCs w:val="15"/>
          </w:rPr>
          <w:t>View detailed dictionary</w:t>
        </w:r>
      </w:hyperlink>
    </w:p>
    <w:p w:rsidR="005B39D1" w:rsidRDefault="005B39D1" w:rsidP="001D09A7">
      <w:pPr>
        <w:pStyle w:val="ListParagraph"/>
        <w:numPr>
          <w:ilvl w:val="0"/>
          <w:numId w:val="22"/>
        </w:numPr>
        <w:tabs>
          <w:tab w:val="left" w:pos="426"/>
        </w:tabs>
        <w:ind w:left="450" w:hanging="450"/>
        <w:contextualSpacing/>
        <w:jc w:val="both"/>
        <w:textAlignment w:val="top"/>
        <w:rPr>
          <w:color w:val="000000"/>
        </w:rPr>
      </w:pPr>
      <w:r w:rsidRPr="007A7801">
        <w:rPr>
          <w:color w:val="000000"/>
        </w:rPr>
        <w:t>Offer digital boost to the two main pillars of the economy, tourism and services, for increas</w:t>
      </w:r>
      <w:r w:rsidR="004F7375">
        <w:rPr>
          <w:color w:val="000000"/>
        </w:rPr>
        <w:t>ing</w:t>
      </w:r>
      <w:r w:rsidRPr="007A7801">
        <w:rPr>
          <w:color w:val="000000"/>
        </w:rPr>
        <w:t xml:space="preserve"> </w:t>
      </w:r>
      <w:r w:rsidR="004F7375">
        <w:rPr>
          <w:color w:val="000000"/>
        </w:rPr>
        <w:t xml:space="preserve">the </w:t>
      </w:r>
      <w:r w:rsidRPr="007A7801">
        <w:rPr>
          <w:color w:val="000000"/>
        </w:rPr>
        <w:t>competitiveness of the Cyprus economy.</w:t>
      </w:r>
    </w:p>
    <w:p w:rsidR="00AF139F" w:rsidRDefault="00AF139F" w:rsidP="00AF139F">
      <w:pPr>
        <w:pStyle w:val="ListParagraph"/>
        <w:tabs>
          <w:tab w:val="left" w:pos="426"/>
        </w:tabs>
        <w:ind w:left="450"/>
        <w:contextualSpacing/>
        <w:jc w:val="both"/>
        <w:textAlignment w:val="top"/>
        <w:rPr>
          <w:color w:val="000000"/>
        </w:rPr>
      </w:pPr>
    </w:p>
    <w:p w:rsidR="00AF139F" w:rsidRPr="00C46D30" w:rsidRDefault="00AF139F" w:rsidP="001D09A7">
      <w:pPr>
        <w:pStyle w:val="ListParagraph"/>
        <w:numPr>
          <w:ilvl w:val="0"/>
          <w:numId w:val="22"/>
        </w:numPr>
        <w:tabs>
          <w:tab w:val="left" w:pos="426"/>
        </w:tabs>
        <w:ind w:left="360"/>
        <w:contextualSpacing/>
        <w:jc w:val="both"/>
        <w:textAlignment w:val="top"/>
        <w:rPr>
          <w:color w:val="000000"/>
        </w:rPr>
      </w:pPr>
      <w:r w:rsidRPr="00C46D30">
        <w:rPr>
          <w:color w:val="000000"/>
        </w:rPr>
        <w:t>Upgrading of the infrastructure of the public tertiary education (</w:t>
      </w:r>
      <w:r w:rsidR="00D64A6A">
        <w:rPr>
          <w:color w:val="000000"/>
        </w:rPr>
        <w:t>e</w:t>
      </w:r>
      <w:r w:rsidRPr="00C46D30">
        <w:rPr>
          <w:color w:val="000000"/>
        </w:rPr>
        <w:t>-U</w:t>
      </w:r>
      <w:r w:rsidR="00D64A6A">
        <w:rPr>
          <w:color w:val="000000"/>
        </w:rPr>
        <w:t>niversity</w:t>
      </w:r>
      <w:r w:rsidRPr="00C46D30">
        <w:rPr>
          <w:color w:val="000000"/>
        </w:rPr>
        <w:t xml:space="preserve">). Within the framework of the Operational Programme </w:t>
      </w:r>
      <w:r w:rsidR="004F7375">
        <w:rPr>
          <w:color w:val="000000"/>
        </w:rPr>
        <w:t>“</w:t>
      </w:r>
      <w:r w:rsidRPr="00C46D30">
        <w:rPr>
          <w:color w:val="000000"/>
        </w:rPr>
        <w:t>Sustainable Development and Competitiveness 2007-2013</w:t>
      </w:r>
      <w:r w:rsidR="004F7375">
        <w:rPr>
          <w:color w:val="000000"/>
        </w:rPr>
        <w:t>”</w:t>
      </w:r>
      <w:r w:rsidRPr="00C46D30">
        <w:rPr>
          <w:color w:val="000000"/>
        </w:rPr>
        <w:t xml:space="preserve">, three projects have been approved regarding the three </w:t>
      </w:r>
      <w:r w:rsidR="004F7375">
        <w:rPr>
          <w:color w:val="000000"/>
        </w:rPr>
        <w:t>public</w:t>
      </w:r>
      <w:r w:rsidR="004F7375" w:rsidRPr="00C46D30">
        <w:rPr>
          <w:color w:val="000000"/>
        </w:rPr>
        <w:t xml:space="preserve"> </w:t>
      </w:r>
      <w:r w:rsidRPr="00C46D30">
        <w:rPr>
          <w:color w:val="000000"/>
        </w:rPr>
        <w:t xml:space="preserve">Universities: the University of Cyprus, the </w:t>
      </w:r>
      <w:r w:rsidR="00C87EB0">
        <w:rPr>
          <w:color w:val="000000"/>
        </w:rPr>
        <w:t>Cyprus University of Technology</w:t>
      </w:r>
      <w:r w:rsidRPr="00C46D30">
        <w:rPr>
          <w:color w:val="000000"/>
        </w:rPr>
        <w:t xml:space="preserve"> and the Open University of Cyprus. The projects aim towards the upgrading and development of technological infrastructure that will provide the tools for integrated, automated and quality services for students, academic and administrative personnel. The projects will be co-financed by the </w:t>
      </w:r>
      <w:r w:rsidRPr="00C46D30">
        <w:t>ERDF.</w:t>
      </w:r>
    </w:p>
    <w:p w:rsidR="005B39D1" w:rsidRPr="007A7801" w:rsidRDefault="005B39D1" w:rsidP="005B39D1">
      <w:pPr>
        <w:tabs>
          <w:tab w:val="left" w:pos="426"/>
        </w:tabs>
        <w:ind w:left="426" w:hanging="426"/>
        <w:jc w:val="both"/>
        <w:textAlignment w:val="top"/>
        <w:rPr>
          <w:color w:val="000000"/>
          <w:lang w:eastAsia="el-GR"/>
        </w:rPr>
      </w:pPr>
    </w:p>
    <w:p w:rsidR="005B39D1" w:rsidRPr="007A7801" w:rsidRDefault="005B39D1" w:rsidP="001D09A7">
      <w:pPr>
        <w:pStyle w:val="ListParagraph"/>
        <w:numPr>
          <w:ilvl w:val="0"/>
          <w:numId w:val="14"/>
        </w:numPr>
        <w:tabs>
          <w:tab w:val="left" w:pos="360"/>
        </w:tabs>
        <w:ind w:left="360"/>
        <w:contextualSpacing/>
        <w:jc w:val="both"/>
        <w:textAlignment w:val="top"/>
        <w:rPr>
          <w:b/>
          <w:u w:val="single"/>
          <w:lang w:eastAsia="el-GR"/>
        </w:rPr>
      </w:pPr>
      <w:r w:rsidRPr="007A7801">
        <w:rPr>
          <w:b/>
          <w:u w:val="single"/>
          <w:lang w:eastAsia="el-GR"/>
        </w:rPr>
        <w:t xml:space="preserve">Empowering Human Capital </w:t>
      </w:r>
    </w:p>
    <w:p w:rsidR="005B39D1" w:rsidRPr="007A7801" w:rsidRDefault="005B39D1" w:rsidP="005B39D1">
      <w:pPr>
        <w:tabs>
          <w:tab w:val="left" w:pos="426"/>
        </w:tabs>
        <w:ind w:left="426" w:hanging="426"/>
        <w:jc w:val="both"/>
        <w:textAlignment w:val="top"/>
        <w:rPr>
          <w:b/>
          <w:lang w:eastAsia="el-GR"/>
        </w:rPr>
      </w:pPr>
    </w:p>
    <w:p w:rsidR="005B39D1" w:rsidRPr="007A7801" w:rsidRDefault="005B39D1" w:rsidP="001D09A7">
      <w:pPr>
        <w:pStyle w:val="ListParagraph"/>
        <w:numPr>
          <w:ilvl w:val="0"/>
          <w:numId w:val="22"/>
        </w:numPr>
        <w:tabs>
          <w:tab w:val="left" w:pos="426"/>
        </w:tabs>
        <w:ind w:left="450" w:hanging="450"/>
        <w:contextualSpacing/>
        <w:jc w:val="both"/>
        <w:textAlignment w:val="top"/>
        <w:rPr>
          <w:color w:val="000000"/>
        </w:rPr>
      </w:pPr>
      <w:r w:rsidRPr="007A7801">
        <w:rPr>
          <w:color w:val="000000"/>
        </w:rPr>
        <w:t xml:space="preserve">Promote the digital literacy of all businesses, workers and unemployed people with the ultimate goal of their electronic integration, the improvement of the quality of their lives as well as their skills. </w:t>
      </w:r>
    </w:p>
    <w:p w:rsidR="005B39D1" w:rsidRPr="007A7801" w:rsidRDefault="005B39D1" w:rsidP="000A32EB">
      <w:pPr>
        <w:tabs>
          <w:tab w:val="left" w:pos="0"/>
          <w:tab w:val="left" w:pos="426"/>
        </w:tabs>
        <w:jc w:val="both"/>
        <w:textAlignment w:val="top"/>
        <w:rPr>
          <w:color w:val="000000"/>
          <w:highlight w:val="yellow"/>
          <w:lang w:eastAsia="el-GR"/>
        </w:rPr>
      </w:pPr>
    </w:p>
    <w:p w:rsidR="005B39D1" w:rsidRPr="007A7801" w:rsidRDefault="005B39D1" w:rsidP="000A32EB">
      <w:pPr>
        <w:tabs>
          <w:tab w:val="left" w:pos="426"/>
        </w:tabs>
        <w:ind w:left="450"/>
        <w:jc w:val="both"/>
        <w:rPr>
          <w:rStyle w:val="hps"/>
        </w:rPr>
      </w:pPr>
      <w:r w:rsidRPr="007A7801">
        <w:rPr>
          <w:rStyle w:val="hps"/>
        </w:rPr>
        <w:t>Training program</w:t>
      </w:r>
      <w:r w:rsidR="00C87EB0">
        <w:rPr>
          <w:rStyle w:val="hps"/>
        </w:rPr>
        <w:t>me</w:t>
      </w:r>
      <w:r w:rsidRPr="007A7801">
        <w:rPr>
          <w:rStyle w:val="hps"/>
        </w:rPr>
        <w:t>s in ICT skills that lead to international certification will be developed. The target group of these program</w:t>
      </w:r>
      <w:r w:rsidR="00C87EB0">
        <w:rPr>
          <w:rStyle w:val="hps"/>
        </w:rPr>
        <w:t>me</w:t>
      </w:r>
      <w:r w:rsidRPr="007A7801">
        <w:rPr>
          <w:rStyle w:val="hps"/>
        </w:rPr>
        <w:t xml:space="preserve">s will be unemployed people of various educational levels who wish to be employed in sectors that use ICT, individuals who possess the necessary background and wish to become specialists in ICT (IT specialists), as well as  entrepreneurs and professionals with limited knowledge on ICT. Some measures in this direction are: </w:t>
      </w:r>
    </w:p>
    <w:p w:rsidR="005B39D1" w:rsidRPr="007A7801" w:rsidRDefault="005B39D1" w:rsidP="000A32EB">
      <w:pPr>
        <w:tabs>
          <w:tab w:val="left" w:pos="426"/>
        </w:tabs>
        <w:jc w:val="both"/>
        <w:rPr>
          <w:rStyle w:val="hps"/>
        </w:rPr>
      </w:pPr>
    </w:p>
    <w:p w:rsidR="005B39D1" w:rsidRPr="007A7801" w:rsidRDefault="005B39D1" w:rsidP="001D09A7">
      <w:pPr>
        <w:pStyle w:val="ListParagraph"/>
        <w:numPr>
          <w:ilvl w:val="0"/>
          <w:numId w:val="20"/>
        </w:numPr>
        <w:tabs>
          <w:tab w:val="left" w:pos="426"/>
        </w:tabs>
        <w:ind w:left="851" w:hanging="425"/>
        <w:contextualSpacing/>
        <w:jc w:val="both"/>
        <w:textAlignment w:val="top"/>
        <w:rPr>
          <w:lang w:eastAsia="el-GR"/>
        </w:rPr>
      </w:pPr>
      <w:r w:rsidRPr="007A7801">
        <w:rPr>
          <w:lang w:eastAsia="el-GR"/>
        </w:rPr>
        <w:t xml:space="preserve">The Cyprus Productivity Centre </w:t>
      </w:r>
      <w:r w:rsidR="00FD4D34">
        <w:rPr>
          <w:lang w:eastAsia="el-GR"/>
        </w:rPr>
        <w:t>has been offering since June 2010</w:t>
      </w:r>
      <w:r w:rsidR="00FD4D34" w:rsidRPr="007A7801">
        <w:rPr>
          <w:lang w:eastAsia="el-GR"/>
        </w:rPr>
        <w:t xml:space="preserve"> </w:t>
      </w:r>
      <w:r w:rsidRPr="007A7801">
        <w:rPr>
          <w:lang w:eastAsia="el-GR"/>
        </w:rPr>
        <w:t>the possibility, via its Learning Management System “e Gnosis”, free access to educational program</w:t>
      </w:r>
      <w:r w:rsidR="00C87EB0">
        <w:rPr>
          <w:lang w:eastAsia="el-GR"/>
        </w:rPr>
        <w:t>me</w:t>
      </w:r>
      <w:r w:rsidRPr="007A7801">
        <w:rPr>
          <w:lang w:eastAsia="el-GR"/>
        </w:rPr>
        <w:t>s on e Skills, which are based on the 7 units of ECDL (European Computer Driving License).</w:t>
      </w:r>
    </w:p>
    <w:p w:rsidR="005B39D1" w:rsidRPr="007A7801" w:rsidRDefault="005B39D1" w:rsidP="001D09A7">
      <w:pPr>
        <w:pStyle w:val="ListParagraph"/>
        <w:numPr>
          <w:ilvl w:val="0"/>
          <w:numId w:val="20"/>
        </w:numPr>
        <w:tabs>
          <w:tab w:val="left" w:pos="426"/>
        </w:tabs>
        <w:ind w:left="851" w:hanging="425"/>
        <w:contextualSpacing/>
        <w:jc w:val="both"/>
        <w:textAlignment w:val="top"/>
        <w:rPr>
          <w:lang w:eastAsia="el-GR"/>
        </w:rPr>
      </w:pPr>
      <w:r w:rsidRPr="007A7801">
        <w:rPr>
          <w:lang w:eastAsia="el-GR"/>
        </w:rPr>
        <w:t xml:space="preserve">The “e-Volve Project” </w:t>
      </w:r>
      <w:r w:rsidR="00DF3E45">
        <w:rPr>
          <w:lang w:eastAsia="el-GR"/>
        </w:rPr>
        <w:t xml:space="preserve">has been </w:t>
      </w:r>
      <w:r w:rsidRPr="007A7801">
        <w:rPr>
          <w:lang w:eastAsia="el-GR"/>
        </w:rPr>
        <w:t>implemented by the Cyprus Productivity Centre within the framework of the European Social Fund since March 2010. For the period 2010 – 2013</w:t>
      </w:r>
      <w:r w:rsidR="00DF3E45">
        <w:rPr>
          <w:lang w:eastAsia="el-GR"/>
        </w:rPr>
        <w:t>,</w:t>
      </w:r>
      <w:r w:rsidRPr="007A7801">
        <w:rPr>
          <w:lang w:eastAsia="el-GR"/>
        </w:rPr>
        <w:t xml:space="preserve"> approximately 2</w:t>
      </w:r>
      <w:r w:rsidR="00DF3E45">
        <w:rPr>
          <w:lang w:eastAsia="el-GR"/>
        </w:rPr>
        <w:t>.</w:t>
      </w:r>
      <w:r w:rsidRPr="007A7801">
        <w:rPr>
          <w:lang w:eastAsia="el-GR"/>
        </w:rPr>
        <w:t xml:space="preserve">500 SMEs will receive training and consultancy services on e Business issues. </w:t>
      </w:r>
    </w:p>
    <w:p w:rsidR="005B39D1" w:rsidRPr="007A7801" w:rsidRDefault="005B39D1" w:rsidP="000A32EB">
      <w:pPr>
        <w:tabs>
          <w:tab w:val="left" w:pos="0"/>
          <w:tab w:val="left" w:pos="426"/>
        </w:tabs>
        <w:ind w:left="851" w:hanging="425"/>
        <w:textAlignment w:val="top"/>
        <w:rPr>
          <w:b/>
          <w:color w:val="000000"/>
        </w:rPr>
      </w:pPr>
    </w:p>
    <w:p w:rsidR="00EC471E" w:rsidRDefault="00EC471E" w:rsidP="00EC471E">
      <w:pPr>
        <w:pStyle w:val="ListParagraph"/>
        <w:numPr>
          <w:ilvl w:val="0"/>
          <w:numId w:val="22"/>
        </w:numPr>
        <w:tabs>
          <w:tab w:val="left" w:pos="426"/>
        </w:tabs>
        <w:ind w:left="450" w:hanging="450"/>
        <w:contextualSpacing/>
        <w:jc w:val="both"/>
        <w:textAlignment w:val="top"/>
        <w:rPr>
          <w:color w:val="000000"/>
        </w:rPr>
        <w:sectPr w:rsidR="00EC471E" w:rsidSect="00F0709B">
          <w:type w:val="continuous"/>
          <w:pgSz w:w="12240" w:h="15840"/>
          <w:pgMar w:top="1560" w:right="1440" w:bottom="1296" w:left="1440" w:header="720" w:footer="720" w:gutter="0"/>
          <w:cols w:space="720"/>
          <w:titlePg/>
          <w:docGrid w:linePitch="360"/>
        </w:sectPr>
      </w:pPr>
    </w:p>
    <w:p w:rsidR="005B39D1" w:rsidRPr="00D64A6A" w:rsidRDefault="005B39D1" w:rsidP="005B39D1">
      <w:pPr>
        <w:pStyle w:val="ListParagraph"/>
        <w:numPr>
          <w:ilvl w:val="0"/>
          <w:numId w:val="22"/>
        </w:numPr>
        <w:tabs>
          <w:tab w:val="left" w:pos="426"/>
        </w:tabs>
        <w:ind w:left="450" w:hanging="450"/>
        <w:contextualSpacing/>
        <w:jc w:val="both"/>
        <w:textAlignment w:val="top"/>
        <w:rPr>
          <w:vanish/>
          <w:color w:val="1111CC"/>
          <w:sz w:val="13"/>
          <w:szCs w:val="13"/>
        </w:rPr>
      </w:pPr>
      <w:r w:rsidRPr="00D64A6A">
        <w:rPr>
          <w:color w:val="000000"/>
        </w:rPr>
        <w:lastRenderedPageBreak/>
        <w:t>The enrollment of all citizen</w:t>
      </w:r>
      <w:r w:rsidR="00EC471E" w:rsidRPr="00D64A6A">
        <w:rPr>
          <w:color w:val="000000"/>
        </w:rPr>
        <w:t>s in lifelong learning program</w:t>
      </w:r>
      <w:r w:rsidR="00C87EB0">
        <w:rPr>
          <w:color w:val="000000"/>
        </w:rPr>
        <w:t>me</w:t>
      </w:r>
      <w:r w:rsidR="00EC471E" w:rsidRPr="00D64A6A">
        <w:rPr>
          <w:color w:val="000000"/>
        </w:rPr>
        <w:t>s.</w:t>
      </w:r>
      <w:r w:rsidR="00DF3E45" w:rsidRPr="00D64A6A">
        <w:rPr>
          <w:color w:val="000000"/>
        </w:rPr>
        <w:t xml:space="preserve"> </w:t>
      </w:r>
      <w:r w:rsidRPr="007A7801">
        <w:rPr>
          <w:lang w:eastAsia="el-GR"/>
        </w:rPr>
        <w:t>Program</w:t>
      </w:r>
      <w:r w:rsidR="00C87EB0">
        <w:rPr>
          <w:lang w:eastAsia="el-GR"/>
        </w:rPr>
        <w:t>me</w:t>
      </w:r>
      <w:r w:rsidRPr="007A7801">
        <w:rPr>
          <w:lang w:eastAsia="el-GR"/>
        </w:rPr>
        <w:t>s that provide lifelong learning in ICT, which are open to all citizens will be developed. These program</w:t>
      </w:r>
      <w:r w:rsidR="00C87EB0">
        <w:rPr>
          <w:lang w:eastAsia="el-GR"/>
        </w:rPr>
        <w:t>me</w:t>
      </w:r>
      <w:r w:rsidRPr="007A7801">
        <w:rPr>
          <w:lang w:eastAsia="el-GR"/>
        </w:rPr>
        <w:t>s can run on existing training centers or mobile training units. The mobile training units will be specially designed and equipped to train social groups that do not have easy access to educational centers, such as people living in remote areas, soldiers in the camps, prisoners, etc. The mobile training unit should be specially configured and equipped to support training program</w:t>
      </w:r>
      <w:r w:rsidR="00C87EB0">
        <w:rPr>
          <w:lang w:eastAsia="el-GR"/>
        </w:rPr>
        <w:t>me</w:t>
      </w:r>
      <w:r w:rsidRPr="007A7801">
        <w:rPr>
          <w:lang w:eastAsia="el-GR"/>
        </w:rPr>
        <w:t>s for groups with mobility problems (eg</w:t>
      </w:r>
      <w:r w:rsidR="00DF3E45">
        <w:rPr>
          <w:lang w:eastAsia="el-GR"/>
        </w:rPr>
        <w:t>.</w:t>
      </w:r>
      <w:r w:rsidRPr="007A7801">
        <w:rPr>
          <w:lang w:eastAsia="el-GR"/>
        </w:rPr>
        <w:t xml:space="preserve"> elderly and paraplegic). Additionally</w:t>
      </w:r>
      <w:r w:rsidR="00C87EB0">
        <w:rPr>
          <w:lang w:eastAsia="el-GR"/>
        </w:rPr>
        <w:t>,</w:t>
      </w:r>
      <w:r w:rsidRPr="007A7801">
        <w:rPr>
          <w:lang w:eastAsia="el-GR"/>
        </w:rPr>
        <w:t xml:space="preserve"> the educational program</w:t>
      </w:r>
      <w:r w:rsidR="00C87EB0">
        <w:rPr>
          <w:lang w:eastAsia="el-GR"/>
        </w:rPr>
        <w:t>me</w:t>
      </w:r>
      <w:r w:rsidRPr="007A7801">
        <w:rPr>
          <w:lang w:eastAsia="el-GR"/>
        </w:rPr>
        <w:t xml:space="preserve">s may be offered on-line in the form of </w:t>
      </w:r>
      <w:r w:rsidR="00DF3E45">
        <w:rPr>
          <w:lang w:eastAsia="el-GR"/>
        </w:rPr>
        <w:t>“</w:t>
      </w:r>
      <w:r w:rsidRPr="007A7801">
        <w:rPr>
          <w:lang w:eastAsia="el-GR"/>
        </w:rPr>
        <w:t>open school</w:t>
      </w:r>
      <w:r w:rsidR="00DF3E45">
        <w:rPr>
          <w:lang w:eastAsia="el-GR"/>
        </w:rPr>
        <w:t>”</w:t>
      </w:r>
      <w:r w:rsidRPr="007A7801">
        <w:rPr>
          <w:lang w:eastAsia="el-GR"/>
        </w:rPr>
        <w:t>. The educational program</w:t>
      </w:r>
      <w:r w:rsidR="00C87EB0">
        <w:rPr>
          <w:lang w:eastAsia="el-GR"/>
        </w:rPr>
        <w:t>me</w:t>
      </w:r>
      <w:r w:rsidRPr="007A7801">
        <w:rPr>
          <w:lang w:eastAsia="el-GR"/>
        </w:rPr>
        <w:t xml:space="preserve">s can include courses for the basic use of computers, email, browsers, social networking, making electronic purchases and other transactions such as e-banking or using e-government services. </w:t>
      </w:r>
      <w:r w:rsidRPr="00D64A6A">
        <w:rPr>
          <w:rStyle w:val="gt-icon-text1"/>
          <w:vanish/>
          <w:color w:val="1111CC"/>
          <w:sz w:val="13"/>
          <w:szCs w:val="13"/>
        </w:rPr>
        <w:t>Listen</w:t>
      </w:r>
    </w:p>
    <w:p w:rsidR="005B39D1" w:rsidRPr="007A7801" w:rsidRDefault="005B39D1" w:rsidP="005B39D1">
      <w:pPr>
        <w:textAlignment w:val="top"/>
        <w:rPr>
          <w:vanish/>
          <w:color w:val="1111CC"/>
          <w:sz w:val="13"/>
          <w:szCs w:val="13"/>
        </w:rPr>
      </w:pPr>
      <w:r w:rsidRPr="007A7801">
        <w:rPr>
          <w:rStyle w:val="gt-icon-text1"/>
          <w:vanish/>
          <w:color w:val="1111CC"/>
          <w:sz w:val="13"/>
          <w:szCs w:val="13"/>
        </w:rPr>
        <w:t>Read phonetically</w:t>
      </w:r>
    </w:p>
    <w:p w:rsidR="00D64A6A" w:rsidRDefault="00D64A6A" w:rsidP="00D64A6A">
      <w:pPr>
        <w:tabs>
          <w:tab w:val="left" w:pos="426"/>
        </w:tabs>
        <w:contextualSpacing/>
        <w:jc w:val="both"/>
        <w:textAlignment w:val="top"/>
        <w:rPr>
          <w:color w:val="000000"/>
        </w:rPr>
      </w:pPr>
    </w:p>
    <w:p w:rsidR="00D64A6A" w:rsidRDefault="00D64A6A" w:rsidP="00D64A6A">
      <w:pPr>
        <w:tabs>
          <w:tab w:val="left" w:pos="426"/>
        </w:tabs>
        <w:contextualSpacing/>
        <w:jc w:val="both"/>
        <w:textAlignment w:val="top"/>
        <w:rPr>
          <w:color w:val="000000"/>
        </w:rPr>
      </w:pPr>
    </w:p>
    <w:p w:rsidR="00D64A6A" w:rsidRDefault="00D64A6A" w:rsidP="00D64A6A">
      <w:pPr>
        <w:tabs>
          <w:tab w:val="left" w:pos="426"/>
        </w:tabs>
        <w:contextualSpacing/>
        <w:jc w:val="both"/>
        <w:textAlignment w:val="top"/>
        <w:rPr>
          <w:color w:val="000000"/>
        </w:rPr>
        <w:sectPr w:rsidR="00D64A6A" w:rsidSect="00F0709B">
          <w:headerReference w:type="default" r:id="rId31"/>
          <w:type w:val="continuous"/>
          <w:pgSz w:w="12240" w:h="15840"/>
          <w:pgMar w:top="1560" w:right="1440" w:bottom="1296" w:left="1440" w:header="720" w:footer="720" w:gutter="0"/>
          <w:cols w:space="720"/>
          <w:titlePg/>
          <w:docGrid w:linePitch="360"/>
        </w:sectPr>
      </w:pPr>
    </w:p>
    <w:p w:rsidR="005B39D1" w:rsidRPr="00D64A6A" w:rsidRDefault="00D64A6A" w:rsidP="00D64A6A">
      <w:pPr>
        <w:tabs>
          <w:tab w:val="left" w:pos="426"/>
        </w:tabs>
        <w:contextualSpacing/>
        <w:jc w:val="both"/>
        <w:textAlignment w:val="top"/>
        <w:rPr>
          <w:color w:val="000000"/>
        </w:rPr>
      </w:pPr>
      <w:r>
        <w:rPr>
          <w:color w:val="000000"/>
        </w:rPr>
        <w:lastRenderedPageBreak/>
        <w:t>13.</w:t>
      </w:r>
      <w:r>
        <w:rPr>
          <w:color w:val="000000"/>
        </w:rPr>
        <w:tab/>
      </w:r>
      <w:r w:rsidR="005B39D1" w:rsidRPr="00D64A6A">
        <w:rPr>
          <w:color w:val="000000"/>
        </w:rPr>
        <w:t>The enhancement of the ICT competences and skills of all public sector employees.</w:t>
      </w:r>
    </w:p>
    <w:p w:rsidR="005B39D1" w:rsidRPr="007A7801" w:rsidRDefault="005B39D1" w:rsidP="005B39D1">
      <w:pPr>
        <w:pStyle w:val="ListParagraph"/>
        <w:tabs>
          <w:tab w:val="left" w:pos="426"/>
        </w:tabs>
        <w:ind w:left="450"/>
        <w:jc w:val="both"/>
        <w:textAlignment w:val="top"/>
        <w:rPr>
          <w:color w:val="000000"/>
        </w:rPr>
      </w:pPr>
    </w:p>
    <w:p w:rsidR="005B39D1" w:rsidRPr="00D64A6A" w:rsidRDefault="00D64A6A" w:rsidP="00D64A6A">
      <w:pPr>
        <w:tabs>
          <w:tab w:val="left" w:pos="426"/>
        </w:tabs>
        <w:ind w:left="426" w:hanging="426"/>
        <w:contextualSpacing/>
        <w:jc w:val="both"/>
        <w:textAlignment w:val="top"/>
        <w:rPr>
          <w:color w:val="000000"/>
        </w:rPr>
      </w:pPr>
      <w:r>
        <w:rPr>
          <w:color w:val="000000"/>
        </w:rPr>
        <w:t>14.</w:t>
      </w:r>
      <w:r>
        <w:rPr>
          <w:color w:val="000000"/>
        </w:rPr>
        <w:tab/>
      </w:r>
      <w:r w:rsidR="005B39D1" w:rsidRPr="00D64A6A">
        <w:rPr>
          <w:color w:val="000000"/>
        </w:rPr>
        <w:t>Promote the Digital Education by using ICT as a dynamic tool aiming at the upgrade, the enrichment and the reform of the educational process. Some of the measures to achieve this objective are (the</w:t>
      </w:r>
      <w:r w:rsidR="000B7A85" w:rsidRPr="00D64A6A">
        <w:rPr>
          <w:color w:val="000000"/>
        </w:rPr>
        <w:t xml:space="preserve"> approved budget for 2011 is €7,</w:t>
      </w:r>
      <w:r w:rsidR="005B39D1" w:rsidRPr="00D64A6A">
        <w:rPr>
          <w:color w:val="000000"/>
        </w:rPr>
        <w:t>5</w:t>
      </w:r>
      <w:r w:rsidR="00DF3E45" w:rsidRPr="00D64A6A">
        <w:rPr>
          <w:color w:val="000000"/>
        </w:rPr>
        <w:t xml:space="preserve"> </w:t>
      </w:r>
      <w:r w:rsidR="005B39D1" w:rsidRPr="00D64A6A">
        <w:rPr>
          <w:color w:val="000000"/>
        </w:rPr>
        <w:t>mln):</w:t>
      </w:r>
    </w:p>
    <w:p w:rsidR="005B39D1" w:rsidRPr="007A7801" w:rsidRDefault="005B39D1" w:rsidP="005B39D1">
      <w:pPr>
        <w:pStyle w:val="ListParagraph"/>
        <w:tabs>
          <w:tab w:val="left" w:pos="426"/>
        </w:tabs>
        <w:ind w:left="450"/>
        <w:jc w:val="both"/>
        <w:textAlignment w:val="top"/>
        <w:rPr>
          <w:color w:val="000000"/>
        </w:rPr>
      </w:pPr>
    </w:p>
    <w:p w:rsidR="003B1028" w:rsidRPr="007A7801" w:rsidRDefault="005B39D1" w:rsidP="00D64A6A">
      <w:pPr>
        <w:pStyle w:val="ListParagraph"/>
        <w:numPr>
          <w:ilvl w:val="0"/>
          <w:numId w:val="16"/>
        </w:numPr>
        <w:tabs>
          <w:tab w:val="left" w:pos="851"/>
        </w:tabs>
        <w:ind w:left="851" w:hanging="425"/>
        <w:contextualSpacing/>
        <w:jc w:val="both"/>
        <w:textAlignment w:val="top"/>
      </w:pPr>
      <w:r w:rsidRPr="007A7801">
        <w:rPr>
          <w:color w:val="000000"/>
          <w:lang w:eastAsia="el-GR"/>
        </w:rPr>
        <w:t>One or more computer and multimedia labs to be operated i</w:t>
      </w:r>
      <w:r w:rsidRPr="007A7801">
        <w:rPr>
          <w:lang w:eastAsia="el-GR"/>
        </w:rPr>
        <w:t xml:space="preserve">n each school. These </w:t>
      </w:r>
      <w:r w:rsidRPr="007A7801">
        <w:rPr>
          <w:color w:val="000000"/>
          <w:lang w:eastAsia="el-GR"/>
        </w:rPr>
        <w:t xml:space="preserve">laboratories will be </w:t>
      </w:r>
      <w:r w:rsidRPr="007A7801">
        <w:rPr>
          <w:lang w:eastAsia="el-GR"/>
        </w:rPr>
        <w:t>standardi</w:t>
      </w:r>
      <w:r w:rsidR="00DF3E45">
        <w:rPr>
          <w:lang w:eastAsia="el-GR"/>
        </w:rPr>
        <w:t>s</w:t>
      </w:r>
      <w:r w:rsidRPr="007A7801">
        <w:rPr>
          <w:lang w:eastAsia="el-GR"/>
        </w:rPr>
        <w:t xml:space="preserve">ed, depending on the school level. The laboratories </w:t>
      </w:r>
      <w:r w:rsidRPr="007A7801">
        <w:rPr>
          <w:color w:val="000000"/>
          <w:lang w:eastAsia="el-GR"/>
        </w:rPr>
        <w:t xml:space="preserve">will be </w:t>
      </w:r>
      <w:r w:rsidRPr="007A7801">
        <w:rPr>
          <w:lang w:eastAsia="el-GR"/>
        </w:rPr>
        <w:t>used for access to the Internet and digital applications of the Ministry of Education and Culture.</w:t>
      </w:r>
    </w:p>
    <w:p w:rsidR="003B1028" w:rsidRPr="00D64A6A" w:rsidRDefault="005B39D1" w:rsidP="00D64A6A">
      <w:pPr>
        <w:pStyle w:val="ListParagraph"/>
        <w:numPr>
          <w:ilvl w:val="0"/>
          <w:numId w:val="16"/>
        </w:numPr>
        <w:tabs>
          <w:tab w:val="left" w:pos="0"/>
          <w:tab w:val="left" w:pos="426"/>
          <w:tab w:val="left" w:pos="851"/>
        </w:tabs>
        <w:ind w:left="851" w:hanging="425"/>
        <w:contextualSpacing/>
        <w:jc w:val="both"/>
        <w:textAlignment w:val="top"/>
        <w:rPr>
          <w:color w:val="000000"/>
          <w:lang w:eastAsia="el-GR"/>
        </w:rPr>
      </w:pPr>
      <w:r w:rsidRPr="007A7801">
        <w:rPr>
          <w:color w:val="000000"/>
          <w:lang w:eastAsia="el-GR"/>
        </w:rPr>
        <w:t xml:space="preserve">Complete the development of the Educational Intranet. </w:t>
      </w:r>
    </w:p>
    <w:p w:rsidR="003B1028" w:rsidRPr="00D64A6A" w:rsidRDefault="005B39D1" w:rsidP="00D64A6A">
      <w:pPr>
        <w:pStyle w:val="ListParagraph"/>
        <w:numPr>
          <w:ilvl w:val="0"/>
          <w:numId w:val="16"/>
        </w:numPr>
        <w:tabs>
          <w:tab w:val="left" w:pos="0"/>
          <w:tab w:val="left" w:pos="426"/>
          <w:tab w:val="left" w:pos="851"/>
        </w:tabs>
        <w:ind w:left="851" w:hanging="425"/>
        <w:contextualSpacing/>
        <w:jc w:val="both"/>
        <w:textAlignment w:val="top"/>
        <w:rPr>
          <w:color w:val="000000"/>
          <w:lang w:eastAsia="el-GR"/>
        </w:rPr>
      </w:pPr>
      <w:r w:rsidRPr="007A7801">
        <w:rPr>
          <w:color w:val="000000"/>
          <w:lang w:eastAsia="el-GR"/>
        </w:rPr>
        <w:t xml:space="preserve">Complete the structure cabling in all schools. For the moment the structure cabling was completed in primary and technical education schools in 2005 and 2007 respectively, whilst in secondary schools is currently 50% and is expected to reach 100% in 2012-13. </w:t>
      </w:r>
    </w:p>
    <w:p w:rsidR="003B1028" w:rsidRPr="00D64A6A" w:rsidRDefault="005B39D1" w:rsidP="00D64A6A">
      <w:pPr>
        <w:pStyle w:val="ListParagraph"/>
        <w:numPr>
          <w:ilvl w:val="0"/>
          <w:numId w:val="16"/>
        </w:numPr>
        <w:tabs>
          <w:tab w:val="left" w:pos="0"/>
          <w:tab w:val="left" w:pos="426"/>
          <w:tab w:val="left" w:pos="851"/>
        </w:tabs>
        <w:ind w:left="851" w:hanging="425"/>
        <w:contextualSpacing/>
        <w:jc w:val="both"/>
        <w:textAlignment w:val="top"/>
        <w:rPr>
          <w:color w:val="000000"/>
          <w:lang w:eastAsia="el-GR"/>
        </w:rPr>
      </w:pPr>
      <w:r w:rsidRPr="007A7801">
        <w:rPr>
          <w:lang w:eastAsia="el-GR"/>
        </w:rPr>
        <w:t xml:space="preserve">Develop digital Educational Content for the majority of primary and secondary schools. For the moment 17 courses </w:t>
      </w:r>
      <w:r w:rsidRPr="007A7801">
        <w:rPr>
          <w:color w:val="000000"/>
          <w:lang w:eastAsia="el-GR"/>
        </w:rPr>
        <w:t xml:space="preserve">of the lyceum have been prepared. </w:t>
      </w:r>
    </w:p>
    <w:p w:rsidR="003B1028" w:rsidRPr="00D64A6A" w:rsidRDefault="005B39D1" w:rsidP="00D64A6A">
      <w:pPr>
        <w:pStyle w:val="ListParagraph"/>
        <w:numPr>
          <w:ilvl w:val="0"/>
          <w:numId w:val="16"/>
        </w:numPr>
        <w:tabs>
          <w:tab w:val="left" w:pos="0"/>
          <w:tab w:val="left" w:pos="426"/>
          <w:tab w:val="left" w:pos="851"/>
        </w:tabs>
        <w:ind w:left="851" w:hanging="425"/>
        <w:contextualSpacing/>
        <w:jc w:val="both"/>
        <w:textAlignment w:val="top"/>
        <w:rPr>
          <w:color w:val="000000"/>
          <w:lang w:eastAsia="el-GR"/>
        </w:rPr>
      </w:pPr>
      <w:r w:rsidRPr="007A7801">
        <w:rPr>
          <w:color w:val="000000"/>
          <w:lang w:eastAsia="el-GR"/>
        </w:rPr>
        <w:t>Install interactive whiteboards.</w:t>
      </w:r>
    </w:p>
    <w:p w:rsidR="003B1028" w:rsidRPr="00D64A6A" w:rsidRDefault="005B39D1" w:rsidP="00D64A6A">
      <w:pPr>
        <w:pStyle w:val="ListParagraph"/>
        <w:numPr>
          <w:ilvl w:val="0"/>
          <w:numId w:val="16"/>
        </w:numPr>
        <w:tabs>
          <w:tab w:val="left" w:pos="0"/>
          <w:tab w:val="left" w:pos="426"/>
          <w:tab w:val="left" w:pos="851"/>
        </w:tabs>
        <w:ind w:left="851" w:hanging="425"/>
        <w:contextualSpacing/>
        <w:jc w:val="both"/>
        <w:textAlignment w:val="top"/>
        <w:rPr>
          <w:color w:val="000000"/>
          <w:lang w:eastAsia="el-GR"/>
        </w:rPr>
      </w:pPr>
      <w:r w:rsidRPr="007A7801">
        <w:rPr>
          <w:color w:val="000000"/>
          <w:lang w:eastAsia="el-GR"/>
        </w:rPr>
        <w:t>Increase the number of personal computers (PC) in each school in order to achieve one PC per student. For the moment the ratio of PCs to the number of pupils in the primary education is 1:4, in secondary ed</w:t>
      </w:r>
      <w:r w:rsidR="003B1028">
        <w:rPr>
          <w:color w:val="000000"/>
          <w:lang w:eastAsia="el-GR"/>
        </w:rPr>
        <w:t>ucation is 1:2 and in technical</w:t>
      </w:r>
      <w:r w:rsidRPr="007A7801">
        <w:rPr>
          <w:color w:val="000000"/>
          <w:lang w:eastAsia="el-GR"/>
        </w:rPr>
        <w:t xml:space="preserve">/vocational education is 2:3. </w:t>
      </w:r>
    </w:p>
    <w:p w:rsidR="00731D68" w:rsidRDefault="005B39D1">
      <w:pPr>
        <w:pStyle w:val="ListParagraph"/>
        <w:numPr>
          <w:ilvl w:val="0"/>
          <w:numId w:val="16"/>
        </w:numPr>
        <w:ind w:left="851" w:hanging="425"/>
        <w:contextualSpacing/>
        <w:jc w:val="both"/>
        <w:textAlignment w:val="top"/>
        <w:rPr>
          <w:color w:val="000000"/>
          <w:lang w:eastAsia="el-GR"/>
        </w:rPr>
      </w:pPr>
      <w:r w:rsidRPr="001960BA">
        <w:rPr>
          <w:color w:val="000000"/>
          <w:lang w:eastAsia="el-GR"/>
        </w:rPr>
        <w:t xml:space="preserve">Expand the Implementation of the Learning Management System in all secondary and technical schools. The Learning Management System enables students and teachers to access Digital Educational Content prepared by the Ministry both from school or home. It also enables the communication between teachers, students and parents on issues like absences, homework, examination grades etc. </w:t>
      </w:r>
      <w:r w:rsidRPr="001960BA">
        <w:rPr>
          <w:lang w:val="en-GB"/>
        </w:rPr>
        <w:t>This platform was launched on a pilot b</w:t>
      </w:r>
      <w:r w:rsidR="001960BA" w:rsidRPr="001960BA">
        <w:rPr>
          <w:lang w:val="en-GB"/>
        </w:rPr>
        <w:t>asis in 7 schools in April 2009</w:t>
      </w:r>
      <w:r w:rsidR="001960BA">
        <w:rPr>
          <w:lang w:val="en-GB"/>
        </w:rPr>
        <w:t>.</w:t>
      </w:r>
    </w:p>
    <w:p w:rsidR="00EC471E" w:rsidRDefault="00EC471E" w:rsidP="001D09A7">
      <w:pPr>
        <w:pStyle w:val="ListParagraph"/>
        <w:numPr>
          <w:ilvl w:val="0"/>
          <w:numId w:val="22"/>
        </w:numPr>
        <w:ind w:left="450" w:hanging="450"/>
        <w:contextualSpacing/>
        <w:jc w:val="both"/>
        <w:textAlignment w:val="top"/>
        <w:rPr>
          <w:color w:val="000000"/>
        </w:rPr>
        <w:sectPr w:rsidR="00EC471E" w:rsidSect="00F0709B">
          <w:type w:val="continuous"/>
          <w:pgSz w:w="12240" w:h="15840"/>
          <w:pgMar w:top="1560" w:right="1440" w:bottom="1296" w:left="1440" w:header="720" w:footer="720" w:gutter="0"/>
          <w:cols w:space="720"/>
          <w:titlePg/>
          <w:docGrid w:linePitch="360"/>
        </w:sectPr>
      </w:pPr>
    </w:p>
    <w:p w:rsidR="001960BA" w:rsidRDefault="001960BA" w:rsidP="001D09A7">
      <w:pPr>
        <w:pStyle w:val="ListParagraph"/>
        <w:numPr>
          <w:ilvl w:val="0"/>
          <w:numId w:val="22"/>
        </w:numPr>
        <w:ind w:left="450" w:hanging="450"/>
        <w:contextualSpacing/>
        <w:jc w:val="both"/>
        <w:textAlignment w:val="top"/>
        <w:rPr>
          <w:color w:val="000000"/>
        </w:rPr>
        <w:sectPr w:rsidR="001960BA" w:rsidSect="00F0709B">
          <w:type w:val="continuous"/>
          <w:pgSz w:w="12240" w:h="15840"/>
          <w:pgMar w:top="1560" w:right="1440" w:bottom="1296" w:left="1440" w:header="720" w:footer="720" w:gutter="0"/>
          <w:cols w:space="720"/>
          <w:titlePg/>
          <w:docGrid w:linePitch="360"/>
        </w:sectPr>
      </w:pPr>
    </w:p>
    <w:p w:rsidR="005B39D1" w:rsidRPr="00D64A6A" w:rsidRDefault="00D64A6A" w:rsidP="00D64A6A">
      <w:pPr>
        <w:ind w:left="426" w:hanging="426"/>
        <w:contextualSpacing/>
        <w:jc w:val="both"/>
        <w:textAlignment w:val="top"/>
        <w:rPr>
          <w:color w:val="000000"/>
        </w:rPr>
      </w:pPr>
      <w:r>
        <w:rPr>
          <w:color w:val="000000"/>
        </w:rPr>
        <w:lastRenderedPageBreak/>
        <w:t>15.</w:t>
      </w:r>
      <w:r>
        <w:rPr>
          <w:color w:val="000000"/>
        </w:rPr>
        <w:tab/>
      </w:r>
      <w:r w:rsidR="005B39D1" w:rsidRPr="00D64A6A">
        <w:rPr>
          <w:color w:val="000000"/>
        </w:rPr>
        <w:t>Promote digital entrepreneurship</w:t>
      </w:r>
      <w:r w:rsidR="00997C98" w:rsidRPr="00D64A6A">
        <w:rPr>
          <w:color w:val="000000"/>
        </w:rPr>
        <w:t xml:space="preserve"> so that</w:t>
      </w:r>
      <w:r w:rsidR="005B39D1" w:rsidRPr="00D64A6A">
        <w:rPr>
          <w:color w:val="000000"/>
        </w:rPr>
        <w:t xml:space="preserve"> </w:t>
      </w:r>
      <w:r w:rsidR="00997C98" w:rsidRPr="00D64A6A">
        <w:rPr>
          <w:color w:val="000000"/>
        </w:rPr>
        <w:t>b</w:t>
      </w:r>
      <w:r w:rsidR="005B39D1" w:rsidRPr="00D64A6A">
        <w:rPr>
          <w:color w:val="000000"/>
        </w:rPr>
        <w:t>usinesses use ICT extensively to support their functioning and educate their employees in ICT in order to increase their productivity and</w:t>
      </w:r>
      <w:r w:rsidR="001960BA" w:rsidRPr="00D64A6A">
        <w:rPr>
          <w:color w:val="000000"/>
        </w:rPr>
        <w:t xml:space="preserve"> </w:t>
      </w:r>
      <w:r w:rsidR="005B39D1" w:rsidRPr="00D64A6A">
        <w:rPr>
          <w:color w:val="000000"/>
        </w:rPr>
        <w:t xml:space="preserve">become more competitive in domestic and international markets. Moreover, promote research and innovation in the ICT sector in order to increase public and private spending on ICT research and development. Some of the measures to achieve this objective are: </w:t>
      </w:r>
    </w:p>
    <w:p w:rsidR="005B39D1" w:rsidRPr="007A7801" w:rsidRDefault="005B39D1" w:rsidP="005B39D1"/>
    <w:p w:rsidR="003B1028" w:rsidRPr="007A7801" w:rsidRDefault="005B39D1" w:rsidP="00D64A6A">
      <w:pPr>
        <w:pStyle w:val="ListParagraph"/>
        <w:numPr>
          <w:ilvl w:val="0"/>
          <w:numId w:val="19"/>
        </w:numPr>
        <w:tabs>
          <w:tab w:val="left" w:pos="720"/>
        </w:tabs>
        <w:contextualSpacing/>
        <w:jc w:val="both"/>
        <w:textAlignment w:val="top"/>
        <w:rPr>
          <w:lang w:eastAsia="el-GR"/>
        </w:rPr>
      </w:pPr>
      <w:r w:rsidRPr="007A7801">
        <w:rPr>
          <w:color w:val="000000"/>
          <w:lang w:eastAsia="el-GR"/>
        </w:rPr>
        <w:t>T</w:t>
      </w:r>
      <w:r w:rsidRPr="007A7801">
        <w:rPr>
          <w:lang w:eastAsia="el-GR"/>
        </w:rPr>
        <w:t xml:space="preserve">he </w:t>
      </w:r>
      <w:r w:rsidRPr="007A7801">
        <w:rPr>
          <w:color w:val="000000"/>
          <w:lang w:eastAsia="el-GR"/>
        </w:rPr>
        <w:t>existing Strategic</w:t>
      </w:r>
      <w:r w:rsidRPr="007A7801">
        <w:rPr>
          <w:lang w:eastAsia="el-GR"/>
        </w:rPr>
        <w:t xml:space="preserve"> Plan </w:t>
      </w:r>
      <w:r w:rsidRPr="007A7801">
        <w:rPr>
          <w:color w:val="000000"/>
          <w:lang w:eastAsia="el-GR"/>
        </w:rPr>
        <w:t>for e-commerce</w:t>
      </w:r>
      <w:r w:rsidRPr="007A7801">
        <w:rPr>
          <w:lang w:eastAsia="el-GR"/>
        </w:rPr>
        <w:t xml:space="preserve"> (see Paragraph Current Situation</w:t>
      </w:r>
      <w:r w:rsidR="00C87EB0">
        <w:rPr>
          <w:lang w:eastAsia="el-GR"/>
        </w:rPr>
        <w:t>-</w:t>
      </w:r>
      <w:r w:rsidRPr="007A7801">
        <w:rPr>
          <w:lang w:eastAsia="el-GR"/>
        </w:rPr>
        <w:t>Point (e))</w:t>
      </w:r>
      <w:r w:rsidRPr="007A7801">
        <w:rPr>
          <w:color w:val="000000"/>
          <w:lang w:eastAsia="el-GR"/>
        </w:rPr>
        <w:t xml:space="preserve"> will be </w:t>
      </w:r>
      <w:r w:rsidRPr="007A7801">
        <w:rPr>
          <w:lang w:eastAsia="el-GR"/>
        </w:rPr>
        <w:t>expand</w:t>
      </w:r>
      <w:r w:rsidRPr="007A7801">
        <w:rPr>
          <w:color w:val="000000"/>
          <w:lang w:eastAsia="el-GR"/>
        </w:rPr>
        <w:t>ed in duration. Furthermore, the obligation to take into account the directive WCAG 2.0 in the development of the websites that are sponsored by this Plan will be added</w:t>
      </w:r>
      <w:r w:rsidRPr="007A7801">
        <w:rPr>
          <w:lang w:eastAsia="el-GR"/>
        </w:rPr>
        <w:t xml:space="preserve">, so that pages will also </w:t>
      </w:r>
      <w:r w:rsidR="00997C98">
        <w:rPr>
          <w:lang w:eastAsia="el-GR"/>
        </w:rPr>
        <w:t xml:space="preserve">be </w:t>
      </w:r>
      <w:r w:rsidRPr="007A7801">
        <w:rPr>
          <w:lang w:eastAsia="el-GR"/>
        </w:rPr>
        <w:t>accessible by vulnerable groups.</w:t>
      </w:r>
    </w:p>
    <w:p w:rsidR="003B1028" w:rsidRPr="007A7801" w:rsidRDefault="005B39D1" w:rsidP="00D64A6A">
      <w:pPr>
        <w:pStyle w:val="ListParagraph"/>
        <w:numPr>
          <w:ilvl w:val="0"/>
          <w:numId w:val="19"/>
        </w:numPr>
        <w:tabs>
          <w:tab w:val="left" w:pos="720"/>
        </w:tabs>
        <w:contextualSpacing/>
        <w:jc w:val="both"/>
        <w:textAlignment w:val="top"/>
      </w:pPr>
      <w:r w:rsidRPr="007A7801">
        <w:rPr>
          <w:color w:val="000000"/>
          <w:lang w:eastAsia="el-GR"/>
        </w:rPr>
        <w:t xml:space="preserve">A </w:t>
      </w:r>
      <w:r w:rsidRPr="007A7801">
        <w:rPr>
          <w:lang w:eastAsia="el-GR"/>
        </w:rPr>
        <w:t>new program</w:t>
      </w:r>
      <w:r w:rsidR="00C87EB0">
        <w:rPr>
          <w:lang w:eastAsia="el-GR"/>
        </w:rPr>
        <w:t>me</w:t>
      </w:r>
      <w:r w:rsidRPr="007A7801">
        <w:rPr>
          <w:lang w:eastAsia="el-GR"/>
        </w:rPr>
        <w:t xml:space="preserve"> for</w:t>
      </w:r>
      <w:r w:rsidRPr="007A7801">
        <w:rPr>
          <w:color w:val="000000"/>
          <w:lang w:eastAsia="el-GR"/>
        </w:rPr>
        <w:t xml:space="preserve"> the introduction of</w:t>
      </w:r>
      <w:r w:rsidRPr="007A7801">
        <w:rPr>
          <w:lang w:eastAsia="el-GR"/>
        </w:rPr>
        <w:t xml:space="preserve"> innovative products or services from small businesses exclusively in the field of ICT</w:t>
      </w:r>
      <w:r w:rsidRPr="007A7801">
        <w:rPr>
          <w:color w:val="000000"/>
          <w:lang w:eastAsia="el-GR"/>
        </w:rPr>
        <w:t xml:space="preserve"> will be introduced</w:t>
      </w:r>
      <w:r w:rsidRPr="007A7801">
        <w:rPr>
          <w:lang w:eastAsia="el-GR"/>
        </w:rPr>
        <w:t>. The program</w:t>
      </w:r>
      <w:r w:rsidR="00C87EB0">
        <w:rPr>
          <w:lang w:eastAsia="el-GR"/>
        </w:rPr>
        <w:t>me</w:t>
      </w:r>
      <w:r w:rsidRPr="007A7801">
        <w:rPr>
          <w:lang w:eastAsia="el-GR"/>
        </w:rPr>
        <w:t xml:space="preserve"> will place special emphasis on creating products and services that will </w:t>
      </w:r>
      <w:r w:rsidRPr="007A7801">
        <w:rPr>
          <w:color w:val="000000"/>
          <w:lang w:eastAsia="el-GR"/>
        </w:rPr>
        <w:t xml:space="preserve">target </w:t>
      </w:r>
      <w:r w:rsidRPr="007A7801">
        <w:rPr>
          <w:lang w:eastAsia="el-GR"/>
        </w:rPr>
        <w:t>vulnerable groups. This project will bring investment from private enterprises in research and innovation in the ICT sector and a siz</w:t>
      </w:r>
      <w:r w:rsidR="00997C98">
        <w:rPr>
          <w:lang w:eastAsia="el-GR"/>
        </w:rPr>
        <w:t>e</w:t>
      </w:r>
      <w:r w:rsidRPr="007A7801">
        <w:rPr>
          <w:lang w:eastAsia="el-GR"/>
        </w:rPr>
        <w:t xml:space="preserve">able number of </w:t>
      </w:r>
      <w:r w:rsidRPr="007A7801">
        <w:rPr>
          <w:color w:val="000000"/>
          <w:lang w:eastAsia="el-GR"/>
        </w:rPr>
        <w:t>innovative products or services.</w:t>
      </w:r>
    </w:p>
    <w:p w:rsidR="00D64A6A" w:rsidRDefault="005B39D1" w:rsidP="005B39D1">
      <w:pPr>
        <w:pStyle w:val="ListParagraph"/>
        <w:numPr>
          <w:ilvl w:val="0"/>
          <w:numId w:val="19"/>
        </w:numPr>
        <w:tabs>
          <w:tab w:val="left" w:pos="720"/>
        </w:tabs>
        <w:contextualSpacing/>
        <w:jc w:val="both"/>
        <w:textAlignment w:val="top"/>
        <w:rPr>
          <w:color w:val="000000"/>
          <w:lang w:eastAsia="el-GR"/>
        </w:rPr>
        <w:sectPr w:rsidR="00D64A6A" w:rsidSect="00F0709B">
          <w:type w:val="continuous"/>
          <w:pgSz w:w="12240" w:h="15840"/>
          <w:pgMar w:top="1560" w:right="1440" w:bottom="1296" w:left="1440" w:header="720" w:footer="720" w:gutter="0"/>
          <w:cols w:space="720"/>
          <w:titlePg/>
          <w:docGrid w:linePitch="360"/>
        </w:sectPr>
      </w:pPr>
      <w:r w:rsidRPr="00C46D30">
        <w:rPr>
          <w:color w:val="000000"/>
          <w:lang w:eastAsia="el-GR"/>
        </w:rPr>
        <w:t>A new</w:t>
      </w:r>
      <w:r w:rsidRPr="007A7801">
        <w:rPr>
          <w:lang w:eastAsia="el-GR"/>
        </w:rPr>
        <w:t xml:space="preserve"> program</w:t>
      </w:r>
      <w:r w:rsidR="00C87EB0">
        <w:rPr>
          <w:lang w:eastAsia="el-GR"/>
        </w:rPr>
        <w:t>me</w:t>
      </w:r>
      <w:r w:rsidRPr="007A7801">
        <w:rPr>
          <w:lang w:eastAsia="el-GR"/>
        </w:rPr>
        <w:t xml:space="preserve"> to award pre-commercial procurement </w:t>
      </w:r>
      <w:r w:rsidRPr="00C46D30">
        <w:rPr>
          <w:color w:val="000000"/>
          <w:lang w:eastAsia="el-GR"/>
        </w:rPr>
        <w:t xml:space="preserve">by </w:t>
      </w:r>
      <w:r w:rsidRPr="007A7801">
        <w:rPr>
          <w:lang w:eastAsia="el-GR"/>
        </w:rPr>
        <w:t xml:space="preserve">research and innovation </w:t>
      </w:r>
      <w:r w:rsidRPr="00C46D30">
        <w:rPr>
          <w:color w:val="000000"/>
          <w:lang w:eastAsia="el-GR"/>
        </w:rPr>
        <w:t xml:space="preserve">businesses </w:t>
      </w:r>
      <w:r w:rsidRPr="007A7801">
        <w:rPr>
          <w:lang w:eastAsia="el-GR"/>
        </w:rPr>
        <w:t>or research organi</w:t>
      </w:r>
      <w:r w:rsidR="00997C98">
        <w:rPr>
          <w:lang w:eastAsia="el-GR"/>
        </w:rPr>
        <w:t>s</w:t>
      </w:r>
      <w:r w:rsidRPr="007A7801">
        <w:rPr>
          <w:lang w:eastAsia="el-GR"/>
        </w:rPr>
        <w:t>ations</w:t>
      </w:r>
      <w:r w:rsidRPr="00C46D30">
        <w:rPr>
          <w:color w:val="000000"/>
          <w:lang w:eastAsia="el-GR"/>
        </w:rPr>
        <w:t xml:space="preserve"> exclusively</w:t>
      </w:r>
      <w:r w:rsidRPr="007A7801">
        <w:rPr>
          <w:lang w:eastAsia="el-GR"/>
        </w:rPr>
        <w:t xml:space="preserve"> in the ICT sector</w:t>
      </w:r>
      <w:r w:rsidRPr="00C46D30">
        <w:rPr>
          <w:color w:val="000000"/>
          <w:lang w:eastAsia="el-GR"/>
        </w:rPr>
        <w:t xml:space="preserve"> will be introduced</w:t>
      </w:r>
      <w:r w:rsidRPr="007A7801">
        <w:rPr>
          <w:lang w:eastAsia="el-GR"/>
        </w:rPr>
        <w:t>.</w:t>
      </w:r>
      <w:r w:rsidRPr="00C46D30">
        <w:rPr>
          <w:color w:val="000000"/>
          <w:lang w:eastAsia="el-GR"/>
        </w:rPr>
        <w:t xml:space="preserve"> A public organi</w:t>
      </w:r>
      <w:r w:rsidR="00997C98">
        <w:rPr>
          <w:color w:val="000000"/>
          <w:lang w:eastAsia="el-GR"/>
        </w:rPr>
        <w:t>s</w:t>
      </w:r>
      <w:r w:rsidRPr="00C46D30">
        <w:rPr>
          <w:color w:val="000000"/>
          <w:lang w:eastAsia="el-GR"/>
        </w:rPr>
        <w:t>ation might have needs for innovative products that can be covered by pre-</w:t>
      </w:r>
    </w:p>
    <w:p w:rsidR="005B39D1" w:rsidRPr="00C46D30" w:rsidRDefault="005B39D1" w:rsidP="00A86ABC">
      <w:pPr>
        <w:pStyle w:val="ListParagraph"/>
        <w:tabs>
          <w:tab w:val="left" w:pos="720"/>
        </w:tabs>
        <w:contextualSpacing/>
        <w:jc w:val="both"/>
        <w:textAlignment w:val="top"/>
        <w:rPr>
          <w:color w:val="000000"/>
          <w:lang w:eastAsia="el-GR"/>
        </w:rPr>
      </w:pPr>
      <w:r w:rsidRPr="00C46D30">
        <w:rPr>
          <w:color w:val="000000"/>
          <w:lang w:eastAsia="el-GR"/>
        </w:rPr>
        <w:lastRenderedPageBreak/>
        <w:t>commercial agreements (for example the Social Welfare Services can use this program</w:t>
      </w:r>
      <w:r w:rsidR="00C87EB0">
        <w:rPr>
          <w:color w:val="000000"/>
          <w:lang w:eastAsia="el-GR"/>
        </w:rPr>
        <w:t>me</w:t>
      </w:r>
      <w:r w:rsidRPr="00C46D30">
        <w:rPr>
          <w:color w:val="000000"/>
          <w:lang w:eastAsia="el-GR"/>
        </w:rPr>
        <w:t xml:space="preserve"> for the development of innovative devices for vulnerable groups).</w:t>
      </w:r>
    </w:p>
    <w:p w:rsidR="005B39D1" w:rsidRPr="007A7801" w:rsidRDefault="005B39D1" w:rsidP="005B39D1">
      <w:pPr>
        <w:tabs>
          <w:tab w:val="left" w:pos="720"/>
        </w:tabs>
        <w:ind w:left="720" w:hanging="360"/>
        <w:jc w:val="both"/>
        <w:textAlignment w:val="top"/>
        <w:rPr>
          <w:color w:val="000000"/>
          <w:lang w:eastAsia="el-GR"/>
        </w:rPr>
      </w:pPr>
      <w:r w:rsidRPr="007A7801">
        <w:rPr>
          <w:color w:val="000000"/>
          <w:lang w:eastAsia="el-GR"/>
        </w:rPr>
        <w:t xml:space="preserve">  </w:t>
      </w:r>
    </w:p>
    <w:p w:rsidR="005B39D1" w:rsidRPr="007A7801" w:rsidRDefault="005B39D1" w:rsidP="001D09A7">
      <w:pPr>
        <w:pStyle w:val="ListParagraph"/>
        <w:numPr>
          <w:ilvl w:val="0"/>
          <w:numId w:val="14"/>
        </w:numPr>
        <w:tabs>
          <w:tab w:val="left" w:pos="360"/>
        </w:tabs>
        <w:ind w:left="360"/>
        <w:contextualSpacing/>
        <w:jc w:val="both"/>
        <w:textAlignment w:val="top"/>
        <w:rPr>
          <w:u w:val="single"/>
          <w:lang w:eastAsia="el-GR"/>
        </w:rPr>
      </w:pPr>
      <w:r w:rsidRPr="007A7801">
        <w:rPr>
          <w:b/>
          <w:u w:val="single"/>
          <w:lang w:eastAsia="el-GR"/>
        </w:rPr>
        <w:t>Promotion of Green Culture</w:t>
      </w:r>
    </w:p>
    <w:p w:rsidR="005B39D1" w:rsidRPr="007A7801" w:rsidRDefault="005B39D1" w:rsidP="005B39D1">
      <w:pPr>
        <w:pStyle w:val="ListParagraph"/>
        <w:tabs>
          <w:tab w:val="left" w:pos="360"/>
        </w:tabs>
        <w:ind w:left="360"/>
        <w:jc w:val="both"/>
        <w:textAlignment w:val="top"/>
        <w:rPr>
          <w:i/>
          <w:u w:val="single"/>
          <w:lang w:eastAsia="el-GR"/>
        </w:rPr>
      </w:pPr>
    </w:p>
    <w:p w:rsidR="005B39D1" w:rsidRPr="00A86ABC" w:rsidRDefault="00A86ABC" w:rsidP="00A86ABC">
      <w:pPr>
        <w:tabs>
          <w:tab w:val="left" w:pos="426"/>
        </w:tabs>
        <w:ind w:left="426" w:hanging="426"/>
        <w:contextualSpacing/>
        <w:jc w:val="both"/>
        <w:textAlignment w:val="top"/>
        <w:rPr>
          <w:color w:val="000000"/>
        </w:rPr>
      </w:pPr>
      <w:r>
        <w:rPr>
          <w:color w:val="000000"/>
        </w:rPr>
        <w:t>16.</w:t>
      </w:r>
      <w:r>
        <w:rPr>
          <w:color w:val="000000"/>
        </w:rPr>
        <w:tab/>
      </w:r>
      <w:r w:rsidR="005B39D1" w:rsidRPr="00A86ABC">
        <w:rPr>
          <w:color w:val="000000"/>
        </w:rPr>
        <w:t>Encourage the economic institutions of Cyprus, including the government, to use technologies and equipment or implement policies and practices that are environmentally friendly both in production cycles and operations.</w:t>
      </w:r>
    </w:p>
    <w:p w:rsidR="005B39D1" w:rsidRPr="007A7801" w:rsidRDefault="005B39D1" w:rsidP="005B39D1">
      <w:pPr>
        <w:jc w:val="both"/>
      </w:pPr>
    </w:p>
    <w:p w:rsidR="005B39D1" w:rsidRPr="007A7801" w:rsidRDefault="005B39D1" w:rsidP="00A86ABC">
      <w:pPr>
        <w:tabs>
          <w:tab w:val="left" w:pos="426"/>
        </w:tabs>
        <w:ind w:left="450"/>
        <w:jc w:val="both"/>
      </w:pPr>
      <w:r w:rsidRPr="007A7801">
        <w:t>A program</w:t>
      </w:r>
      <w:r w:rsidR="00C87EB0">
        <w:t>me</w:t>
      </w:r>
      <w:r w:rsidRPr="007A7801">
        <w:t xml:space="preserve"> to give incentives to businesses to use technology/equipment or implement policies and practices environmentally friendly both in production and operation, and generally in the exercise of any economic activity</w:t>
      </w:r>
      <w:r w:rsidR="00F0416C">
        <w:t>,</w:t>
      </w:r>
      <w:r w:rsidRPr="007A7801">
        <w:t xml:space="preserve"> will be introduced. These incentives may include the use of specially designed equipment that consumes less ener</w:t>
      </w:r>
      <w:r w:rsidR="00C46D30">
        <w:t xml:space="preserve">gy, </w:t>
      </w:r>
      <w:r w:rsidRPr="007A7801">
        <w:t xml:space="preserve">the operation of </w:t>
      </w:r>
      <w:r w:rsidR="00F0416C">
        <w:t>“</w:t>
      </w:r>
      <w:r w:rsidRPr="007A7801">
        <w:t>smart buildings</w:t>
      </w:r>
      <w:r w:rsidR="00F0416C">
        <w:t>”</w:t>
      </w:r>
      <w:r w:rsidRPr="007A7801">
        <w:t xml:space="preserve"> that use ICT to substantially reduce energy consumption.</w:t>
      </w:r>
    </w:p>
    <w:p w:rsidR="005B39D1" w:rsidRPr="007A7801" w:rsidRDefault="005B39D1" w:rsidP="005B39D1">
      <w:pPr>
        <w:tabs>
          <w:tab w:val="left" w:pos="426"/>
        </w:tabs>
        <w:jc w:val="both"/>
        <w:textAlignment w:val="top"/>
        <w:rPr>
          <w:color w:val="000000"/>
          <w:lang w:eastAsia="el-GR"/>
        </w:rPr>
      </w:pPr>
    </w:p>
    <w:p w:rsidR="005B39D1" w:rsidRPr="00A86ABC" w:rsidRDefault="00A86ABC" w:rsidP="00A86ABC">
      <w:pPr>
        <w:ind w:left="426" w:hanging="426"/>
        <w:contextualSpacing/>
        <w:jc w:val="both"/>
        <w:textAlignment w:val="top"/>
        <w:rPr>
          <w:color w:val="000000"/>
        </w:rPr>
      </w:pPr>
      <w:r>
        <w:rPr>
          <w:color w:val="000000"/>
        </w:rPr>
        <w:t>17.</w:t>
      </w:r>
      <w:r>
        <w:rPr>
          <w:color w:val="000000"/>
        </w:rPr>
        <w:tab/>
      </w:r>
      <w:r w:rsidR="005B39D1" w:rsidRPr="00A86ABC">
        <w:rPr>
          <w:color w:val="000000"/>
        </w:rPr>
        <w:t xml:space="preserve">Expand the use of ICT to confront the most pressing problems of the economy like water supply, public transport, health etc. Some of the major objectives and measures that are promoted are: </w:t>
      </w:r>
    </w:p>
    <w:p w:rsidR="005B39D1" w:rsidRPr="007A7801" w:rsidRDefault="005B39D1" w:rsidP="005B39D1">
      <w:pPr>
        <w:tabs>
          <w:tab w:val="left" w:pos="426"/>
        </w:tabs>
        <w:jc w:val="both"/>
        <w:textAlignment w:val="top"/>
        <w:rPr>
          <w:color w:val="000000"/>
          <w:lang w:eastAsia="el-GR"/>
        </w:rPr>
      </w:pPr>
    </w:p>
    <w:p w:rsidR="00EC471E" w:rsidRDefault="005B39D1" w:rsidP="00D64A6A">
      <w:pPr>
        <w:pStyle w:val="ListParagraph"/>
        <w:numPr>
          <w:ilvl w:val="0"/>
          <w:numId w:val="18"/>
        </w:numPr>
        <w:contextualSpacing/>
        <w:jc w:val="both"/>
        <w:sectPr w:rsidR="00EC471E" w:rsidSect="00F0709B">
          <w:type w:val="continuous"/>
          <w:pgSz w:w="12240" w:h="15840"/>
          <w:pgMar w:top="1560" w:right="1440" w:bottom="1296" w:left="1440" w:header="720" w:footer="720" w:gutter="0"/>
          <w:cols w:space="720"/>
          <w:titlePg/>
          <w:docGrid w:linePitch="360"/>
        </w:sectPr>
      </w:pPr>
      <w:r w:rsidRPr="007A7801">
        <w:t>Use Intelligent Transport Systems (ITS) more extensively in order to make transport more efficient, faster, easier, more reliable and more environmentally friendly. Measures to achieve these objectives are: (i) the signing of a Service Level Agreements by all Governmental Departments that are involved in the management of the road traffic and associated incidents (ii) the establishment of an open electronic platform to be used by all stakeholders (private and public sector) to exchange information and promote their cooperation for the development of ITS (iii) the preparat</w:t>
      </w:r>
      <w:r w:rsidR="00D64A6A">
        <w:t>ion of a national ITS strategy.</w:t>
      </w:r>
    </w:p>
    <w:p w:rsidR="005B39D1" w:rsidRPr="007A7801" w:rsidRDefault="005B39D1" w:rsidP="001D09A7">
      <w:pPr>
        <w:pStyle w:val="ListParagraph"/>
        <w:numPr>
          <w:ilvl w:val="0"/>
          <w:numId w:val="18"/>
        </w:numPr>
        <w:contextualSpacing/>
        <w:jc w:val="both"/>
        <w:rPr>
          <w:lang w:val="en-GB"/>
        </w:rPr>
      </w:pPr>
      <w:r w:rsidRPr="007A7801">
        <w:lastRenderedPageBreak/>
        <w:t xml:space="preserve">Use ICT for the effective management of water resources of Cyprus that will help to improve the chronic water problem faced by Cyprus. </w:t>
      </w:r>
    </w:p>
    <w:p w:rsidR="00EC471E" w:rsidRDefault="00EC471E" w:rsidP="00D066DE">
      <w:pPr>
        <w:pStyle w:val="Heading1"/>
        <w:rPr>
          <w:rFonts w:cs="Times New Roman"/>
          <w:szCs w:val="40"/>
        </w:rPr>
        <w:sectPr w:rsidR="00EC471E" w:rsidSect="00F0709B">
          <w:type w:val="continuous"/>
          <w:pgSz w:w="12240" w:h="15840"/>
          <w:pgMar w:top="1560" w:right="1440" w:bottom="1296" w:left="1440" w:header="720" w:footer="720" w:gutter="0"/>
          <w:cols w:space="720"/>
          <w:titlePg/>
          <w:docGrid w:linePitch="360"/>
        </w:sectPr>
      </w:pPr>
    </w:p>
    <w:p w:rsidR="00D066DE" w:rsidRPr="007A7801" w:rsidRDefault="00D066DE" w:rsidP="00C46D30">
      <w:pPr>
        <w:pStyle w:val="Heading1"/>
        <w:spacing w:before="0"/>
        <w:rPr>
          <w:rFonts w:cs="Times New Roman"/>
          <w:szCs w:val="40"/>
        </w:rPr>
      </w:pPr>
      <w:bookmarkStart w:id="60" w:name="_Toc292454627"/>
      <w:r w:rsidRPr="007A7801">
        <w:rPr>
          <w:rFonts w:cs="Times New Roman"/>
          <w:szCs w:val="40"/>
        </w:rPr>
        <w:lastRenderedPageBreak/>
        <w:t>7. CLIMATE, ENERGY AND MOBILITY</w:t>
      </w:r>
      <w:bookmarkEnd w:id="60"/>
    </w:p>
    <w:p w:rsidR="00D066DE" w:rsidRPr="007A7801" w:rsidRDefault="00D066DE" w:rsidP="00D066DE">
      <w:pPr>
        <w:rPr>
          <w:color w:val="548DD4" w:themeColor="text2" w:themeTint="99"/>
          <w:sz w:val="40"/>
          <w:szCs w:val="40"/>
        </w:rPr>
      </w:pPr>
    </w:p>
    <w:p w:rsidR="001A01AA" w:rsidRPr="007A7801" w:rsidRDefault="001A01AA" w:rsidP="00D066DE">
      <w:pPr>
        <w:rPr>
          <w:color w:val="548DD4" w:themeColor="text2" w:themeTint="99"/>
        </w:rPr>
      </w:pPr>
    </w:p>
    <w:tbl>
      <w:tblPr>
        <w:tblStyle w:val="TableGrid"/>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B8CCE4" w:themeFill="accent1" w:themeFillTint="66"/>
        <w:tblLook w:val="04A0"/>
      </w:tblPr>
      <w:tblGrid>
        <w:gridCol w:w="9468"/>
      </w:tblGrid>
      <w:tr w:rsidR="001A01AA" w:rsidRPr="007A7801" w:rsidTr="00B8671F">
        <w:trPr>
          <w:trHeight w:val="2807"/>
        </w:trPr>
        <w:tc>
          <w:tcPr>
            <w:tcW w:w="9468" w:type="dxa"/>
            <w:shd w:val="clear" w:color="auto" w:fill="B8CCE4" w:themeFill="accent1" w:themeFillTint="66"/>
            <w:vAlign w:val="center"/>
          </w:tcPr>
          <w:p w:rsidR="001A01AA" w:rsidRPr="007A7801" w:rsidRDefault="001A01AA" w:rsidP="00D97677">
            <w:pPr>
              <w:rPr>
                <w:b/>
                <w:color w:val="365F91" w:themeColor="accent1" w:themeShade="BF"/>
                <w:sz w:val="28"/>
                <w:szCs w:val="28"/>
                <w:u w:val="single"/>
              </w:rPr>
            </w:pPr>
            <w:r w:rsidRPr="007A7801">
              <w:rPr>
                <w:b/>
                <w:color w:val="365F91" w:themeColor="accent1" w:themeShade="BF"/>
                <w:sz w:val="28"/>
                <w:szCs w:val="28"/>
                <w:u w:val="single"/>
              </w:rPr>
              <w:t>National targets:</w:t>
            </w:r>
          </w:p>
          <w:p w:rsidR="001A01AA" w:rsidRPr="007A7801" w:rsidRDefault="001A01AA" w:rsidP="001D09A7">
            <w:pPr>
              <w:pStyle w:val="ListParagraph"/>
              <w:numPr>
                <w:ilvl w:val="0"/>
                <w:numId w:val="28"/>
              </w:numPr>
              <w:ind w:left="426" w:hanging="284"/>
              <w:rPr>
                <w:b/>
                <w:color w:val="365F91" w:themeColor="accent1" w:themeShade="BF"/>
                <w:sz w:val="28"/>
                <w:szCs w:val="28"/>
              </w:rPr>
            </w:pPr>
            <w:r w:rsidRPr="007A7801">
              <w:rPr>
                <w:b/>
                <w:color w:val="365F91" w:themeColor="accent1" w:themeShade="BF"/>
                <w:sz w:val="28"/>
                <w:szCs w:val="28"/>
              </w:rPr>
              <w:t>Achieve an increase of 14,3% (463 ktoe) in energy savings in the projected primary energy consumption of the year 2020</w:t>
            </w:r>
          </w:p>
          <w:p w:rsidR="001A01AA" w:rsidRPr="007A7801" w:rsidRDefault="001A01AA" w:rsidP="001D09A7">
            <w:pPr>
              <w:pStyle w:val="ListParagraph"/>
              <w:numPr>
                <w:ilvl w:val="0"/>
                <w:numId w:val="28"/>
              </w:numPr>
              <w:ind w:left="426" w:hanging="284"/>
              <w:rPr>
                <w:b/>
                <w:color w:val="365F91" w:themeColor="accent1" w:themeShade="BF"/>
                <w:sz w:val="28"/>
                <w:szCs w:val="28"/>
              </w:rPr>
            </w:pPr>
            <w:r w:rsidRPr="007A7801">
              <w:rPr>
                <w:b/>
                <w:color w:val="365F91" w:themeColor="accent1" w:themeShade="BF"/>
                <w:sz w:val="28"/>
                <w:szCs w:val="28"/>
              </w:rPr>
              <w:t>Reduce greenhouse gas emissions by 21% in the installations included in the Emissions Trading System (ETS) and by 5% for the sectors that are not included in the ETS (transport, waste, agriculture) by 2020</w:t>
            </w:r>
          </w:p>
          <w:p w:rsidR="001A01AA" w:rsidRPr="007A7801" w:rsidRDefault="001A01AA" w:rsidP="001D09A7">
            <w:pPr>
              <w:pStyle w:val="ListParagraph"/>
              <w:numPr>
                <w:ilvl w:val="0"/>
                <w:numId w:val="28"/>
              </w:numPr>
              <w:ind w:left="426" w:hanging="284"/>
              <w:rPr>
                <w:b/>
                <w:color w:val="365F91" w:themeColor="accent1" w:themeShade="BF"/>
                <w:sz w:val="28"/>
                <w:szCs w:val="28"/>
              </w:rPr>
            </w:pPr>
            <w:r w:rsidRPr="007A7801">
              <w:rPr>
                <w:b/>
                <w:color w:val="365F91" w:themeColor="accent1" w:themeShade="BF"/>
                <w:sz w:val="28"/>
                <w:szCs w:val="28"/>
              </w:rPr>
              <w:t>Increase of the contribution of Renewable Energy Sources (RES) to 13% of the total energy consumption by the year 2020</w:t>
            </w:r>
          </w:p>
        </w:tc>
      </w:tr>
    </w:tbl>
    <w:p w:rsidR="00D066DE" w:rsidRPr="007A7801" w:rsidRDefault="00D066DE" w:rsidP="00D066DE">
      <w:pPr>
        <w:rPr>
          <w:color w:val="17365D" w:themeColor="text2" w:themeShade="BF"/>
        </w:rPr>
      </w:pPr>
    </w:p>
    <w:p w:rsidR="00D066DE" w:rsidRPr="007A7801" w:rsidRDefault="00D066DE" w:rsidP="00D066DE">
      <w:pPr>
        <w:autoSpaceDE w:val="0"/>
        <w:autoSpaceDN w:val="0"/>
        <w:adjustRightInd w:val="0"/>
        <w:jc w:val="both"/>
        <w:rPr>
          <w:b/>
          <w:color w:val="17365D" w:themeColor="text2" w:themeShade="BF"/>
          <w:lang w:val="en-GB"/>
        </w:rPr>
      </w:pPr>
    </w:p>
    <w:p w:rsidR="00D066DE" w:rsidRPr="00C916DB" w:rsidRDefault="00D066DE" w:rsidP="00D066DE">
      <w:pPr>
        <w:tabs>
          <w:tab w:val="num" w:pos="480"/>
        </w:tabs>
        <w:jc w:val="both"/>
        <w:rPr>
          <w:b/>
          <w:i/>
          <w:color w:val="365F91" w:themeColor="accent1" w:themeShade="BF"/>
          <w:lang w:val="en-GB"/>
        </w:rPr>
      </w:pPr>
      <w:r w:rsidRPr="00C916DB">
        <w:rPr>
          <w:b/>
          <w:i/>
          <w:color w:val="365F91" w:themeColor="accent1" w:themeShade="BF"/>
          <w:lang w:val="en-GB"/>
        </w:rPr>
        <w:t>Guideline 5: “Improving Resource Efficiency and reducing greenhouse gases”</w:t>
      </w:r>
    </w:p>
    <w:p w:rsidR="00D066DE" w:rsidRPr="007A7801" w:rsidRDefault="00D066DE" w:rsidP="00D066DE">
      <w:pPr>
        <w:autoSpaceDE w:val="0"/>
        <w:autoSpaceDN w:val="0"/>
        <w:adjustRightInd w:val="0"/>
        <w:jc w:val="both"/>
        <w:rPr>
          <w:color w:val="17365D" w:themeColor="text2" w:themeShade="BF"/>
          <w:lang w:val="en-GB"/>
        </w:rPr>
      </w:pPr>
    </w:p>
    <w:p w:rsidR="00D066DE" w:rsidRPr="007A7801" w:rsidRDefault="00D066DE" w:rsidP="00D361C0">
      <w:pPr>
        <w:pStyle w:val="Heading2"/>
        <w:rPr>
          <w:b w:val="0"/>
          <w:lang w:val="en-GB"/>
        </w:rPr>
      </w:pPr>
      <w:bookmarkStart w:id="61" w:name="_Toc292454628"/>
      <w:r w:rsidRPr="007A7801">
        <w:rPr>
          <w:lang w:val="en-GB"/>
        </w:rPr>
        <w:t>CURRENT SITUATION</w:t>
      </w:r>
      <w:bookmarkEnd w:id="61"/>
    </w:p>
    <w:p w:rsidR="00D066DE" w:rsidRPr="007A7801" w:rsidRDefault="00D066DE" w:rsidP="00D066DE">
      <w:pPr>
        <w:autoSpaceDE w:val="0"/>
        <w:autoSpaceDN w:val="0"/>
        <w:adjustRightInd w:val="0"/>
        <w:jc w:val="both"/>
        <w:rPr>
          <w:b/>
          <w:lang w:val="en-GB"/>
        </w:rPr>
      </w:pPr>
    </w:p>
    <w:p w:rsidR="00E43436" w:rsidRDefault="00E43436" w:rsidP="00E43436">
      <w:pPr>
        <w:jc w:val="both"/>
        <w:rPr>
          <w:lang w:val="en-GB"/>
        </w:rPr>
      </w:pPr>
      <w:r w:rsidRPr="002F583E">
        <w:rPr>
          <w:lang w:val="en-GB"/>
        </w:rPr>
        <w:t>Cyprus has set the increase of energy efficiency in connection with addressing the impacts from climate change as one of its top priorities</w:t>
      </w:r>
      <w:r>
        <w:rPr>
          <w:lang w:val="en-GB"/>
        </w:rPr>
        <w:t xml:space="preserve">, </w:t>
      </w:r>
      <w:r w:rsidRPr="002F583E">
        <w:rPr>
          <w:lang w:val="en-GB"/>
        </w:rPr>
        <w:t xml:space="preserve">given that the country is already experiencing the adverse </w:t>
      </w:r>
      <w:r>
        <w:rPr>
          <w:lang w:val="en-GB"/>
        </w:rPr>
        <w:t xml:space="preserve">impacts of climate change. The </w:t>
      </w:r>
      <w:r w:rsidRPr="002F583E">
        <w:rPr>
          <w:lang w:val="en-GB"/>
        </w:rPr>
        <w:t xml:space="preserve">severe droughts caused by climate change have led to   one of the lowest per capita rainfall levels </w:t>
      </w:r>
      <w:r>
        <w:rPr>
          <w:lang w:val="en-GB"/>
        </w:rPr>
        <w:t xml:space="preserve">and have </w:t>
      </w:r>
      <w:r w:rsidRPr="002F583E">
        <w:rPr>
          <w:lang w:val="en-GB"/>
        </w:rPr>
        <w:t xml:space="preserve">forced the Government to turn to desalination to meet the drinking </w:t>
      </w:r>
      <w:r w:rsidR="004C592C">
        <w:rPr>
          <w:lang w:val="en-GB"/>
        </w:rPr>
        <w:t xml:space="preserve">water </w:t>
      </w:r>
      <w:r w:rsidRPr="002F583E">
        <w:rPr>
          <w:lang w:val="en-GB"/>
        </w:rPr>
        <w:t>needs of the country</w:t>
      </w:r>
      <w:r>
        <w:rPr>
          <w:lang w:val="en-GB"/>
        </w:rPr>
        <w:t xml:space="preserve">. Desalination units </w:t>
      </w:r>
      <w:r w:rsidRPr="002F583E">
        <w:rPr>
          <w:lang w:val="en-GB"/>
        </w:rPr>
        <w:t>aggravat</w:t>
      </w:r>
      <w:r>
        <w:rPr>
          <w:lang w:val="en-GB"/>
        </w:rPr>
        <w:t>e</w:t>
      </w:r>
      <w:r w:rsidRPr="002F583E">
        <w:rPr>
          <w:lang w:val="en-GB"/>
        </w:rPr>
        <w:t xml:space="preserve"> further the </w:t>
      </w:r>
      <w:r>
        <w:rPr>
          <w:lang w:val="en-GB"/>
        </w:rPr>
        <w:t xml:space="preserve">already serious </w:t>
      </w:r>
      <w:r w:rsidRPr="002F583E">
        <w:rPr>
          <w:lang w:val="en-GB"/>
        </w:rPr>
        <w:t xml:space="preserve">emissions </w:t>
      </w:r>
      <w:r>
        <w:rPr>
          <w:lang w:val="en-GB"/>
        </w:rPr>
        <w:t xml:space="preserve">that </w:t>
      </w:r>
      <w:r w:rsidRPr="002F583E">
        <w:rPr>
          <w:lang w:val="en-GB"/>
        </w:rPr>
        <w:t>result</w:t>
      </w:r>
      <w:r>
        <w:rPr>
          <w:lang w:val="en-GB"/>
        </w:rPr>
        <w:t xml:space="preserve">s </w:t>
      </w:r>
      <w:r w:rsidRPr="002F583E">
        <w:rPr>
          <w:lang w:val="en-GB"/>
        </w:rPr>
        <w:t xml:space="preserve">from the high energy and the </w:t>
      </w:r>
      <w:r w:rsidRPr="00922B2C">
        <w:rPr>
          <w:color w:val="000000" w:themeColor="text1"/>
          <w:lang w:val="en-GB"/>
        </w:rPr>
        <w:t>CO</w:t>
      </w:r>
      <w:r w:rsidRPr="00922B2C">
        <w:rPr>
          <w:rFonts w:ascii="Times New Roman Bold" w:hAnsi="Times New Roman Bold"/>
          <w:color w:val="000000" w:themeColor="text1"/>
          <w:vertAlign w:val="subscript"/>
          <w:lang w:val="en-GB"/>
        </w:rPr>
        <w:t>2</w:t>
      </w:r>
      <w:r w:rsidRPr="002F583E">
        <w:rPr>
          <w:lang w:val="en-GB"/>
        </w:rPr>
        <w:t xml:space="preserve"> intensity of the private sector. </w:t>
      </w:r>
    </w:p>
    <w:p w:rsidR="00E43436" w:rsidRDefault="00E43436" w:rsidP="00E43436">
      <w:pPr>
        <w:jc w:val="both"/>
        <w:rPr>
          <w:lang w:val="en-GB"/>
        </w:rPr>
      </w:pPr>
    </w:p>
    <w:p w:rsidR="00D92BC4" w:rsidRDefault="00D92BC4" w:rsidP="00D92BC4">
      <w:pPr>
        <w:jc w:val="both"/>
        <w:rPr>
          <w:lang w:val="en-GB"/>
        </w:rPr>
      </w:pPr>
      <w:r w:rsidRPr="002F583E">
        <w:rPr>
          <w:lang w:val="en-GB"/>
        </w:rPr>
        <w:t xml:space="preserve">On the other hand, the rates of energy consumption have been relatively high in the last decade, </w:t>
      </w:r>
      <w:r w:rsidRPr="00D92BC4">
        <w:rPr>
          <w:lang w:val="en-GB"/>
        </w:rPr>
        <w:t xml:space="preserve">due to high rates of economic and social growth and the high influx of tourists. During the decade </w:t>
      </w:r>
      <w:r w:rsidR="00987988">
        <w:rPr>
          <w:lang w:val="en-GB"/>
        </w:rPr>
        <w:t>2000-2010</w:t>
      </w:r>
      <w:r w:rsidRPr="00D92BC4">
        <w:rPr>
          <w:lang w:val="en-GB"/>
        </w:rPr>
        <w:t xml:space="preserve">, the final energy and electricity consumption increased by </w:t>
      </w:r>
      <w:r w:rsidR="00987988">
        <w:rPr>
          <w:lang w:val="en-GB"/>
        </w:rPr>
        <w:t>1,7</w:t>
      </w:r>
      <w:r w:rsidRPr="00D92BC4">
        <w:rPr>
          <w:lang w:val="en-GB"/>
        </w:rPr>
        <w:t>% and 6,</w:t>
      </w:r>
      <w:r w:rsidR="00987988">
        <w:rPr>
          <w:lang w:val="en-GB"/>
        </w:rPr>
        <w:t>0</w:t>
      </w:r>
      <w:r w:rsidRPr="00D92BC4">
        <w:rPr>
          <w:lang w:val="en-GB"/>
        </w:rPr>
        <w:t>% at an average annual basis respectively, while during the same period the GDP showed an average annual increase of 3,</w:t>
      </w:r>
      <w:r w:rsidR="00987988">
        <w:rPr>
          <w:lang w:val="en-GB"/>
        </w:rPr>
        <w:t>2</w:t>
      </w:r>
      <w:r w:rsidRPr="00D92BC4">
        <w:rPr>
          <w:lang w:val="en-GB"/>
        </w:rPr>
        <w:t>%. Due to the climate conditions and the fact that Cyprus is a tourist destination, energy demand in summer</w:t>
      </w:r>
      <w:r w:rsidR="004C592C">
        <w:rPr>
          <w:lang w:val="en-GB"/>
        </w:rPr>
        <w:t>,</w:t>
      </w:r>
      <w:r w:rsidRPr="00D92BC4">
        <w:rPr>
          <w:lang w:val="en-GB"/>
        </w:rPr>
        <w:t xml:space="preserve"> doubles compared to that in winter.</w:t>
      </w:r>
    </w:p>
    <w:p w:rsidR="00E43436" w:rsidRDefault="00E43436" w:rsidP="00E43436">
      <w:pPr>
        <w:jc w:val="both"/>
        <w:rPr>
          <w:lang w:val="en-GB"/>
        </w:rPr>
      </w:pPr>
    </w:p>
    <w:p w:rsidR="00E43436" w:rsidRPr="002F583E" w:rsidRDefault="00E43436" w:rsidP="00E43436">
      <w:pPr>
        <w:jc w:val="both"/>
        <w:rPr>
          <w:lang w:val="en-GB"/>
        </w:rPr>
      </w:pPr>
      <w:r w:rsidRPr="002F583E">
        <w:rPr>
          <w:lang w:val="en-GB"/>
        </w:rPr>
        <w:t xml:space="preserve">Cyprus is also endowed with a rich fauna and flora </w:t>
      </w:r>
      <w:r>
        <w:rPr>
          <w:lang w:val="en-GB"/>
        </w:rPr>
        <w:t xml:space="preserve">including </w:t>
      </w:r>
      <w:r w:rsidRPr="002F583E">
        <w:rPr>
          <w:lang w:val="en-GB"/>
        </w:rPr>
        <w:t xml:space="preserve">elements of the continents that surround the </w:t>
      </w:r>
      <w:r>
        <w:rPr>
          <w:lang w:val="en-GB"/>
        </w:rPr>
        <w:t>country</w:t>
      </w:r>
      <w:r w:rsidRPr="002F583E">
        <w:rPr>
          <w:lang w:val="en-GB"/>
        </w:rPr>
        <w:t xml:space="preserve">, and thus, the protection of </w:t>
      </w:r>
      <w:r>
        <w:rPr>
          <w:lang w:val="en-GB"/>
        </w:rPr>
        <w:t>i</w:t>
      </w:r>
      <w:r w:rsidRPr="002F583E">
        <w:rPr>
          <w:lang w:val="en-GB"/>
        </w:rPr>
        <w:t>t</w:t>
      </w:r>
      <w:r>
        <w:rPr>
          <w:lang w:val="en-GB"/>
        </w:rPr>
        <w:t xml:space="preserve">s </w:t>
      </w:r>
      <w:r w:rsidRPr="002F583E">
        <w:rPr>
          <w:lang w:val="en-GB"/>
        </w:rPr>
        <w:t>bio</w:t>
      </w:r>
      <w:r>
        <w:rPr>
          <w:lang w:val="en-GB"/>
        </w:rPr>
        <w:t>diversity is of high importance,</w:t>
      </w:r>
      <w:r w:rsidRPr="002F583E">
        <w:rPr>
          <w:lang w:val="en-GB"/>
        </w:rPr>
        <w:t xml:space="preserve"> </w:t>
      </w:r>
      <w:r>
        <w:rPr>
          <w:lang w:val="en-GB"/>
        </w:rPr>
        <w:t>becoming</w:t>
      </w:r>
      <w:r w:rsidRPr="002F583E">
        <w:rPr>
          <w:lang w:val="en-GB"/>
        </w:rPr>
        <w:t xml:space="preserve"> even more important considering the island’s dependence on tourism</w:t>
      </w:r>
      <w:r>
        <w:rPr>
          <w:lang w:val="en-GB"/>
        </w:rPr>
        <w:t>.</w:t>
      </w:r>
      <w:r w:rsidRPr="002F583E">
        <w:rPr>
          <w:lang w:val="en-GB"/>
        </w:rPr>
        <w:t xml:space="preserve"> </w:t>
      </w:r>
    </w:p>
    <w:p w:rsidR="00E43436" w:rsidRDefault="00E43436" w:rsidP="00E43436">
      <w:pPr>
        <w:jc w:val="both"/>
        <w:rPr>
          <w:lang w:val="en-GB"/>
        </w:rPr>
      </w:pPr>
    </w:p>
    <w:p w:rsidR="00E43436" w:rsidRDefault="00E43436" w:rsidP="00E43436">
      <w:pPr>
        <w:jc w:val="both"/>
        <w:rPr>
          <w:lang w:val="en-GB"/>
        </w:rPr>
      </w:pPr>
    </w:p>
    <w:p w:rsidR="00EC471E" w:rsidRDefault="00E43436" w:rsidP="00E43436">
      <w:pPr>
        <w:jc w:val="both"/>
        <w:rPr>
          <w:lang w:val="en-GB"/>
        </w:rPr>
        <w:sectPr w:rsidR="00EC471E" w:rsidSect="00EC471E">
          <w:headerReference w:type="first" r:id="rId32"/>
          <w:pgSz w:w="12240" w:h="15840"/>
          <w:pgMar w:top="1560" w:right="1440" w:bottom="1296" w:left="1440" w:header="720" w:footer="720" w:gutter="0"/>
          <w:cols w:space="720"/>
          <w:titlePg/>
          <w:docGrid w:linePitch="360"/>
        </w:sectPr>
      </w:pPr>
      <w:r w:rsidRPr="00EA6CA1">
        <w:rPr>
          <w:b/>
          <w:u w:val="single"/>
          <w:lang w:val="en-GB"/>
        </w:rPr>
        <w:t>Bottlenecks:</w:t>
      </w:r>
      <w:r w:rsidRPr="002F583E">
        <w:rPr>
          <w:lang w:val="en-GB"/>
        </w:rPr>
        <w:t xml:space="preserve"> Cyprus faces obstacles to developing RES, especially wind energy due to the limited potential for wind energy generation and land planning problems. Si</w:t>
      </w:r>
      <w:r>
        <w:rPr>
          <w:lang w:val="en-GB"/>
        </w:rPr>
        <w:t>mil</w:t>
      </w:r>
      <w:r w:rsidRPr="002F583E">
        <w:rPr>
          <w:lang w:val="en-GB"/>
        </w:rPr>
        <w:t xml:space="preserve">arly, severe constraints exist in the production of bio fuels, due to the limited suitable agricultural land, water </w:t>
      </w:r>
    </w:p>
    <w:p w:rsidR="00987988" w:rsidRDefault="00E43436" w:rsidP="00E43436">
      <w:pPr>
        <w:jc w:val="both"/>
        <w:rPr>
          <w:lang w:val="en-GB"/>
        </w:rPr>
      </w:pPr>
      <w:r w:rsidRPr="002F583E">
        <w:rPr>
          <w:lang w:val="en-GB"/>
        </w:rPr>
        <w:lastRenderedPageBreak/>
        <w:t>scarcity and high dependence on imports to satisfy the indicative and mandatory targets, which are imported at a very high cost</w:t>
      </w:r>
      <w:r>
        <w:rPr>
          <w:lang w:val="en-GB"/>
        </w:rPr>
        <w:t>,</w:t>
      </w:r>
      <w:r w:rsidRPr="002F583E">
        <w:rPr>
          <w:lang w:val="en-GB"/>
        </w:rPr>
        <w:t xml:space="preserve"> much higher than that of imported oil.</w:t>
      </w:r>
    </w:p>
    <w:p w:rsidR="00C46D30" w:rsidRDefault="00C46D30" w:rsidP="00E43436">
      <w:pPr>
        <w:jc w:val="both"/>
        <w:rPr>
          <w:lang w:val="en-GB"/>
        </w:rPr>
        <w:sectPr w:rsidR="00C46D30" w:rsidSect="00EC471E">
          <w:type w:val="continuous"/>
          <w:pgSz w:w="12240" w:h="15840"/>
          <w:pgMar w:top="1560" w:right="1440" w:bottom="1296" w:left="1440" w:header="720" w:footer="720" w:gutter="0"/>
          <w:cols w:space="720"/>
          <w:titlePg/>
          <w:docGrid w:linePitch="360"/>
        </w:sectPr>
      </w:pPr>
    </w:p>
    <w:p w:rsidR="00C46D30" w:rsidRDefault="00C46D30" w:rsidP="00E43436">
      <w:pPr>
        <w:jc w:val="both"/>
        <w:rPr>
          <w:lang w:val="en-GB"/>
        </w:rPr>
        <w:sectPr w:rsidR="00C46D30" w:rsidSect="00EC471E">
          <w:type w:val="continuous"/>
          <w:pgSz w:w="12240" w:h="15840"/>
          <w:pgMar w:top="1560" w:right="1440" w:bottom="1296" w:left="1440" w:header="720" w:footer="720" w:gutter="0"/>
          <w:cols w:space="720"/>
          <w:titlePg/>
          <w:docGrid w:linePitch="360"/>
        </w:sectPr>
      </w:pPr>
    </w:p>
    <w:p w:rsidR="00E43436" w:rsidRPr="002F583E" w:rsidRDefault="00E43436" w:rsidP="00E43436">
      <w:pPr>
        <w:jc w:val="both"/>
        <w:rPr>
          <w:lang w:val="en-GB"/>
        </w:rPr>
      </w:pPr>
      <w:r w:rsidRPr="002F583E">
        <w:rPr>
          <w:lang w:val="en-GB"/>
        </w:rPr>
        <w:lastRenderedPageBreak/>
        <w:t>Given the strain already imposed on public finances, the implementation of the relevant environment projects is considered to be a challenge for the island’s economy. Such projects include the establishment of infrastructure for the sound management of solid and liquid waste, which according to the country’s obligation towards the</w:t>
      </w:r>
      <w:r>
        <w:rPr>
          <w:lang w:val="en-GB"/>
        </w:rPr>
        <w:t xml:space="preserve"> EU should be completed by 2013 and</w:t>
      </w:r>
      <w:r w:rsidRPr="002F583E">
        <w:rPr>
          <w:lang w:val="en-GB"/>
        </w:rPr>
        <w:t xml:space="preserve"> which will be co-financed by the Structural Funds. </w:t>
      </w:r>
    </w:p>
    <w:p w:rsidR="00E43436" w:rsidRPr="002F583E" w:rsidRDefault="00E43436" w:rsidP="00E43436">
      <w:pPr>
        <w:jc w:val="both"/>
        <w:rPr>
          <w:lang w:val="en-GB"/>
        </w:rPr>
      </w:pPr>
      <w:r w:rsidRPr="002F583E">
        <w:rPr>
          <w:lang w:val="en-GB"/>
        </w:rPr>
        <w:t xml:space="preserve"> </w:t>
      </w:r>
    </w:p>
    <w:p w:rsidR="00E43436" w:rsidRDefault="00D92BC4" w:rsidP="00E43436">
      <w:pPr>
        <w:jc w:val="both"/>
        <w:rPr>
          <w:lang w:val="en-GB"/>
        </w:rPr>
      </w:pPr>
      <w:r w:rsidRPr="00D92BC4">
        <w:rPr>
          <w:lang w:val="en-GB"/>
        </w:rPr>
        <w:t>Cyprus, being heavily dependent on imported oil for its energy supply (9</w:t>
      </w:r>
      <w:r w:rsidR="00987988">
        <w:rPr>
          <w:lang w:val="en-GB"/>
        </w:rPr>
        <w:t>6</w:t>
      </w:r>
      <w:r w:rsidRPr="00D92BC4">
        <w:rPr>
          <w:lang w:val="en-GB"/>
        </w:rPr>
        <w:t>% in 20</w:t>
      </w:r>
      <w:r w:rsidR="00987988">
        <w:rPr>
          <w:lang w:val="en-GB"/>
        </w:rPr>
        <w:t>10</w:t>
      </w:r>
      <w:r w:rsidRPr="00D92BC4">
        <w:rPr>
          <w:lang w:val="en-GB"/>
        </w:rPr>
        <w:t xml:space="preserve">) </w:t>
      </w:r>
      <w:r w:rsidR="00E43436" w:rsidRPr="00D92BC4">
        <w:rPr>
          <w:lang w:val="en-GB"/>
        </w:rPr>
        <w:t>and</w:t>
      </w:r>
      <w:r w:rsidR="00E43436" w:rsidRPr="002F583E">
        <w:rPr>
          <w:lang w:val="en-GB"/>
        </w:rPr>
        <w:t xml:space="preserve"> having a small and isolated system, without interconnections to European or other energy networks and no indigenous energy sources</w:t>
      </w:r>
      <w:r w:rsidR="00E43436">
        <w:rPr>
          <w:lang w:val="en-GB"/>
        </w:rPr>
        <w:t>,</w:t>
      </w:r>
      <w:r w:rsidR="00E43436" w:rsidRPr="002F583E">
        <w:rPr>
          <w:lang w:val="en-GB"/>
        </w:rPr>
        <w:t xml:space="preserve"> except for a small contribution from renewable sources, has set energy efficiency as a top priority. </w:t>
      </w:r>
    </w:p>
    <w:p w:rsidR="00E43436" w:rsidRDefault="00E43436" w:rsidP="00E43436">
      <w:pPr>
        <w:jc w:val="both"/>
        <w:rPr>
          <w:lang w:val="en-GB"/>
        </w:rPr>
      </w:pPr>
    </w:p>
    <w:p w:rsidR="00E43436" w:rsidRDefault="003B1028" w:rsidP="003B1028">
      <w:pPr>
        <w:rPr>
          <w:lang w:val="en-GB"/>
        </w:rPr>
      </w:pPr>
      <w:r>
        <w:rPr>
          <w:b/>
          <w:i/>
          <w:lang w:val="en-GB"/>
        </w:rPr>
        <w:t>Figure</w:t>
      </w:r>
      <w:r w:rsidR="00897430">
        <w:rPr>
          <w:b/>
          <w:i/>
          <w:lang w:val="en-GB"/>
        </w:rPr>
        <w:t xml:space="preserve"> </w:t>
      </w:r>
      <w:r w:rsidR="00062A0C">
        <w:rPr>
          <w:b/>
          <w:i/>
          <w:lang w:val="en-GB"/>
        </w:rPr>
        <w:t>4</w:t>
      </w:r>
      <w:r w:rsidR="00897430">
        <w:rPr>
          <w:b/>
          <w:i/>
          <w:lang w:val="en-GB"/>
        </w:rPr>
        <w:t>:</w:t>
      </w:r>
    </w:p>
    <w:p w:rsidR="00E43436" w:rsidRDefault="00897430" w:rsidP="00E43436">
      <w:pPr>
        <w:jc w:val="both"/>
        <w:rPr>
          <w:lang w:val="en-GB"/>
        </w:rPr>
      </w:pPr>
      <w:r>
        <w:rPr>
          <w:noProof/>
        </w:rPr>
        <w:drawing>
          <wp:anchor distT="0" distB="0" distL="114300" distR="114300" simplePos="0" relativeHeight="251668480" behindDoc="0" locked="0" layoutInCell="1" allowOverlap="1">
            <wp:simplePos x="0" y="0"/>
            <wp:positionH relativeFrom="column">
              <wp:posOffset>390525</wp:posOffset>
            </wp:positionH>
            <wp:positionV relativeFrom="paragraph">
              <wp:posOffset>150495</wp:posOffset>
            </wp:positionV>
            <wp:extent cx="4781550" cy="2857500"/>
            <wp:effectExtent l="19050" t="0" r="0" b="0"/>
            <wp:wrapSquare wrapText="bothSides"/>
            <wp:docPr id="9"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39088" cy="5391150"/>
                      <a:chOff x="520700" y="990600"/>
                      <a:chExt cx="7939088" cy="5391150"/>
                    </a:xfrm>
                  </a:grpSpPr>
                  <a:graphicFrame>
                    <a:nvGraphicFramePr>
                      <a:cNvPr id="9" name="Object 2"/>
                      <a:cNvGraphicFramePr>
                        <a:graphicFrameLocks noChangeAspect="1"/>
                      </a:cNvGraphicFramePr>
                    </a:nvGraphicFramePr>
                    <a:graphic>
                      <a:graphicData uri="http://schemas.openxmlformats.org/drawingml/2006/chart">
                        <c:chart xmlns:c="http://schemas.openxmlformats.org/drawingml/2006/chart" xmlns:r="http://schemas.openxmlformats.org/officeDocument/2006/relationships" r:id="rId33"/>
                      </a:graphicData>
                    </a:graphic>
                    <a:xfrm>
                      <a:off x="5033963" y="1346200"/>
                      <a:ext cx="3316287" cy="2184400"/>
                    </a:xfrm>
                  </a:graphicFrame>
                  <a:graphicFrame>
                    <a:nvGraphicFramePr>
                      <a:cNvPr id="10" name="Object 3"/>
                      <a:cNvGraphicFramePr>
                        <a:graphicFrameLocks noChangeAspect="1"/>
                      </a:cNvGraphicFramePr>
                    </a:nvGraphicFramePr>
                    <a:graphic>
                      <a:graphicData uri="http://schemas.openxmlformats.org/drawingml/2006/chart">
                        <c:chart xmlns:c="http://schemas.openxmlformats.org/drawingml/2006/chart" xmlns:r="http://schemas.openxmlformats.org/officeDocument/2006/relationships" r:id="rId34"/>
                      </a:graphicData>
                    </a:graphic>
                    <a:xfrm>
                      <a:off x="571500" y="1200150"/>
                      <a:ext cx="3562350" cy="2349500"/>
                    </a:xfrm>
                  </a:graphicFrame>
                  <a:sp>
                    <a:nvSpPr>
                      <a:cNvPr id="140292" name="Rectangle 13"/>
                      <a:cNvSpPr>
                        <a:spLocks noChangeArrowheads="1"/>
                      </a:cNvSpPr>
                    </a:nvSpPr>
                    <a:spPr bwMode="auto">
                      <a:xfrm>
                        <a:off x="520700" y="1004888"/>
                        <a:ext cx="3835400" cy="336550"/>
                      </a:xfrm>
                      <a:prstGeom prst="rect">
                        <a:avLst/>
                      </a:prstGeom>
                      <a:solidFill>
                        <a:srgbClr val="CCCC00"/>
                      </a:solidFill>
                      <a:ln w="3175" algn="ctr">
                        <a:noFill/>
                        <a:miter lim="800000"/>
                        <a:headEnd/>
                        <a:tailEnd/>
                      </a:ln>
                    </a:spPr>
                    <a:txSp>
                      <a:txBody>
                        <a:bodyPr anchor="ct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r>
                            <a:rPr lang="en-US" sz="1600">
                              <a:solidFill>
                                <a:schemeClr val="bg1"/>
                              </a:solidFill>
                              <a:cs typeface="Arial" pitchFamily="34" charset="0"/>
                            </a:rPr>
                            <a:t>Primary Energy Consumption</a:t>
                          </a:r>
                          <a:endParaRPr lang="en-US" sz="1600">
                            <a:solidFill>
                              <a:schemeClr val="bg1"/>
                            </a:solidFill>
                            <a:latin typeface="Invensys Andale" pitchFamily="34" charset="0"/>
                            <a:cs typeface="Arial" pitchFamily="34" charset="0"/>
                          </a:endParaRPr>
                        </a:p>
                      </a:txBody>
                      <a:useSpRect/>
                    </a:txSp>
                  </a:sp>
                  <a:sp>
                    <a:nvSpPr>
                      <a:cNvPr id="140293" name="Rectangle 14"/>
                      <a:cNvSpPr>
                        <a:spLocks noChangeArrowheads="1"/>
                      </a:cNvSpPr>
                    </a:nvSpPr>
                    <a:spPr bwMode="auto">
                      <a:xfrm>
                        <a:off x="4624388" y="990600"/>
                        <a:ext cx="3835400" cy="366713"/>
                      </a:xfrm>
                      <a:prstGeom prst="rect">
                        <a:avLst/>
                      </a:prstGeom>
                      <a:solidFill>
                        <a:srgbClr val="CCCC00"/>
                      </a:solidFill>
                      <a:ln w="3175" algn="ctr">
                        <a:noFill/>
                        <a:miter lim="800000"/>
                        <a:headEnd/>
                        <a:tailEnd/>
                      </a:ln>
                    </a:spPr>
                    <a:txSp>
                      <a:txBody>
                        <a:bodyPr anchor="ct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r>
                            <a:rPr lang="en-US">
                              <a:solidFill>
                                <a:schemeClr val="bg1"/>
                              </a:solidFill>
                            </a:rPr>
                            <a:t>Final Energy Consumption</a:t>
                          </a:r>
                        </a:p>
                      </a:txBody>
                      <a:useSpRect/>
                    </a:txSp>
                  </a:sp>
                  <a:sp>
                    <a:nvSpPr>
                      <a:cNvPr id="140294" name="Rectangle 16"/>
                      <a:cNvSpPr>
                        <a:spLocks noChangeArrowheads="1"/>
                      </a:cNvSpPr>
                    </a:nvSpPr>
                    <a:spPr bwMode="auto">
                      <a:xfrm>
                        <a:off x="2268538" y="3505200"/>
                        <a:ext cx="4473575" cy="336550"/>
                      </a:xfrm>
                      <a:prstGeom prst="rect">
                        <a:avLst/>
                      </a:prstGeom>
                      <a:solidFill>
                        <a:srgbClr val="CCCC00"/>
                      </a:solidFill>
                      <a:ln w="3175" algn="ctr">
                        <a:noFill/>
                        <a:miter lim="800000"/>
                        <a:headEnd/>
                        <a:tailEnd/>
                      </a:ln>
                    </a:spPr>
                    <a:txSp>
                      <a:txBody>
                        <a:bodyPr anchor="ct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r>
                            <a:rPr lang="en-US" sz="1600">
                              <a:solidFill>
                                <a:schemeClr val="bg1"/>
                              </a:solidFill>
                              <a:cs typeface="Arial" pitchFamily="34" charset="0"/>
                            </a:rPr>
                            <a:t>Final Energy Consumption per Sector</a:t>
                          </a:r>
                          <a:endParaRPr lang="en-US" sz="1600">
                            <a:solidFill>
                              <a:schemeClr val="bg1"/>
                            </a:solidFill>
                            <a:latin typeface="Invensys Andale" pitchFamily="34" charset="0"/>
                            <a:cs typeface="Arial" pitchFamily="34" charset="0"/>
                          </a:endParaRPr>
                        </a:p>
                      </a:txBody>
                      <a:useSpRect/>
                    </a:txSp>
                  </a:sp>
                  <a:graphicFrame>
                    <a:nvGraphicFramePr>
                      <a:cNvPr id="11" name="Object 4"/>
                      <a:cNvGraphicFramePr>
                        <a:graphicFrameLocks noGrp="1" noChangeAspect="1"/>
                      </a:cNvGraphicFramePr>
                    </a:nvGraphicFramePr>
                    <a:graphic>
                      <a:graphicData uri="http://schemas.openxmlformats.org/drawingml/2006/chart">
                        <c:chart xmlns:c="http://schemas.openxmlformats.org/drawingml/2006/chart" xmlns:r="http://schemas.openxmlformats.org/officeDocument/2006/relationships" r:id="rId35"/>
                      </a:graphicData>
                    </a:graphic>
                    <a:xfrm>
                      <a:off x="2700338" y="3784600"/>
                      <a:ext cx="4183062" cy="2597150"/>
                    </a:xfrm>
                  </a:graphicFrame>
                </lc:lockedCanvas>
              </a:graphicData>
            </a:graphic>
          </wp:anchor>
        </w:drawing>
      </w:r>
    </w:p>
    <w:p w:rsidR="00E43436" w:rsidRDefault="00E43436" w:rsidP="00E43436">
      <w:pPr>
        <w:jc w:val="both"/>
        <w:rPr>
          <w:lang w:val="en-GB"/>
        </w:rPr>
      </w:pPr>
    </w:p>
    <w:p w:rsidR="00E43436" w:rsidRDefault="00E43436" w:rsidP="00E43436">
      <w:pPr>
        <w:jc w:val="both"/>
        <w:rPr>
          <w:lang w:val="en-GB"/>
        </w:rPr>
      </w:pPr>
    </w:p>
    <w:p w:rsidR="00E43436" w:rsidRDefault="00E43436" w:rsidP="00E43436">
      <w:pPr>
        <w:jc w:val="both"/>
        <w:rPr>
          <w:lang w:val="en-GB"/>
        </w:rPr>
      </w:pPr>
    </w:p>
    <w:p w:rsidR="00E43436" w:rsidRDefault="00E43436" w:rsidP="00E43436">
      <w:pPr>
        <w:jc w:val="both"/>
        <w:rPr>
          <w:lang w:val="en-GB"/>
        </w:rPr>
      </w:pPr>
    </w:p>
    <w:p w:rsidR="00E43436" w:rsidRDefault="00E43436" w:rsidP="00E43436">
      <w:pPr>
        <w:jc w:val="both"/>
        <w:rPr>
          <w:lang w:val="en-GB"/>
        </w:rPr>
      </w:pPr>
    </w:p>
    <w:p w:rsidR="00E43436" w:rsidRDefault="00E43436" w:rsidP="00E43436">
      <w:pPr>
        <w:jc w:val="both"/>
        <w:rPr>
          <w:lang w:val="en-GB"/>
        </w:rPr>
      </w:pPr>
    </w:p>
    <w:p w:rsidR="00E43436" w:rsidRDefault="00E43436" w:rsidP="00E43436">
      <w:pPr>
        <w:jc w:val="both"/>
        <w:rPr>
          <w:lang w:val="en-GB"/>
        </w:rPr>
      </w:pPr>
    </w:p>
    <w:p w:rsidR="00E43436" w:rsidRDefault="00E43436" w:rsidP="00E43436">
      <w:pPr>
        <w:jc w:val="both"/>
        <w:rPr>
          <w:lang w:val="en-GB"/>
        </w:rPr>
      </w:pPr>
    </w:p>
    <w:p w:rsidR="00E43436" w:rsidRDefault="00E43436" w:rsidP="00E43436">
      <w:pPr>
        <w:jc w:val="both"/>
        <w:rPr>
          <w:lang w:val="en-GB"/>
        </w:rPr>
      </w:pPr>
    </w:p>
    <w:p w:rsidR="00E43436" w:rsidRDefault="00E43436" w:rsidP="00E43436">
      <w:pPr>
        <w:jc w:val="both"/>
        <w:rPr>
          <w:lang w:val="en-GB"/>
        </w:rPr>
      </w:pPr>
    </w:p>
    <w:p w:rsidR="00E43436" w:rsidRDefault="00E43436" w:rsidP="00E43436">
      <w:pPr>
        <w:jc w:val="both"/>
        <w:rPr>
          <w:lang w:val="en-GB"/>
        </w:rPr>
      </w:pPr>
    </w:p>
    <w:p w:rsidR="00E43436" w:rsidRDefault="00E43436" w:rsidP="00E43436">
      <w:pPr>
        <w:jc w:val="both"/>
        <w:rPr>
          <w:lang w:val="en-GB"/>
        </w:rPr>
      </w:pPr>
    </w:p>
    <w:p w:rsidR="00E43436" w:rsidRDefault="00E43436" w:rsidP="00E43436">
      <w:pPr>
        <w:jc w:val="both"/>
        <w:rPr>
          <w:lang w:val="en-GB"/>
        </w:rPr>
      </w:pPr>
    </w:p>
    <w:p w:rsidR="00E43436" w:rsidRDefault="00E43436" w:rsidP="00E43436">
      <w:pPr>
        <w:jc w:val="both"/>
        <w:rPr>
          <w:lang w:val="en-GB"/>
        </w:rPr>
      </w:pPr>
    </w:p>
    <w:p w:rsidR="00E43436" w:rsidRDefault="00E43436" w:rsidP="00E43436">
      <w:pPr>
        <w:jc w:val="both"/>
        <w:rPr>
          <w:lang w:val="en-GB"/>
        </w:rPr>
      </w:pPr>
    </w:p>
    <w:p w:rsidR="00E43436" w:rsidRDefault="003B1028" w:rsidP="00E43436">
      <w:pPr>
        <w:jc w:val="both"/>
        <w:rPr>
          <w:lang w:val="en-GB"/>
        </w:rPr>
      </w:pPr>
      <w:r>
        <w:rPr>
          <w:noProof/>
        </w:rPr>
        <w:drawing>
          <wp:anchor distT="0" distB="0" distL="114300" distR="114300" simplePos="0" relativeHeight="251667456" behindDoc="0" locked="0" layoutInCell="1" allowOverlap="1">
            <wp:simplePos x="0" y="0"/>
            <wp:positionH relativeFrom="column">
              <wp:posOffset>457200</wp:posOffset>
            </wp:positionH>
            <wp:positionV relativeFrom="paragraph">
              <wp:posOffset>814070</wp:posOffset>
            </wp:positionV>
            <wp:extent cx="4981575" cy="2038350"/>
            <wp:effectExtent l="19050" t="0" r="0" b="0"/>
            <wp:wrapTopAndBottom/>
            <wp:docPr id="10"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780814" cy="3325133"/>
                      <a:chOff x="-898071" y="2117725"/>
                      <a:chExt cx="9780814" cy="3325133"/>
                    </a:xfrm>
                  </a:grpSpPr>
                  <a:sp>
                    <a:nvSpPr>
                      <a:cNvPr id="9220" name="Rectangle 19"/>
                      <a:cNvSpPr>
                        <a:spLocks noChangeArrowheads="1"/>
                      </a:cNvSpPr>
                    </a:nvSpPr>
                    <a:spPr bwMode="auto">
                      <a:xfrm>
                        <a:off x="1522413" y="2117725"/>
                        <a:ext cx="6378575" cy="493713"/>
                      </a:xfrm>
                      <a:prstGeom prst="rect">
                        <a:avLst/>
                      </a:prstGeom>
                      <a:solidFill>
                        <a:srgbClr val="CCCC00"/>
                      </a:solidFill>
                      <a:ln w="3175" algn="ctr">
                        <a:noFill/>
                        <a:miter lim="800000"/>
                        <a:headEnd/>
                        <a:tailEnd/>
                      </a:ln>
                    </a:spPr>
                    <a:txSp>
                      <a:txBody>
                        <a:bodyPr anchor="ctr">
                          <a:spAutoFit/>
                        </a:bodyPr>
                        <a:lstStyle>
                          <a:defPPr>
                            <a:defRPr lang="fr-FR"/>
                          </a:defPPr>
                          <a:lvl1pPr algn="l" rtl="0" fontAlgn="base">
                            <a:spcBef>
                              <a:spcPct val="0"/>
                            </a:spcBef>
                            <a:spcAft>
                              <a:spcPct val="0"/>
                            </a:spcAft>
                            <a:defRPr sz="1000" b="1" kern="1200">
                              <a:solidFill>
                                <a:schemeClr val="bg1"/>
                              </a:solidFill>
                              <a:latin typeface="Arial" charset="0"/>
                              <a:ea typeface="+mn-ea"/>
                              <a:cs typeface="+mn-cs"/>
                            </a:defRPr>
                          </a:lvl1pPr>
                          <a:lvl2pPr marL="457200" algn="l" rtl="0" fontAlgn="base">
                            <a:spcBef>
                              <a:spcPct val="0"/>
                            </a:spcBef>
                            <a:spcAft>
                              <a:spcPct val="0"/>
                            </a:spcAft>
                            <a:defRPr sz="1000" b="1" kern="1200">
                              <a:solidFill>
                                <a:schemeClr val="bg1"/>
                              </a:solidFill>
                              <a:latin typeface="Arial" charset="0"/>
                              <a:ea typeface="+mn-ea"/>
                              <a:cs typeface="+mn-cs"/>
                            </a:defRPr>
                          </a:lvl2pPr>
                          <a:lvl3pPr marL="914400" algn="l" rtl="0" fontAlgn="base">
                            <a:spcBef>
                              <a:spcPct val="0"/>
                            </a:spcBef>
                            <a:spcAft>
                              <a:spcPct val="0"/>
                            </a:spcAft>
                            <a:defRPr sz="1000" b="1" kern="1200">
                              <a:solidFill>
                                <a:schemeClr val="bg1"/>
                              </a:solidFill>
                              <a:latin typeface="Arial" charset="0"/>
                              <a:ea typeface="+mn-ea"/>
                              <a:cs typeface="+mn-cs"/>
                            </a:defRPr>
                          </a:lvl3pPr>
                          <a:lvl4pPr marL="1371600" algn="l" rtl="0" fontAlgn="base">
                            <a:spcBef>
                              <a:spcPct val="0"/>
                            </a:spcBef>
                            <a:spcAft>
                              <a:spcPct val="0"/>
                            </a:spcAft>
                            <a:defRPr sz="1000" b="1" kern="1200">
                              <a:solidFill>
                                <a:schemeClr val="bg1"/>
                              </a:solidFill>
                              <a:latin typeface="Arial" charset="0"/>
                              <a:ea typeface="+mn-ea"/>
                              <a:cs typeface="+mn-cs"/>
                            </a:defRPr>
                          </a:lvl4pPr>
                          <a:lvl5pPr marL="1828800" algn="l" rtl="0" fontAlgn="base">
                            <a:spcBef>
                              <a:spcPct val="0"/>
                            </a:spcBef>
                            <a:spcAft>
                              <a:spcPct val="0"/>
                            </a:spcAft>
                            <a:defRPr sz="1000" b="1" kern="1200">
                              <a:solidFill>
                                <a:schemeClr val="bg1"/>
                              </a:solidFill>
                              <a:latin typeface="Arial" charset="0"/>
                              <a:ea typeface="+mn-ea"/>
                              <a:cs typeface="+mn-cs"/>
                            </a:defRPr>
                          </a:lvl5pPr>
                          <a:lvl6pPr marL="2286000" algn="l" defTabSz="914400" rtl="0" eaLnBrk="1" latinLnBrk="0" hangingPunct="1">
                            <a:defRPr sz="1000" b="1" kern="1200">
                              <a:solidFill>
                                <a:schemeClr val="bg1"/>
                              </a:solidFill>
                              <a:latin typeface="Arial" charset="0"/>
                              <a:ea typeface="+mn-ea"/>
                              <a:cs typeface="+mn-cs"/>
                            </a:defRPr>
                          </a:lvl6pPr>
                          <a:lvl7pPr marL="2743200" algn="l" defTabSz="914400" rtl="0" eaLnBrk="1" latinLnBrk="0" hangingPunct="1">
                            <a:defRPr sz="1000" b="1" kern="1200">
                              <a:solidFill>
                                <a:schemeClr val="bg1"/>
                              </a:solidFill>
                              <a:latin typeface="Arial" charset="0"/>
                              <a:ea typeface="+mn-ea"/>
                              <a:cs typeface="+mn-cs"/>
                            </a:defRPr>
                          </a:lvl7pPr>
                          <a:lvl8pPr marL="3200400" algn="l" defTabSz="914400" rtl="0" eaLnBrk="1" latinLnBrk="0" hangingPunct="1">
                            <a:defRPr sz="1000" b="1" kern="1200">
                              <a:solidFill>
                                <a:schemeClr val="bg1"/>
                              </a:solidFill>
                              <a:latin typeface="Arial" charset="0"/>
                              <a:ea typeface="+mn-ea"/>
                              <a:cs typeface="+mn-cs"/>
                            </a:defRPr>
                          </a:lvl8pPr>
                          <a:lvl9pPr marL="3657600" algn="l" defTabSz="914400" rtl="0" eaLnBrk="1" latinLnBrk="0" hangingPunct="1">
                            <a:defRPr sz="1000" b="1" kern="1200">
                              <a:solidFill>
                                <a:schemeClr val="bg1"/>
                              </a:solidFill>
                              <a:latin typeface="Arial" charset="0"/>
                              <a:ea typeface="+mn-ea"/>
                              <a:cs typeface="+mn-cs"/>
                            </a:defRPr>
                          </a:lvl9pPr>
                        </a:lstStyle>
                        <a:p>
                          <a:pPr algn="ctr"/>
                          <a:r>
                            <a:rPr lang="en-US" sz="1300">
                              <a:cs typeface="Arial" charset="0"/>
                            </a:rPr>
                            <a:t> Cost of Energy Imports</a:t>
                          </a:r>
                        </a:p>
                        <a:p>
                          <a:pPr algn="ctr"/>
                          <a:r>
                            <a:rPr lang="en-US" sz="1300">
                              <a:cs typeface="Arial" charset="0"/>
                            </a:rPr>
                            <a:t>(17,2% of the country's total imports - 2009)</a:t>
                          </a:r>
                        </a:p>
                      </a:txBody>
                      <a:useSpRect/>
                    </a:txSp>
                  </a:sp>
                  <a:graphicFrame>
                    <a:nvGraphicFramePr>
                      <a:cNvPr id="6" name="Chart 5"/>
                      <a:cNvGraphicFramePr/>
                    </a:nvGraphicFramePr>
                    <a:graphic>
                      <a:graphicData uri="http://schemas.openxmlformats.org/drawingml/2006/chart">
                        <c:chart xmlns:c="http://schemas.openxmlformats.org/drawingml/2006/chart" xmlns:r="http://schemas.openxmlformats.org/officeDocument/2006/relationships" r:id="rId36"/>
                      </a:graphicData>
                    </a:graphic>
                    <a:xfrm>
                      <a:off x="-898071" y="2380344"/>
                      <a:ext cx="9780814" cy="3062514"/>
                    </a:xfrm>
                  </a:graphicFrame>
                </lc:lockedCanvas>
              </a:graphicData>
            </a:graphic>
          </wp:anchor>
        </w:drawing>
      </w:r>
    </w:p>
    <w:p w:rsidR="00E43436" w:rsidRDefault="00E43436" w:rsidP="00E43436">
      <w:pPr>
        <w:jc w:val="both"/>
        <w:rPr>
          <w:lang w:val="en-GB"/>
        </w:rPr>
      </w:pPr>
    </w:p>
    <w:p w:rsidR="00E43436" w:rsidRDefault="00E43436" w:rsidP="00E43436">
      <w:pPr>
        <w:jc w:val="both"/>
        <w:rPr>
          <w:lang w:val="en-GB"/>
        </w:rPr>
      </w:pPr>
    </w:p>
    <w:p w:rsidR="003B1028" w:rsidRPr="00897430" w:rsidRDefault="00C46D30" w:rsidP="00E963A6">
      <w:pPr>
        <w:jc w:val="both"/>
        <w:rPr>
          <w:b/>
          <w:i/>
          <w:lang w:val="en-GB"/>
        </w:rPr>
      </w:pPr>
      <w:r>
        <w:rPr>
          <w:b/>
          <w:i/>
          <w:lang w:val="en-GB"/>
        </w:rPr>
        <w:t xml:space="preserve">Figure </w:t>
      </w:r>
      <w:r w:rsidR="00062A0C">
        <w:rPr>
          <w:b/>
          <w:i/>
          <w:lang w:val="en-GB"/>
        </w:rPr>
        <w:t>5</w:t>
      </w:r>
      <w:r w:rsidR="00897430">
        <w:rPr>
          <w:b/>
          <w:i/>
          <w:lang w:val="en-GB"/>
        </w:rPr>
        <w:t>:</w:t>
      </w:r>
    </w:p>
    <w:p w:rsidR="00EC471E" w:rsidRDefault="00EC471E" w:rsidP="00E963A6">
      <w:pPr>
        <w:jc w:val="both"/>
        <w:rPr>
          <w:lang w:val="en-GB"/>
        </w:rPr>
        <w:sectPr w:rsidR="00EC471E" w:rsidSect="00EC471E">
          <w:type w:val="continuous"/>
          <w:pgSz w:w="12240" w:h="15840"/>
          <w:pgMar w:top="1560" w:right="1440" w:bottom="1296" w:left="1440" w:header="720" w:footer="720" w:gutter="0"/>
          <w:cols w:space="720"/>
          <w:titlePg/>
          <w:docGrid w:linePitch="360"/>
        </w:sectPr>
      </w:pPr>
    </w:p>
    <w:p w:rsidR="00C46D30" w:rsidRDefault="00C46D30" w:rsidP="00E963A6">
      <w:pPr>
        <w:jc w:val="both"/>
        <w:rPr>
          <w:lang w:val="en-GB"/>
        </w:rPr>
      </w:pPr>
    </w:p>
    <w:p w:rsidR="00C46D30" w:rsidRDefault="00C46D30" w:rsidP="00E963A6">
      <w:pPr>
        <w:jc w:val="both"/>
        <w:rPr>
          <w:lang w:val="en-GB"/>
        </w:rPr>
        <w:sectPr w:rsidR="00C46D30" w:rsidSect="00EC471E">
          <w:type w:val="continuous"/>
          <w:pgSz w:w="12240" w:h="15840"/>
          <w:pgMar w:top="1560" w:right="1440" w:bottom="1296" w:left="1440" w:header="720" w:footer="720" w:gutter="0"/>
          <w:cols w:space="720"/>
          <w:titlePg/>
          <w:docGrid w:linePitch="360"/>
        </w:sectPr>
      </w:pPr>
    </w:p>
    <w:p w:rsidR="00E963A6" w:rsidRPr="00E963A6" w:rsidRDefault="00E963A6" w:rsidP="00E963A6">
      <w:pPr>
        <w:jc w:val="both"/>
        <w:rPr>
          <w:lang w:val="en-GB"/>
        </w:rPr>
      </w:pPr>
      <w:r w:rsidRPr="00E963A6">
        <w:rPr>
          <w:lang w:val="en-GB"/>
        </w:rPr>
        <w:lastRenderedPageBreak/>
        <w:t>In 20</w:t>
      </w:r>
      <w:r w:rsidRPr="00E963A6">
        <w:t>10</w:t>
      </w:r>
      <w:r w:rsidRPr="00E963A6">
        <w:rPr>
          <w:lang w:val="en-GB"/>
        </w:rPr>
        <w:t>, the energy import cost was €1</w:t>
      </w:r>
      <w:r>
        <w:t>,</w:t>
      </w:r>
      <w:r w:rsidRPr="00E963A6">
        <w:t>27</w:t>
      </w:r>
      <w:r w:rsidRPr="00E963A6">
        <w:rPr>
          <w:lang w:val="en-GB"/>
        </w:rPr>
        <w:t xml:space="preserve"> bln, representing 19</w:t>
      </w:r>
      <w:r>
        <w:t>,</w:t>
      </w:r>
      <w:r w:rsidRPr="00E963A6">
        <w:t>7</w:t>
      </w:r>
      <w:r w:rsidRPr="00E963A6">
        <w:rPr>
          <w:lang w:val="en-GB"/>
        </w:rPr>
        <w:t xml:space="preserve">% of the country’s total import cost or 6% of GDP. Thus, </w:t>
      </w:r>
      <w:r w:rsidR="00062A0C">
        <w:t xml:space="preserve">the </w:t>
      </w:r>
      <w:r w:rsidR="00731D68">
        <w:t>C</w:t>
      </w:r>
      <w:r w:rsidRPr="00E963A6">
        <w:t xml:space="preserve">urrent </w:t>
      </w:r>
      <w:r w:rsidR="00731D68">
        <w:t>A</w:t>
      </w:r>
      <w:r w:rsidRPr="00E963A6">
        <w:t>ccount deficit was recorded at 7,8 a</w:t>
      </w:r>
      <w:r w:rsidR="00731D68">
        <w:t>s a % of GDP in 2010 while the C</w:t>
      </w:r>
      <w:r w:rsidRPr="00E963A6">
        <w:t xml:space="preserve">urrent </w:t>
      </w:r>
      <w:r w:rsidR="00731D68">
        <w:t>A</w:t>
      </w:r>
      <w:r w:rsidRPr="00E963A6">
        <w:t xml:space="preserve">ccount deficit excluding imports of oil for home use was recorded at 1,8 for the same year. </w:t>
      </w:r>
    </w:p>
    <w:p w:rsidR="00E43436" w:rsidRDefault="00E43436" w:rsidP="00E43436">
      <w:pPr>
        <w:jc w:val="both"/>
        <w:rPr>
          <w:lang w:val="en-GB"/>
        </w:rPr>
      </w:pPr>
    </w:p>
    <w:p w:rsidR="00D92BC4" w:rsidRPr="00260ADB" w:rsidRDefault="00D92BC4" w:rsidP="00D92BC4">
      <w:pPr>
        <w:jc w:val="both"/>
        <w:rPr>
          <w:lang w:val="en-GB"/>
        </w:rPr>
      </w:pPr>
      <w:r w:rsidRPr="00D92BC4">
        <w:rPr>
          <w:lang w:val="en-GB"/>
        </w:rPr>
        <w:t>Fuel selling price (prior taxation) of diesel and petrol in Cyprus are on average higher (reaching up to 6 cents) than the corresponding EU27 prices, causing an increase to the cost of living. The transport sector in Cyprus absorbs 5</w:t>
      </w:r>
      <w:r w:rsidR="00987988">
        <w:rPr>
          <w:lang w:val="en-GB"/>
        </w:rPr>
        <w:t>5</w:t>
      </w:r>
      <w:r w:rsidRPr="00D92BC4">
        <w:rPr>
          <w:lang w:val="en-GB"/>
        </w:rPr>
        <w:t>% of the final energy consumption, (</w:t>
      </w:r>
      <w:r w:rsidR="00987988">
        <w:rPr>
          <w:lang w:val="en-GB"/>
        </w:rPr>
        <w:t>40</w:t>
      </w:r>
      <w:r w:rsidRPr="00D92BC4">
        <w:rPr>
          <w:lang w:val="en-GB"/>
        </w:rPr>
        <w:t>% road, 1</w:t>
      </w:r>
      <w:r w:rsidR="00987988">
        <w:rPr>
          <w:lang w:val="en-GB"/>
        </w:rPr>
        <w:t>5</w:t>
      </w:r>
      <w:r w:rsidRPr="00D92BC4">
        <w:rPr>
          <w:lang w:val="en-GB"/>
        </w:rPr>
        <w:t>% air).</w:t>
      </w:r>
      <w:r w:rsidRPr="00D92BC4" w:rsidDel="00107C0D">
        <w:rPr>
          <w:lang w:val="en-GB"/>
        </w:rPr>
        <w:t xml:space="preserve"> This is mainly due to the lack of public transport but also due to the fact that Cyprus</w:t>
      </w:r>
      <w:r w:rsidRPr="00D92BC4">
        <w:rPr>
          <w:lang w:val="en-GB"/>
        </w:rPr>
        <w:t xml:space="preserve">, being </w:t>
      </w:r>
      <w:r w:rsidRPr="00D92BC4" w:rsidDel="00107C0D">
        <w:rPr>
          <w:lang w:val="en-GB"/>
        </w:rPr>
        <w:t>an</w:t>
      </w:r>
      <w:r w:rsidRPr="005D53F2" w:rsidDel="00107C0D">
        <w:rPr>
          <w:lang w:val="en-GB"/>
        </w:rPr>
        <w:t xml:space="preserve"> island</w:t>
      </w:r>
      <w:r w:rsidRPr="005D53F2">
        <w:rPr>
          <w:lang w:val="en-GB"/>
        </w:rPr>
        <w:t xml:space="preserve">, </w:t>
      </w:r>
      <w:r w:rsidRPr="005D53F2" w:rsidDel="00107C0D">
        <w:rPr>
          <w:lang w:val="en-GB"/>
        </w:rPr>
        <w:t>air transport is the only connection to the rest of the world.</w:t>
      </w:r>
      <w:r w:rsidRPr="005D53F2">
        <w:rPr>
          <w:lang w:val="en-GB"/>
        </w:rPr>
        <w:t xml:space="preserve"> Overall, facing the energy problem is one of the two greatest challenges to improving competitiveness.</w:t>
      </w:r>
    </w:p>
    <w:p w:rsidR="00E43436" w:rsidRDefault="00E43436" w:rsidP="00E43436">
      <w:pPr>
        <w:jc w:val="both"/>
        <w:rPr>
          <w:lang w:val="en-GB"/>
        </w:rPr>
      </w:pPr>
    </w:p>
    <w:p w:rsidR="00F024F5" w:rsidRDefault="00F024F5" w:rsidP="00E43436">
      <w:pPr>
        <w:jc w:val="both"/>
        <w:rPr>
          <w:lang w:val="en-GB"/>
        </w:rPr>
      </w:pPr>
    </w:p>
    <w:p w:rsidR="00F024F5" w:rsidRPr="00F024F5" w:rsidRDefault="00F024F5" w:rsidP="00E43436">
      <w:pPr>
        <w:jc w:val="both"/>
        <w:rPr>
          <w:b/>
          <w:i/>
          <w:lang w:val="en-GB"/>
        </w:rPr>
      </w:pPr>
      <w:r>
        <w:rPr>
          <w:b/>
          <w:i/>
          <w:lang w:val="en-GB"/>
        </w:rPr>
        <w:t>Figure</w:t>
      </w:r>
      <w:r w:rsidR="00C46D30">
        <w:rPr>
          <w:b/>
          <w:i/>
          <w:lang w:val="en-GB"/>
        </w:rPr>
        <w:t xml:space="preserve"> </w:t>
      </w:r>
      <w:r w:rsidR="00062A0C">
        <w:rPr>
          <w:b/>
          <w:i/>
          <w:lang w:val="en-GB"/>
        </w:rPr>
        <w:t>6</w:t>
      </w:r>
      <w:r>
        <w:rPr>
          <w:b/>
          <w:i/>
          <w:lang w:val="en-GB"/>
        </w:rPr>
        <w:t>:</w:t>
      </w:r>
    </w:p>
    <w:p w:rsidR="00E43436" w:rsidRDefault="00E43436" w:rsidP="00E43436">
      <w:pPr>
        <w:jc w:val="center"/>
        <w:rPr>
          <w:lang w:val="en-GB"/>
        </w:rPr>
      </w:pPr>
    </w:p>
    <w:p w:rsidR="00E43436" w:rsidRDefault="00E43436" w:rsidP="00F024F5">
      <w:pPr>
        <w:jc w:val="center"/>
        <w:rPr>
          <w:lang w:val="en-GB"/>
        </w:rPr>
      </w:pPr>
      <w:r>
        <w:rPr>
          <w:noProof/>
        </w:rPr>
        <w:drawing>
          <wp:anchor distT="0" distB="0" distL="114300" distR="114300" simplePos="0" relativeHeight="251669504" behindDoc="0" locked="0" layoutInCell="1" allowOverlap="1">
            <wp:simplePos x="0" y="0"/>
            <wp:positionH relativeFrom="column">
              <wp:posOffset>581025</wp:posOffset>
            </wp:positionH>
            <wp:positionV relativeFrom="paragraph">
              <wp:posOffset>-1905</wp:posOffset>
            </wp:positionV>
            <wp:extent cx="4794885" cy="2085975"/>
            <wp:effectExtent l="19050" t="0" r="5715" b="0"/>
            <wp:wrapTopAndBottom/>
            <wp:docPr id="11" name="Picture 19"/>
            <wp:cNvGraphicFramePr/>
            <a:graphic xmlns:a="http://schemas.openxmlformats.org/drawingml/2006/main">
              <a:graphicData uri="http://schemas.openxmlformats.org/drawingml/2006/picture">
                <pic:pic xmlns:pic="http://schemas.openxmlformats.org/drawingml/2006/picture">
                  <pic:nvPicPr>
                    <pic:cNvPr id="10245" name="Picture 5"/>
                    <pic:cNvPicPr>
                      <a:picLocks noChangeAspect="1" noChangeArrowheads="1"/>
                    </pic:cNvPicPr>
                  </pic:nvPicPr>
                  <pic:blipFill>
                    <a:blip r:embed="rId37" cstate="print"/>
                    <a:srcRect/>
                    <a:stretch>
                      <a:fillRect/>
                    </a:stretch>
                  </pic:blipFill>
                  <pic:spPr bwMode="auto">
                    <a:xfrm>
                      <a:off x="0" y="0"/>
                      <a:ext cx="4794885" cy="2085975"/>
                    </a:xfrm>
                    <a:prstGeom prst="rect">
                      <a:avLst/>
                    </a:prstGeom>
                    <a:noFill/>
                    <a:ln w="9525">
                      <a:noFill/>
                      <a:miter lim="800000"/>
                      <a:headEnd/>
                      <a:tailEnd/>
                    </a:ln>
                  </pic:spPr>
                </pic:pic>
              </a:graphicData>
            </a:graphic>
          </wp:anchor>
        </w:drawing>
      </w:r>
    </w:p>
    <w:p w:rsidR="00E43436" w:rsidRDefault="00E43436" w:rsidP="00E43436">
      <w:pPr>
        <w:jc w:val="both"/>
        <w:rPr>
          <w:b/>
          <w:color w:val="17365D" w:themeColor="text2" w:themeShade="BF"/>
          <w:lang w:val="en-GB"/>
        </w:rPr>
      </w:pPr>
    </w:p>
    <w:p w:rsidR="00E43436" w:rsidRPr="00652534" w:rsidRDefault="00E43436" w:rsidP="00E43436">
      <w:pPr>
        <w:jc w:val="both"/>
        <w:rPr>
          <w:b/>
          <w:color w:val="17365D" w:themeColor="text2" w:themeShade="BF"/>
          <w:lang w:val="en-GB"/>
        </w:rPr>
      </w:pPr>
    </w:p>
    <w:p w:rsidR="00E43436" w:rsidRPr="00F024F5" w:rsidRDefault="00E43436" w:rsidP="00E43436">
      <w:pPr>
        <w:jc w:val="both"/>
        <w:rPr>
          <w:b/>
          <w:caps/>
          <w:highlight w:val="yellow"/>
          <w:u w:val="single"/>
          <w:lang w:val="en-GB"/>
        </w:rPr>
      </w:pPr>
      <w:r w:rsidRPr="00F024F5">
        <w:rPr>
          <w:b/>
          <w:caps/>
          <w:u w:val="single"/>
          <w:lang w:val="en-GB"/>
        </w:rPr>
        <w:t xml:space="preserve">National Targets AND TRAJECTORIES ON: </w:t>
      </w:r>
    </w:p>
    <w:p w:rsidR="00E43436" w:rsidRPr="002F583E" w:rsidRDefault="00E43436" w:rsidP="00E43436">
      <w:pPr>
        <w:jc w:val="both"/>
        <w:rPr>
          <w:caps/>
          <w:highlight w:val="yellow"/>
          <w:lang w:val="en-GB"/>
        </w:rPr>
      </w:pPr>
    </w:p>
    <w:p w:rsidR="00E43436" w:rsidRDefault="00E43436" w:rsidP="00A073EF">
      <w:pPr>
        <w:pStyle w:val="ListParagraph"/>
        <w:numPr>
          <w:ilvl w:val="0"/>
          <w:numId w:val="60"/>
        </w:numPr>
        <w:ind w:left="284" w:hanging="284"/>
        <w:jc w:val="both"/>
      </w:pPr>
      <w:r w:rsidRPr="00F024F5">
        <w:rPr>
          <w:b/>
          <w:caps/>
          <w:lang w:val="en-GB"/>
        </w:rPr>
        <w:t>e</w:t>
      </w:r>
      <w:r w:rsidRPr="00F024F5">
        <w:rPr>
          <w:b/>
          <w:lang w:val="en-GB"/>
        </w:rPr>
        <w:t xml:space="preserve">nergy Efficiency: </w:t>
      </w:r>
      <w:r w:rsidRPr="002F583E">
        <w:t xml:space="preserve">Based on </w:t>
      </w:r>
      <w:r>
        <w:t>a</w:t>
      </w:r>
      <w:r w:rsidRPr="002F583E">
        <w:t xml:space="preserve"> recently</w:t>
      </w:r>
      <w:r>
        <w:t xml:space="preserve"> completed study, that assessed</w:t>
      </w:r>
      <w:r w:rsidRPr="002F583E">
        <w:t xml:space="preserve"> the projected primary energy consumption for the year 2020,</w:t>
      </w:r>
      <w:r w:rsidRPr="00F024F5">
        <w:rPr>
          <w:b/>
        </w:rPr>
        <w:t xml:space="preserve"> the national potential on energy saving on national primary consumption could reach 14,3% (463 ktoe)</w:t>
      </w:r>
      <w:r w:rsidRPr="002F583E">
        <w:t xml:space="preserve"> compared to </w:t>
      </w:r>
      <w:r>
        <w:t>the national reference scenario (b</w:t>
      </w:r>
      <w:r w:rsidRPr="002F583E">
        <w:t xml:space="preserve">usiness as usual scenario anticipates that in 2020 primary energy consumption will reach 3253 ktoe). However, it is considered essential to clarify that for Cyprus, the introduction of natural gas in power generation is considered as a key energy efficiency measure and not as a </w:t>
      </w:r>
      <w:r w:rsidR="00062A0C">
        <w:t>“</w:t>
      </w:r>
      <w:r w:rsidRPr="002F583E">
        <w:t>business as usual</w:t>
      </w:r>
      <w:r w:rsidR="00062A0C">
        <w:t>”</w:t>
      </w:r>
      <w:r w:rsidRPr="002F583E">
        <w:t xml:space="preserve"> situation. Otherwise, the national saving potential on national primary consumption for 2020 would not exceed the 6,4% (192ktoe). </w:t>
      </w:r>
    </w:p>
    <w:p w:rsidR="00E43436" w:rsidRPr="0034738D" w:rsidRDefault="00E43436" w:rsidP="00E43436">
      <w:pPr>
        <w:jc w:val="both"/>
        <w:rPr>
          <w:u w:val="single"/>
          <w:lang w:val="en-GB"/>
        </w:rPr>
      </w:pPr>
    </w:p>
    <w:p w:rsidR="00A86ABC" w:rsidRDefault="00E43436" w:rsidP="00A073EF">
      <w:pPr>
        <w:pStyle w:val="NoSpacing"/>
        <w:numPr>
          <w:ilvl w:val="0"/>
          <w:numId w:val="60"/>
        </w:numPr>
        <w:ind w:left="284" w:hanging="284"/>
        <w:jc w:val="both"/>
        <w:rPr>
          <w:rFonts w:ascii="Times New Roman" w:hAnsi="Times New Roman"/>
          <w:sz w:val="24"/>
          <w:szCs w:val="24"/>
          <w:lang w:val="en-US"/>
        </w:rPr>
        <w:sectPr w:rsidR="00A86ABC" w:rsidSect="00EC471E">
          <w:type w:val="continuous"/>
          <w:pgSz w:w="12240" w:h="15840"/>
          <w:pgMar w:top="1560" w:right="1440" w:bottom="1296" w:left="1440" w:header="720" w:footer="720" w:gutter="0"/>
          <w:cols w:space="720"/>
          <w:titlePg/>
          <w:docGrid w:linePitch="360"/>
        </w:sectPr>
      </w:pPr>
      <w:r w:rsidRPr="00A86ABC">
        <w:rPr>
          <w:rFonts w:ascii="Times New Roman" w:hAnsi="Times New Roman"/>
          <w:b/>
          <w:bCs/>
          <w:sz w:val="24"/>
          <w:szCs w:val="24"/>
          <w:lang w:val="en-US"/>
        </w:rPr>
        <w:t>Greenhouse Gases Emissions</w:t>
      </w:r>
      <w:r w:rsidRPr="00A86ABC">
        <w:rPr>
          <w:rFonts w:ascii="Times New Roman" w:hAnsi="Times New Roman"/>
          <w:bCs/>
          <w:sz w:val="24"/>
          <w:szCs w:val="24"/>
          <w:lang w:val="en-US"/>
        </w:rPr>
        <w:t xml:space="preserve">: </w:t>
      </w:r>
      <w:r w:rsidRPr="00A86ABC">
        <w:rPr>
          <w:rFonts w:ascii="Times New Roman" w:hAnsi="Times New Roman"/>
          <w:sz w:val="24"/>
          <w:szCs w:val="24"/>
          <w:lang w:val="en-US"/>
        </w:rPr>
        <w:t xml:space="preserve">Cyprus does not have any greenhouse gas emission reduction or limitation obligations under the Kyoto Protocol or under Decision 2002/358/EC </w:t>
      </w:r>
      <w:r w:rsidRPr="00A86ABC">
        <w:rPr>
          <w:rFonts w:ascii="Times New Roman" w:hAnsi="Times New Roman"/>
          <w:sz w:val="24"/>
          <w:szCs w:val="24"/>
          <w:lang w:val="en-GB"/>
        </w:rPr>
        <w:t>for the commitment period of 2008-2012</w:t>
      </w:r>
      <w:r w:rsidRPr="00A86ABC">
        <w:rPr>
          <w:rFonts w:ascii="Times New Roman" w:hAnsi="Times New Roman"/>
          <w:sz w:val="24"/>
          <w:szCs w:val="24"/>
          <w:lang w:val="en-US"/>
        </w:rPr>
        <w:t>. Yet, with the new climate and energy pack</w:t>
      </w:r>
      <w:r w:rsidR="00A86ABC" w:rsidRPr="00A86ABC">
        <w:rPr>
          <w:rFonts w:ascii="Times New Roman" w:hAnsi="Times New Roman"/>
          <w:sz w:val="24"/>
          <w:szCs w:val="24"/>
          <w:lang w:val="en-US"/>
        </w:rPr>
        <w:t>age of the EU,</w:t>
      </w:r>
      <w:r w:rsidR="00A86ABC">
        <w:rPr>
          <w:rFonts w:ascii="Times New Roman" w:hAnsi="Times New Roman"/>
          <w:sz w:val="24"/>
          <w:szCs w:val="24"/>
          <w:lang w:val="en-US"/>
        </w:rPr>
        <w:t xml:space="preserve"> </w:t>
      </w:r>
      <w:r w:rsidRPr="00A86ABC">
        <w:rPr>
          <w:rFonts w:ascii="Times New Roman" w:hAnsi="Times New Roman"/>
          <w:sz w:val="24"/>
          <w:szCs w:val="24"/>
          <w:lang w:val="en-US"/>
        </w:rPr>
        <w:t>Cyprus has been allocated the target of 21% reduction in the installations included in the ETS and 5% reduction for the sectors that are included in (ETS) (transport, waste, agriculture etc).</w:t>
      </w:r>
    </w:p>
    <w:p w:rsidR="00A86ABC" w:rsidRDefault="00A86ABC" w:rsidP="00D92BC4">
      <w:pPr>
        <w:jc w:val="both"/>
        <w:rPr>
          <w:b/>
          <w:bCs/>
        </w:rPr>
        <w:sectPr w:rsidR="00A86ABC" w:rsidSect="00EC471E">
          <w:type w:val="continuous"/>
          <w:pgSz w:w="12240" w:h="15840"/>
          <w:pgMar w:top="1560" w:right="1440" w:bottom="1296" w:left="1440" w:header="720" w:footer="720" w:gutter="0"/>
          <w:cols w:space="720"/>
          <w:titlePg/>
          <w:docGrid w:linePitch="360"/>
        </w:sectPr>
      </w:pPr>
    </w:p>
    <w:p w:rsidR="00E43436" w:rsidRPr="00A86ABC" w:rsidRDefault="00E43436" w:rsidP="00A073EF">
      <w:pPr>
        <w:pStyle w:val="ListParagraph"/>
        <w:numPr>
          <w:ilvl w:val="0"/>
          <w:numId w:val="60"/>
        </w:numPr>
        <w:ind w:left="284" w:hanging="284"/>
        <w:jc w:val="both"/>
        <w:rPr>
          <w:lang w:val="en-GB"/>
        </w:rPr>
      </w:pPr>
      <w:r w:rsidRPr="00A86ABC">
        <w:rPr>
          <w:b/>
          <w:bCs/>
        </w:rPr>
        <w:lastRenderedPageBreak/>
        <w:t>Renewable Energy sources</w:t>
      </w:r>
      <w:r w:rsidRPr="00A86ABC">
        <w:rPr>
          <w:bCs/>
        </w:rPr>
        <w:t xml:space="preserve">: </w:t>
      </w:r>
      <w:r w:rsidRPr="00A86ABC">
        <w:rPr>
          <w:lang w:val="en-GB"/>
        </w:rPr>
        <w:t>Cyprus is committed to increase the contribution of RES to the gross final consumption to 13% by 2020. To achieve the above target Cyprus has to follow the indicative trajectory which includes increase of the RES contribution to the gross final consumption finally to 4,92% by 2012, 5,93% by 2014, 7,45% by 2016, 9,47% by 2018 and final 13% by 2020. Cyprus has already exceeded the first indicative target for the period 2011-2012 since the contribution of Renewable Energy Sources (RES) to the gross final energy consumption, in 20</w:t>
      </w:r>
      <w:r w:rsidR="00987988" w:rsidRPr="00A86ABC">
        <w:rPr>
          <w:lang w:val="en-GB"/>
        </w:rPr>
        <w:t>10</w:t>
      </w:r>
      <w:r w:rsidRPr="00A86ABC">
        <w:rPr>
          <w:lang w:val="en-GB"/>
        </w:rPr>
        <w:t xml:space="preserve"> was </w:t>
      </w:r>
      <w:r w:rsidR="00987988" w:rsidRPr="00A86ABC">
        <w:rPr>
          <w:lang w:val="en-GB"/>
        </w:rPr>
        <w:t>5,3</w:t>
      </w:r>
      <w:r w:rsidRPr="00A86ABC">
        <w:rPr>
          <w:lang w:val="en-GB"/>
        </w:rPr>
        <w:t>%. Moreover</w:t>
      </w:r>
      <w:r w:rsidR="00987988" w:rsidRPr="00A86ABC">
        <w:rPr>
          <w:lang w:val="en-GB"/>
        </w:rPr>
        <w:t>,</w:t>
      </w:r>
      <w:r w:rsidRPr="00A86ABC">
        <w:rPr>
          <w:lang w:val="en-GB"/>
        </w:rPr>
        <w:t xml:space="preserve"> Cyprus has to increase the share of energy from renewable sources to the final </w:t>
      </w:r>
      <w:bookmarkStart w:id="62" w:name="OLE_LINK17"/>
      <w:bookmarkStart w:id="63" w:name="OLE_LINK18"/>
      <w:r w:rsidRPr="00A86ABC">
        <w:rPr>
          <w:lang w:val="en-GB"/>
        </w:rPr>
        <w:t xml:space="preserve">consumption of energy in all forms of transport in </w:t>
      </w:r>
      <w:bookmarkEnd w:id="62"/>
      <w:bookmarkEnd w:id="63"/>
      <w:r w:rsidRPr="00A86ABC">
        <w:rPr>
          <w:lang w:val="en-GB"/>
        </w:rPr>
        <w:t xml:space="preserve">2020 to 10%. </w:t>
      </w:r>
      <w:r w:rsidR="00D92BC4" w:rsidRPr="00A86ABC">
        <w:rPr>
          <w:lang w:val="en-GB"/>
        </w:rPr>
        <w:t>In 20</w:t>
      </w:r>
      <w:r w:rsidR="00987988" w:rsidRPr="00A86ABC">
        <w:rPr>
          <w:lang w:val="en-GB"/>
        </w:rPr>
        <w:t>10</w:t>
      </w:r>
      <w:r w:rsidR="00D92BC4" w:rsidRPr="00A86ABC">
        <w:rPr>
          <w:lang w:val="en-GB"/>
        </w:rPr>
        <w:t xml:space="preserve"> the share of energy from renewable sources to the final consumption of energy in all forms of transport was 2%.</w:t>
      </w:r>
    </w:p>
    <w:p w:rsidR="00E43436" w:rsidRDefault="00E43436" w:rsidP="00E43436">
      <w:pPr>
        <w:pStyle w:val="ListParagraph"/>
        <w:autoSpaceDE w:val="0"/>
        <w:autoSpaceDN w:val="0"/>
        <w:adjustRightInd w:val="0"/>
        <w:jc w:val="both"/>
        <w:rPr>
          <w:color w:val="17365D" w:themeColor="text2" w:themeShade="BF"/>
          <w:lang w:val="en-GB"/>
        </w:rPr>
      </w:pPr>
    </w:p>
    <w:p w:rsidR="00E43436" w:rsidRPr="00652534" w:rsidRDefault="00E43436" w:rsidP="00E43436">
      <w:pPr>
        <w:pStyle w:val="ListParagraph"/>
        <w:autoSpaceDE w:val="0"/>
        <w:autoSpaceDN w:val="0"/>
        <w:adjustRightInd w:val="0"/>
        <w:jc w:val="both"/>
        <w:rPr>
          <w:color w:val="17365D" w:themeColor="text2" w:themeShade="BF"/>
          <w:lang w:val="en-GB"/>
        </w:rPr>
      </w:pPr>
    </w:p>
    <w:p w:rsidR="00E43436" w:rsidRPr="00F024F5" w:rsidRDefault="00E43436" w:rsidP="00977406">
      <w:pPr>
        <w:pStyle w:val="Heading2"/>
      </w:pPr>
      <w:bookmarkStart w:id="64" w:name="_Toc292454629"/>
      <w:r w:rsidRPr="00F024F5">
        <w:t>KEY MEASURES</w:t>
      </w:r>
      <w:bookmarkEnd w:id="64"/>
      <w:r w:rsidRPr="00F024F5">
        <w:t xml:space="preserve"> </w:t>
      </w:r>
    </w:p>
    <w:p w:rsidR="00E43436" w:rsidRPr="002F583E" w:rsidRDefault="00E43436" w:rsidP="00E43436">
      <w:pPr>
        <w:jc w:val="both"/>
      </w:pPr>
    </w:p>
    <w:p w:rsidR="00E43436" w:rsidRPr="004F7C01" w:rsidRDefault="00E43436" w:rsidP="00E43436">
      <w:pPr>
        <w:jc w:val="both"/>
        <w:rPr>
          <w:b/>
          <w:bCs/>
          <w:iCs/>
          <w:u w:val="single"/>
        </w:rPr>
      </w:pPr>
      <w:r w:rsidRPr="004F7C01">
        <w:rPr>
          <w:b/>
          <w:bCs/>
          <w:iCs/>
          <w:u w:val="single"/>
        </w:rPr>
        <w:t>Measures to promote energy efficiency</w:t>
      </w:r>
    </w:p>
    <w:p w:rsidR="00E43436" w:rsidRPr="002F583E" w:rsidRDefault="00E43436" w:rsidP="00E43436">
      <w:pPr>
        <w:jc w:val="both"/>
        <w:rPr>
          <w:bCs/>
          <w:iCs/>
        </w:rPr>
      </w:pPr>
    </w:p>
    <w:p w:rsidR="00731D68" w:rsidRPr="00A86ABC" w:rsidRDefault="00602DA7" w:rsidP="00A073EF">
      <w:pPr>
        <w:pStyle w:val="ListParagraph"/>
        <w:numPr>
          <w:ilvl w:val="0"/>
          <w:numId w:val="38"/>
        </w:numPr>
        <w:ind w:left="284" w:hanging="284"/>
        <w:jc w:val="both"/>
        <w:rPr>
          <w:b/>
          <w:u w:val="single"/>
          <w:lang w:val="en-GB"/>
        </w:rPr>
      </w:pPr>
      <w:r w:rsidRPr="00A86ABC">
        <w:rPr>
          <w:b/>
        </w:rPr>
        <w:t>E</w:t>
      </w:r>
      <w:r w:rsidRPr="00A86ABC">
        <w:rPr>
          <w:b/>
          <w:lang w:val="en-GB"/>
        </w:rPr>
        <w:t>nergy efficiency improvement in the transformation sector with the introduction of natural gas and the combined cycle technology in power generation</w:t>
      </w:r>
      <w:r w:rsidR="00A86ABC" w:rsidRPr="00A86ABC">
        <w:rPr>
          <w:b/>
          <w:lang w:val="en-GB"/>
        </w:rPr>
        <w:t xml:space="preserve">: </w:t>
      </w:r>
      <w:r w:rsidR="00987988" w:rsidRPr="00A86ABC">
        <w:rPr>
          <w:lang w:val="en-GB"/>
        </w:rPr>
        <w:t xml:space="preserve">It has been decided at a political level to import natural gas to Cyprus and use it mainly as fuel for power generation purposes. </w:t>
      </w:r>
      <w:r w:rsidR="00E43436" w:rsidRPr="00A86ABC">
        <w:rPr>
          <w:lang w:val="en-GB"/>
        </w:rPr>
        <w:t xml:space="preserve">It is estimated that once an appraisal of our offshore hydrocarbon potential is performed through an exploratory drilling to take place in October 2011, the pipeline carrying natural gas to Cyprus could be constructed in five years time. The development of the local gas transmission/distribution network has been granted a €10 mln funding under the European Economic Programme for Recovery (EEPR). The total investment is anticipated to be around </w:t>
      </w:r>
      <w:r w:rsidR="00ED15C7" w:rsidRPr="00A86ABC">
        <w:rPr>
          <w:lang w:val="en-GB"/>
        </w:rPr>
        <w:t>€</w:t>
      </w:r>
      <w:r w:rsidR="00E43436" w:rsidRPr="00A86ABC">
        <w:rPr>
          <w:lang w:val="en-GB"/>
        </w:rPr>
        <w:t xml:space="preserve">60-70 </w:t>
      </w:r>
      <w:r w:rsidR="00ED15C7" w:rsidRPr="00A86ABC">
        <w:rPr>
          <w:lang w:val="en-GB"/>
        </w:rPr>
        <w:t>mln</w:t>
      </w:r>
      <w:r w:rsidR="00E43436" w:rsidRPr="00A86ABC">
        <w:rPr>
          <w:lang w:val="en-GB"/>
        </w:rPr>
        <w:t>. In addition, an Open Season procedure to assess the local market demand for natural gas has been initiated and successfully completed by Cyprus Energy Regulatory Authority (CERA). CERA has given its permission to DEFA to proceed to the Open Season 2</w:t>
      </w:r>
      <w:r w:rsidR="00E43436" w:rsidRPr="00A86ABC">
        <w:rPr>
          <w:vertAlign w:val="superscript"/>
          <w:lang w:val="en-GB"/>
        </w:rPr>
        <w:t>nd</w:t>
      </w:r>
      <w:r w:rsidR="00E43436" w:rsidRPr="00A86ABC">
        <w:rPr>
          <w:lang w:val="en-GB"/>
        </w:rPr>
        <w:t xml:space="preserve"> Step in order to facilitate DEFA in conducting the interested End-Users for further negotiations in order to sign a relevant gas supply agreement. </w:t>
      </w:r>
    </w:p>
    <w:p w:rsidR="00A86ABC" w:rsidRPr="00A86ABC" w:rsidRDefault="00A86ABC" w:rsidP="00A86ABC">
      <w:pPr>
        <w:pStyle w:val="ListParagraph"/>
        <w:ind w:left="284"/>
        <w:jc w:val="both"/>
        <w:rPr>
          <w:lang w:val="en-GB"/>
        </w:rPr>
      </w:pPr>
    </w:p>
    <w:p w:rsidR="00731D68" w:rsidRPr="00A86ABC" w:rsidRDefault="00602DA7" w:rsidP="00A073EF">
      <w:pPr>
        <w:pStyle w:val="ListParagraph"/>
        <w:numPr>
          <w:ilvl w:val="0"/>
          <w:numId w:val="38"/>
        </w:numPr>
        <w:ind w:left="284" w:hanging="284"/>
        <w:jc w:val="both"/>
        <w:rPr>
          <w:lang w:val="en-GB"/>
        </w:rPr>
      </w:pPr>
      <w:r w:rsidRPr="00A86ABC">
        <w:rPr>
          <w:b/>
          <w:lang w:val="en-GB"/>
        </w:rPr>
        <w:t>Implementation of the 3</w:t>
      </w:r>
      <w:r w:rsidRPr="00A86ABC">
        <w:rPr>
          <w:b/>
          <w:vertAlign w:val="superscript"/>
          <w:lang w:val="en-GB"/>
        </w:rPr>
        <w:t>rd</w:t>
      </w:r>
      <w:r w:rsidRPr="00A86ABC">
        <w:rPr>
          <w:b/>
          <w:lang w:val="en-GB"/>
        </w:rPr>
        <w:t xml:space="preserve"> internal market energy package</w:t>
      </w:r>
      <w:r w:rsidR="00A86ABC" w:rsidRPr="00A86ABC">
        <w:rPr>
          <w:b/>
          <w:lang w:val="en-GB"/>
        </w:rPr>
        <w:t xml:space="preserve">: </w:t>
      </w:r>
      <w:r w:rsidR="00E43436" w:rsidRPr="00A86ABC">
        <w:rPr>
          <w:lang w:val="en-GB"/>
        </w:rPr>
        <w:t>All the necessary measures are taken in order to transpose the provisions of the two Direct</w:t>
      </w:r>
      <w:r w:rsidR="005B76E8" w:rsidRPr="00A86ABC">
        <w:rPr>
          <w:lang w:val="en-GB"/>
        </w:rPr>
        <w:t>ives</w:t>
      </w:r>
      <w:r w:rsidR="00E43436" w:rsidRPr="00A86ABC">
        <w:rPr>
          <w:lang w:val="en-GB"/>
        </w:rPr>
        <w:t xml:space="preserve"> (2009/73/EC and 2009/72/EC) to the national law, by making appropriate use of the relevant derogations and exemptions for the “small and isolated system” and “emergent and isolated market”</w:t>
      </w:r>
      <w:r w:rsidR="00F024F5" w:rsidRPr="00A86ABC">
        <w:rPr>
          <w:lang w:val="en-GB"/>
        </w:rPr>
        <w:t>.</w:t>
      </w:r>
    </w:p>
    <w:p w:rsidR="00E43436" w:rsidRPr="00A86ABC" w:rsidRDefault="00E43436" w:rsidP="00E43436">
      <w:pPr>
        <w:jc w:val="both"/>
        <w:rPr>
          <w:lang w:val="en-GB"/>
        </w:rPr>
      </w:pPr>
    </w:p>
    <w:p w:rsidR="00E43436" w:rsidRPr="00A86ABC" w:rsidRDefault="00602DA7" w:rsidP="00A073EF">
      <w:pPr>
        <w:pStyle w:val="ListParagraph"/>
        <w:numPr>
          <w:ilvl w:val="0"/>
          <w:numId w:val="38"/>
        </w:numPr>
        <w:ind w:left="284" w:hanging="284"/>
        <w:jc w:val="both"/>
        <w:rPr>
          <w:lang w:val="en-GB"/>
        </w:rPr>
      </w:pPr>
      <w:r w:rsidRPr="00A86ABC">
        <w:rPr>
          <w:b/>
          <w:lang w:val="en-GB"/>
        </w:rPr>
        <w:t>Implementation of energy performance of buildings directive</w:t>
      </w:r>
      <w:r w:rsidR="00A86ABC" w:rsidRPr="00A86ABC">
        <w:rPr>
          <w:b/>
          <w:lang w:val="en-GB"/>
        </w:rPr>
        <w:t xml:space="preserve">: </w:t>
      </w:r>
      <w:r w:rsidR="00E43436" w:rsidRPr="00A86ABC">
        <w:rPr>
          <w:lang w:val="en-GB"/>
        </w:rPr>
        <w:t xml:space="preserve">The transposition of the recast of EPBD (Directive 2010/31/EC) in the national legislation by July </w:t>
      </w:r>
      <w:r w:rsidR="005B76E8" w:rsidRPr="00A86ABC">
        <w:rPr>
          <w:lang w:val="en-GB"/>
        </w:rPr>
        <w:t>2012 will set more ambitious targets in improving the energy efficiency in new and existing buildings. The implementation of stringent minimum requirements is expected by 2013. In order to exploit the full potential of energy saving in the building sector, the subsidy scheme for the build</w:t>
      </w:r>
      <w:r w:rsidR="009F0A3C">
        <w:rPr>
          <w:lang w:val="en-GB"/>
        </w:rPr>
        <w:t>ing</w:t>
      </w:r>
      <w:r w:rsidR="00E43436" w:rsidRPr="00A86ABC">
        <w:rPr>
          <w:lang w:val="en-GB"/>
        </w:rPr>
        <w:t xml:space="preserve"> sector is being revised. Seminars are organised for the candidate Accredited Experts and the computational program SBEMcy, which is used for </w:t>
      </w:r>
      <w:r w:rsidR="00FF06F9" w:rsidRPr="00A86ABC">
        <w:rPr>
          <w:lang w:val="en-GB"/>
        </w:rPr>
        <w:t>issuing the</w:t>
      </w:r>
      <w:r w:rsidR="00E43436" w:rsidRPr="00A86ABC">
        <w:rPr>
          <w:lang w:val="en-GB"/>
        </w:rPr>
        <w:t xml:space="preserve"> EPC </w:t>
      </w:r>
      <w:r w:rsidR="00FF06F9" w:rsidRPr="00A86ABC">
        <w:rPr>
          <w:lang w:val="en-GB"/>
        </w:rPr>
        <w:t xml:space="preserve">and </w:t>
      </w:r>
      <w:r w:rsidR="00E43436" w:rsidRPr="00A86ABC">
        <w:rPr>
          <w:lang w:val="en-GB"/>
        </w:rPr>
        <w:t>giv</w:t>
      </w:r>
      <w:r w:rsidR="00FF06F9" w:rsidRPr="00A86ABC">
        <w:rPr>
          <w:lang w:val="en-GB"/>
        </w:rPr>
        <w:t>ing it</w:t>
      </w:r>
      <w:r w:rsidR="00E43436" w:rsidRPr="00A86ABC">
        <w:rPr>
          <w:lang w:val="en-GB"/>
        </w:rPr>
        <w:t xml:space="preserve"> to the interested parties free of charge.</w:t>
      </w:r>
    </w:p>
    <w:p w:rsidR="00E43436" w:rsidRPr="00A86ABC" w:rsidRDefault="00E43436" w:rsidP="00E43436">
      <w:pPr>
        <w:jc w:val="both"/>
        <w:rPr>
          <w:lang w:val="en-GB"/>
        </w:rPr>
      </w:pPr>
    </w:p>
    <w:p w:rsidR="00166499" w:rsidRDefault="00166499" w:rsidP="00A073EF">
      <w:pPr>
        <w:pStyle w:val="ListParagraph"/>
        <w:numPr>
          <w:ilvl w:val="0"/>
          <w:numId w:val="38"/>
        </w:numPr>
        <w:ind w:left="284" w:hanging="284"/>
        <w:jc w:val="both"/>
        <w:rPr>
          <w:b/>
          <w:lang w:val="en-GB"/>
        </w:rPr>
        <w:sectPr w:rsidR="00166499" w:rsidSect="00EC471E">
          <w:type w:val="continuous"/>
          <w:pgSz w:w="12240" w:h="15840"/>
          <w:pgMar w:top="1560" w:right="1440" w:bottom="1296" w:left="1440" w:header="720" w:footer="720" w:gutter="0"/>
          <w:cols w:space="720"/>
          <w:titlePg/>
          <w:docGrid w:linePitch="360"/>
        </w:sectPr>
      </w:pPr>
    </w:p>
    <w:p w:rsidR="00A86ABC" w:rsidRDefault="00602DA7" w:rsidP="00A073EF">
      <w:pPr>
        <w:pStyle w:val="ListParagraph"/>
        <w:numPr>
          <w:ilvl w:val="0"/>
          <w:numId w:val="38"/>
        </w:numPr>
        <w:ind w:left="284" w:hanging="284"/>
        <w:jc w:val="both"/>
        <w:rPr>
          <w:lang w:val="en-GB"/>
        </w:rPr>
        <w:sectPr w:rsidR="00A86ABC" w:rsidSect="00EC471E">
          <w:type w:val="continuous"/>
          <w:pgSz w:w="12240" w:h="15840"/>
          <w:pgMar w:top="1560" w:right="1440" w:bottom="1296" w:left="1440" w:header="720" w:footer="720" w:gutter="0"/>
          <w:cols w:space="720"/>
          <w:titlePg/>
          <w:docGrid w:linePitch="360"/>
        </w:sectPr>
      </w:pPr>
      <w:r w:rsidRPr="00A86ABC">
        <w:rPr>
          <w:b/>
          <w:lang w:val="en-GB"/>
        </w:rPr>
        <w:lastRenderedPageBreak/>
        <w:t>Implementation of the National Energy Efficiency Action Plan (NEEAP)</w:t>
      </w:r>
      <w:r w:rsidR="00A86ABC" w:rsidRPr="00A86ABC">
        <w:rPr>
          <w:b/>
          <w:lang w:val="en-GB"/>
        </w:rPr>
        <w:t xml:space="preserve">: </w:t>
      </w:r>
      <w:r w:rsidR="00E927EE" w:rsidRPr="00A86ABC">
        <w:rPr>
          <w:lang w:val="en-GB"/>
        </w:rPr>
        <w:t>NEEAP</w:t>
      </w:r>
      <w:r w:rsidR="00E43436" w:rsidRPr="00A86ABC">
        <w:rPr>
          <w:lang w:val="en-GB"/>
        </w:rPr>
        <w:t xml:space="preserve"> was submitted to the European Commission, in June 2007</w:t>
      </w:r>
      <w:r w:rsidR="00FF06F9" w:rsidRPr="00A86ABC">
        <w:rPr>
          <w:lang w:val="en-GB"/>
        </w:rPr>
        <w:t>. The NEEAP</w:t>
      </w:r>
      <w:r w:rsidR="00E43436" w:rsidRPr="00A86ABC">
        <w:rPr>
          <w:lang w:val="en-GB"/>
        </w:rPr>
        <w:t xml:space="preserve"> describes the </w:t>
      </w:r>
    </w:p>
    <w:p w:rsidR="00731D68" w:rsidRPr="00A86ABC" w:rsidRDefault="00E43436" w:rsidP="00A86ABC">
      <w:pPr>
        <w:pStyle w:val="ListParagraph"/>
        <w:ind w:left="284"/>
        <w:jc w:val="both"/>
        <w:rPr>
          <w:lang w:val="en-GB"/>
        </w:rPr>
      </w:pPr>
      <w:r w:rsidRPr="00A86ABC">
        <w:rPr>
          <w:lang w:val="en-GB"/>
        </w:rPr>
        <w:lastRenderedPageBreak/>
        <w:t>programmes, actions and schemes related to energy efficiency that will be applied for the achievement of the 10% target of the mean final energy consumption for nine years (2008-2016). Cyprus is currently working on evaluating the materialisation of the interim indicative target (3% energy saving for the years 2008-2010), based on methodologies recommended by the EU and by developing national methodologies. The 2nd NEEAP will be submitted to the European Commission in June 2011 for achieving the target of 2016 and onwards. The 3</w:t>
      </w:r>
      <w:r w:rsidRPr="00A86ABC">
        <w:rPr>
          <w:vertAlign w:val="superscript"/>
          <w:lang w:val="en-GB"/>
        </w:rPr>
        <w:t>rd</w:t>
      </w:r>
      <w:r w:rsidRPr="00A86ABC">
        <w:rPr>
          <w:lang w:val="en-GB"/>
        </w:rPr>
        <w:t xml:space="preserve"> NEEA</w:t>
      </w:r>
      <w:r w:rsidR="00FF06F9" w:rsidRPr="00A86ABC">
        <w:rPr>
          <w:lang w:val="en-GB"/>
        </w:rPr>
        <w:t>P</w:t>
      </w:r>
      <w:r w:rsidRPr="00A86ABC">
        <w:rPr>
          <w:lang w:val="en-GB"/>
        </w:rPr>
        <w:t xml:space="preserve"> will be submitted in June 2014 and will evaluate the implementation of measures included in the 2</w:t>
      </w:r>
      <w:r w:rsidRPr="00A86ABC">
        <w:rPr>
          <w:vertAlign w:val="superscript"/>
          <w:lang w:val="en-GB"/>
        </w:rPr>
        <w:t>nd</w:t>
      </w:r>
      <w:r w:rsidRPr="00A86ABC">
        <w:rPr>
          <w:lang w:val="en-GB"/>
        </w:rPr>
        <w:t xml:space="preserve"> NEEAP.</w:t>
      </w:r>
    </w:p>
    <w:p w:rsidR="00731D68" w:rsidRPr="00A86ABC" w:rsidRDefault="00731D68">
      <w:pPr>
        <w:pStyle w:val="ListParagraph"/>
        <w:rPr>
          <w:lang w:val="en-GB"/>
        </w:rPr>
      </w:pPr>
    </w:p>
    <w:p w:rsidR="00731D68" w:rsidRPr="00A86ABC" w:rsidRDefault="00602DA7" w:rsidP="00A073EF">
      <w:pPr>
        <w:pStyle w:val="ListParagraph"/>
        <w:numPr>
          <w:ilvl w:val="0"/>
          <w:numId w:val="38"/>
        </w:numPr>
        <w:ind w:left="284" w:hanging="284"/>
        <w:jc w:val="both"/>
        <w:rPr>
          <w:color w:val="000000" w:themeColor="text1"/>
          <w:lang w:val="en-GB"/>
        </w:rPr>
      </w:pPr>
      <w:r w:rsidRPr="00A86ABC">
        <w:rPr>
          <w:b/>
          <w:color w:val="000000" w:themeColor="text1"/>
          <w:lang w:val="en-GB"/>
        </w:rPr>
        <w:t>Exploitation of the economic potential for combined heat and power technology in compliance to the Directive 2004/8/EC and specification of the sectors where co-generation can be applied with an economically efficient way (e.g. cement industry</w:t>
      </w:r>
      <w:r w:rsidR="008D6725" w:rsidRPr="00A86ABC">
        <w:rPr>
          <w:b/>
          <w:color w:val="000000" w:themeColor="text1"/>
          <w:lang w:val="en-GB"/>
        </w:rPr>
        <w:t>)</w:t>
      </w:r>
      <w:r w:rsidR="00A86ABC" w:rsidRPr="00A86ABC">
        <w:rPr>
          <w:b/>
          <w:color w:val="000000" w:themeColor="text1"/>
          <w:lang w:val="en-GB"/>
        </w:rPr>
        <w:t xml:space="preserve">: </w:t>
      </w:r>
      <w:r w:rsidR="008D6725" w:rsidRPr="00A86ABC">
        <w:rPr>
          <w:color w:val="000000" w:themeColor="text1"/>
          <w:lang w:val="en-GB"/>
        </w:rPr>
        <w:t>A study has been prepared for this purpose by the Ministry of Commerce, Industry and Tourism (MCIT) which concluded that the national co-generation potential for the year 2020 is 228MWe (electricity production) and up to 454 MWth (heat production). The study also suggested the introduction of additional measures (feed-in-tariffs, subsidies) for the in</w:t>
      </w:r>
      <w:r w:rsidRPr="00A86ABC">
        <w:rPr>
          <w:color w:val="000000" w:themeColor="text1"/>
          <w:lang w:val="en-GB"/>
        </w:rPr>
        <w:t>crease of the contribution of co-generation into the energy mix of Cyprus. For this reason, economi</w:t>
      </w:r>
      <w:r w:rsidR="008D6725" w:rsidRPr="00A86ABC">
        <w:rPr>
          <w:color w:val="000000" w:themeColor="text1"/>
          <w:lang w:val="en-GB"/>
        </w:rPr>
        <w:t xml:space="preserve">c incentives for the promotion of the high efficiency co-generation installations </w:t>
      </w:r>
      <w:r w:rsidR="005B76E8" w:rsidRPr="00A86ABC">
        <w:rPr>
          <w:color w:val="000000" w:themeColor="text1"/>
          <w:lang w:val="en-GB"/>
        </w:rPr>
        <w:t>are included in the Grand Scheme for investments in the sector of the energy saving (see next section).</w:t>
      </w:r>
    </w:p>
    <w:p w:rsidR="00731D68" w:rsidRPr="00A86ABC" w:rsidRDefault="00731D68">
      <w:pPr>
        <w:pStyle w:val="ListParagraph"/>
        <w:rPr>
          <w:b/>
          <w:color w:val="000000" w:themeColor="text1"/>
          <w:lang w:val="en-GB"/>
        </w:rPr>
      </w:pPr>
    </w:p>
    <w:p w:rsidR="00731D68" w:rsidRPr="00A86ABC" w:rsidRDefault="00602DA7" w:rsidP="00A073EF">
      <w:pPr>
        <w:pStyle w:val="ListParagraph"/>
        <w:numPr>
          <w:ilvl w:val="0"/>
          <w:numId w:val="38"/>
        </w:numPr>
        <w:tabs>
          <w:tab w:val="left" w:pos="284"/>
        </w:tabs>
        <w:ind w:left="284" w:hanging="284"/>
        <w:jc w:val="both"/>
        <w:rPr>
          <w:lang w:val="en-GB"/>
        </w:rPr>
      </w:pPr>
      <w:r w:rsidRPr="00A86ABC">
        <w:rPr>
          <w:b/>
          <w:color w:val="000000" w:themeColor="text1"/>
          <w:lang w:val="en-GB"/>
        </w:rPr>
        <w:t>Energy Audits and Effective Operation of Energy Service Companies (ESCOs</w:t>
      </w:r>
      <w:r w:rsidRPr="00A86ABC">
        <w:rPr>
          <w:color w:val="000000" w:themeColor="text1"/>
          <w:lang w:val="en-GB"/>
        </w:rPr>
        <w:t>)</w:t>
      </w:r>
      <w:r w:rsidR="00A86ABC" w:rsidRPr="00A86ABC">
        <w:rPr>
          <w:color w:val="000000" w:themeColor="text1"/>
          <w:lang w:val="en-GB"/>
        </w:rPr>
        <w:t xml:space="preserve">: </w:t>
      </w:r>
      <w:r w:rsidRPr="00A86ABC">
        <w:rPr>
          <w:color w:val="000000" w:themeColor="text1"/>
          <w:lang w:val="en-GB"/>
        </w:rPr>
        <w:t>In order to ensure the availability of efficient and high-quality energy audit schemes, designed to identify potential energy efficiency improvement measures, energy audits should be carried out in an independent manner to all final consumers. A set of Regulations and Ministe</w:t>
      </w:r>
      <w:r w:rsidR="00DC00F7" w:rsidRPr="00A86ABC">
        <w:rPr>
          <w:lang w:val="en-GB"/>
        </w:rPr>
        <w:t>rial orders have been prepared for implementing an energy audit scheme, including a Technical Guide to be followed by the energy auditors. It is expected that an effective Energy Audit Scheme will start operating in Cyprus by the end of 2011 under the competence of the Energy Service.</w:t>
      </w:r>
    </w:p>
    <w:p w:rsidR="00E43436" w:rsidRPr="00A86ABC" w:rsidRDefault="00E43436" w:rsidP="00E43436">
      <w:pPr>
        <w:jc w:val="both"/>
        <w:rPr>
          <w:lang w:val="en-GB"/>
        </w:rPr>
      </w:pPr>
    </w:p>
    <w:p w:rsidR="00731D68" w:rsidRPr="00A86ABC" w:rsidRDefault="00602DA7" w:rsidP="00A073EF">
      <w:pPr>
        <w:pStyle w:val="ListParagraph"/>
        <w:numPr>
          <w:ilvl w:val="0"/>
          <w:numId w:val="38"/>
        </w:numPr>
        <w:ind w:left="284" w:hanging="284"/>
        <w:jc w:val="both"/>
        <w:rPr>
          <w:lang w:val="en-GB"/>
        </w:rPr>
      </w:pPr>
      <w:r w:rsidRPr="00A86ABC">
        <w:rPr>
          <w:b/>
          <w:lang w:val="en-GB"/>
        </w:rPr>
        <w:t>Energy Efficiency in Public Buildings</w:t>
      </w:r>
      <w:r w:rsidR="00A86ABC" w:rsidRPr="00A86ABC">
        <w:rPr>
          <w:lang w:val="en-GB"/>
        </w:rPr>
        <w:t>: A</w:t>
      </w:r>
      <w:r w:rsidR="00E43436" w:rsidRPr="00A86ABC">
        <w:rPr>
          <w:lang w:val="en-GB"/>
        </w:rPr>
        <w:t xml:space="preserve"> project which will be co-f</w:t>
      </w:r>
      <w:r w:rsidR="00943184">
        <w:rPr>
          <w:lang w:val="en-GB"/>
        </w:rPr>
        <w:t>inanced</w:t>
      </w:r>
      <w:r w:rsidR="00E43436" w:rsidRPr="00A86ABC">
        <w:rPr>
          <w:lang w:val="en-GB"/>
        </w:rPr>
        <w:t xml:space="preserve"> by the European Structural Funds and the Government of Cyprus </w:t>
      </w:r>
      <w:r w:rsidR="00FF06F9" w:rsidRPr="00A86ABC">
        <w:rPr>
          <w:lang w:val="en-GB"/>
        </w:rPr>
        <w:t xml:space="preserve">aims to </w:t>
      </w:r>
      <w:r w:rsidR="00E43436" w:rsidRPr="00A86ABC">
        <w:rPr>
          <w:lang w:val="en-GB"/>
        </w:rPr>
        <w:t xml:space="preserve">the improvement of the energy efficiency of the Presidential Palace by the installation of renewable energy systems, the insulation of the building and the replacement of the old mechanical equipment for heating and cooling. The total cost is expected to be €1 mln. The project is expected to be completed by the end of 2011. The project for the installation of 65 photovoltaic systems to public schools, army camps and public buildings in order to cover part of the buildings’ needs, </w:t>
      </w:r>
      <w:r w:rsidR="00FF06F9" w:rsidRPr="00A86ABC">
        <w:rPr>
          <w:lang w:val="en-GB"/>
        </w:rPr>
        <w:t>was</w:t>
      </w:r>
      <w:r w:rsidR="00733F0C" w:rsidRPr="00A86ABC">
        <w:rPr>
          <w:lang w:val="en-GB"/>
        </w:rPr>
        <w:t xml:space="preserve"> completed</w:t>
      </w:r>
      <w:r w:rsidR="00E43436" w:rsidRPr="00A86ABC">
        <w:rPr>
          <w:lang w:val="en-GB"/>
        </w:rPr>
        <w:t xml:space="preserve"> in June 2010. This project was co-f</w:t>
      </w:r>
      <w:r w:rsidR="00FF06F9" w:rsidRPr="00A86ABC">
        <w:rPr>
          <w:lang w:val="en-GB"/>
        </w:rPr>
        <w:t>inanced</w:t>
      </w:r>
      <w:r w:rsidR="00E43436" w:rsidRPr="00A86ABC">
        <w:rPr>
          <w:lang w:val="en-GB"/>
        </w:rPr>
        <w:t xml:space="preserve"> by the European Structural Funds and the Government of Cyprus. The total cost of the project was €5 mln. Part of the project was the distribution of 50 educational photovoltaic modules to schools.</w:t>
      </w:r>
    </w:p>
    <w:p w:rsidR="00E43436" w:rsidRDefault="00E43436" w:rsidP="00E43436">
      <w:pPr>
        <w:jc w:val="both"/>
        <w:rPr>
          <w:lang w:val="en-GB"/>
        </w:rPr>
      </w:pPr>
    </w:p>
    <w:p w:rsidR="00E43436" w:rsidRDefault="00E43436" w:rsidP="00E43436">
      <w:pPr>
        <w:jc w:val="both"/>
        <w:rPr>
          <w:lang w:val="en-GB"/>
        </w:rPr>
      </w:pPr>
    </w:p>
    <w:p w:rsidR="00A86ABC" w:rsidRDefault="00A86ABC" w:rsidP="00E43436">
      <w:pPr>
        <w:jc w:val="both"/>
        <w:rPr>
          <w:lang w:val="en-GB"/>
        </w:rPr>
      </w:pPr>
    </w:p>
    <w:p w:rsidR="00A86ABC" w:rsidRDefault="00A86ABC" w:rsidP="00E43436">
      <w:pPr>
        <w:jc w:val="both"/>
        <w:rPr>
          <w:lang w:val="en-GB"/>
        </w:rPr>
      </w:pPr>
    </w:p>
    <w:p w:rsidR="00A86ABC" w:rsidRDefault="00A86ABC" w:rsidP="00E43436">
      <w:pPr>
        <w:jc w:val="both"/>
        <w:rPr>
          <w:lang w:val="en-GB"/>
        </w:rPr>
      </w:pPr>
    </w:p>
    <w:p w:rsidR="00A86ABC" w:rsidRDefault="00A86ABC" w:rsidP="00E43436">
      <w:pPr>
        <w:jc w:val="both"/>
        <w:rPr>
          <w:lang w:val="en-GB"/>
        </w:rPr>
      </w:pPr>
    </w:p>
    <w:p w:rsidR="00A86ABC" w:rsidRDefault="00A86ABC" w:rsidP="00E43436">
      <w:pPr>
        <w:jc w:val="both"/>
        <w:rPr>
          <w:b/>
          <w:color w:val="000000" w:themeColor="text1"/>
          <w:u w:val="single"/>
          <w:lang w:val="en-GB"/>
        </w:rPr>
        <w:sectPr w:rsidR="00A86ABC" w:rsidSect="00EC471E">
          <w:type w:val="continuous"/>
          <w:pgSz w:w="12240" w:h="15840"/>
          <w:pgMar w:top="1560" w:right="1440" w:bottom="1296" w:left="1440" w:header="720" w:footer="720" w:gutter="0"/>
          <w:cols w:space="720"/>
          <w:titlePg/>
          <w:docGrid w:linePitch="360"/>
        </w:sectPr>
      </w:pPr>
      <w:bookmarkStart w:id="65" w:name="_Ref275426878"/>
      <w:bookmarkStart w:id="66" w:name="_Ref275847851"/>
    </w:p>
    <w:p w:rsidR="00E43436" w:rsidRPr="009D73BC" w:rsidRDefault="00E43436" w:rsidP="00E43436">
      <w:pPr>
        <w:jc w:val="both"/>
        <w:rPr>
          <w:b/>
          <w:color w:val="000000" w:themeColor="text1"/>
          <w:u w:val="single"/>
          <w:lang w:val="en-GB"/>
        </w:rPr>
      </w:pPr>
      <w:r>
        <w:rPr>
          <w:b/>
          <w:color w:val="000000" w:themeColor="text1"/>
          <w:u w:val="single"/>
          <w:lang w:val="en-GB"/>
        </w:rPr>
        <w:lastRenderedPageBreak/>
        <w:t>Measures to promote the utilis</w:t>
      </w:r>
      <w:r w:rsidRPr="009D73BC">
        <w:rPr>
          <w:b/>
          <w:color w:val="000000" w:themeColor="text1"/>
          <w:u w:val="single"/>
          <w:lang w:val="en-GB"/>
        </w:rPr>
        <w:t>ation of RES and Energy Conservation</w:t>
      </w:r>
    </w:p>
    <w:p w:rsidR="00E43436" w:rsidRDefault="00E43436" w:rsidP="00E43436">
      <w:pPr>
        <w:jc w:val="both"/>
        <w:rPr>
          <w:b/>
          <w:color w:val="000000" w:themeColor="text1"/>
          <w:lang w:val="en-GB"/>
        </w:rPr>
      </w:pPr>
    </w:p>
    <w:p w:rsidR="008D6725" w:rsidRPr="00A86ABC" w:rsidRDefault="008D6725" w:rsidP="00A073EF">
      <w:pPr>
        <w:pStyle w:val="ecxmsonormal"/>
        <w:numPr>
          <w:ilvl w:val="0"/>
          <w:numId w:val="79"/>
        </w:numPr>
        <w:shd w:val="clear" w:color="auto" w:fill="FFFFFF"/>
        <w:ind w:left="284" w:hanging="284"/>
        <w:jc w:val="both"/>
        <w:rPr>
          <w:bCs/>
          <w:color w:val="000000"/>
          <w:lang w:val="en-GB"/>
        </w:rPr>
      </w:pPr>
      <w:r w:rsidRPr="00A86ABC">
        <w:rPr>
          <w:b/>
          <w:bCs/>
          <w:color w:val="000000"/>
          <w:lang w:val="en-GB"/>
        </w:rPr>
        <w:t>Implementation of the National Renewable Energy Action Plan (</w:t>
      </w:r>
      <w:bookmarkStart w:id="67" w:name="OLE_LINK3"/>
      <w:bookmarkStart w:id="68" w:name="OLE_LINK4"/>
      <w:r w:rsidRPr="00A86ABC">
        <w:rPr>
          <w:b/>
          <w:bCs/>
          <w:color w:val="000000"/>
          <w:lang w:val="en-GB"/>
        </w:rPr>
        <w:t>NREAP</w:t>
      </w:r>
      <w:bookmarkEnd w:id="67"/>
      <w:bookmarkEnd w:id="68"/>
      <w:r w:rsidRPr="00A86ABC">
        <w:rPr>
          <w:bCs/>
          <w:color w:val="000000"/>
          <w:lang w:val="en-GB"/>
        </w:rPr>
        <w:t>)</w:t>
      </w:r>
      <w:r w:rsidR="00A86ABC" w:rsidRPr="00A86ABC">
        <w:rPr>
          <w:bCs/>
          <w:color w:val="000000"/>
          <w:lang w:val="en-GB"/>
        </w:rPr>
        <w:t>:</w:t>
      </w:r>
      <w:r w:rsidR="00A86ABC">
        <w:rPr>
          <w:bCs/>
          <w:color w:val="000000"/>
          <w:lang w:val="en-GB"/>
        </w:rPr>
        <w:t xml:space="preserve"> </w:t>
      </w:r>
      <w:r w:rsidR="00E927EE" w:rsidRPr="00A86ABC">
        <w:rPr>
          <w:bCs/>
          <w:color w:val="000000"/>
          <w:lang w:val="en-GB"/>
        </w:rPr>
        <w:t>NREAP</w:t>
      </w:r>
      <w:r w:rsidRPr="00A86ABC">
        <w:rPr>
          <w:bCs/>
          <w:color w:val="000000"/>
          <w:lang w:val="en-GB"/>
        </w:rPr>
        <w:t xml:space="preserve"> was submitted to the European Commission in July 2010. The NREAP sets the national targets for the share of energy from renewable sources consumed in transport, electricity and heating/cooling in 2020 and describes adequate measures to be taken to achieve those national targets. The NREAP takes also into account the effects of other policy measures relating to energy efficiency on the final consumption of energy. According to the NREAP the distribution of RES electricity production between 2011-2012 is expected to come mainly from wind power (3,27%), biomass (0,87%) and photovoltaic systems (0,28%). The first Wind Park of 82MW has been fully commissioned and five other projects of a total capacity of 75,5 MW have signed the subsidy agreement with the Special fund and are in the stage of implementation. For the years 2009-2013, approximately 85 wind power generators are expected to be installed, in several parts of Cyprus, with a total capacity of 165 MW. Moreover, regarding the electricity production from biomass, including biogas from landfills, already eleven CHP units of 7,9MW have been installed and two more units of 25MW have been approved. Finally, photovoltaic systems of 6,3 MW have been installed so far and more are expected. The total budget for the implementation of NREAP for the years 2010-2020 is es</w:t>
      </w:r>
      <w:r w:rsidR="009C76E0">
        <w:rPr>
          <w:bCs/>
          <w:color w:val="000000"/>
          <w:lang w:val="en-GB"/>
        </w:rPr>
        <w:t>timated to be around €1</w:t>
      </w:r>
      <w:r w:rsidR="00FB5342">
        <w:rPr>
          <w:bCs/>
          <w:color w:val="000000"/>
          <w:lang w:val="en-GB"/>
        </w:rPr>
        <w:t>,</w:t>
      </w:r>
      <w:r w:rsidR="009C76E0">
        <w:rPr>
          <w:bCs/>
          <w:color w:val="000000"/>
          <w:lang w:val="en-GB"/>
        </w:rPr>
        <w:t>3 bln</w:t>
      </w:r>
      <w:r w:rsidRPr="00A86ABC">
        <w:rPr>
          <w:bCs/>
          <w:color w:val="000000"/>
          <w:lang w:val="en-GB"/>
        </w:rPr>
        <w:t>.</w:t>
      </w:r>
    </w:p>
    <w:p w:rsidR="00731D68" w:rsidRPr="00A86ABC" w:rsidRDefault="00602DA7" w:rsidP="00A073EF">
      <w:pPr>
        <w:pStyle w:val="ListParagraph"/>
        <w:numPr>
          <w:ilvl w:val="0"/>
          <w:numId w:val="79"/>
        </w:numPr>
        <w:ind w:left="284" w:hanging="284"/>
        <w:jc w:val="both"/>
        <w:rPr>
          <w:color w:val="000000" w:themeColor="text1"/>
          <w:lang w:val="en-GB"/>
        </w:rPr>
      </w:pPr>
      <w:r w:rsidRPr="00A86ABC">
        <w:rPr>
          <w:b/>
          <w:color w:val="000000" w:themeColor="text1"/>
          <w:lang w:val="en-GB"/>
        </w:rPr>
        <w:t>Support Schemes for the promotion of the utilisation of RES and Energy Conservation</w:t>
      </w:r>
      <w:bookmarkEnd w:id="65"/>
      <w:r w:rsidR="00A86ABC" w:rsidRPr="00A86ABC">
        <w:rPr>
          <w:b/>
          <w:color w:val="000000" w:themeColor="text1"/>
          <w:lang w:val="en-GB"/>
        </w:rPr>
        <w:t>:</w:t>
      </w:r>
      <w:r w:rsidR="00A86ABC">
        <w:rPr>
          <w:b/>
          <w:color w:val="000000" w:themeColor="text1"/>
          <w:lang w:val="en-GB"/>
        </w:rPr>
        <w:t xml:space="preserve"> </w:t>
      </w:r>
      <w:r w:rsidR="00E43436" w:rsidRPr="00A86ABC">
        <w:rPr>
          <w:color w:val="000000" w:themeColor="text1"/>
          <w:lang w:val="en-GB"/>
        </w:rPr>
        <w:t>The schemes provide financial incentives in the form of governmental grants or/and subsidy for the materialisation of investments in the field of Energy Conservation (EC) and the promotion of the utili</w:t>
      </w:r>
      <w:r w:rsidR="00CD4DF4" w:rsidRPr="00A86ABC">
        <w:rPr>
          <w:color w:val="000000" w:themeColor="text1"/>
          <w:lang w:val="en-GB"/>
        </w:rPr>
        <w:t>s</w:t>
      </w:r>
      <w:r w:rsidR="00E43436" w:rsidRPr="00A86ABC">
        <w:rPr>
          <w:color w:val="000000" w:themeColor="text1"/>
          <w:lang w:val="en-GB"/>
        </w:rPr>
        <w:t xml:space="preserve">ation of RES. It is financed through a Fund specifically allocated for this purpose, deriving its revenue from a levy of 0,44 eurocent/KWh on the consumption of electricity. The new support schemes cover investments regarding utilisation of RES for electricity production, heating/cooling, cogeneration and investments under three different schemes. </w:t>
      </w:r>
      <w:bookmarkEnd w:id="66"/>
      <w:r w:rsidR="00E43436" w:rsidRPr="00A86ABC">
        <w:rPr>
          <w:color w:val="000000" w:themeColor="text1"/>
          <w:lang w:val="en-GB"/>
        </w:rPr>
        <w:t>The total budget of the RES FUND for the implementation of the support schemes 2010-2020 is estimated to be €454 m</w:t>
      </w:r>
      <w:r w:rsidR="00CD4DF4" w:rsidRPr="00A86ABC">
        <w:rPr>
          <w:color w:val="000000" w:themeColor="text1"/>
          <w:lang w:val="en-GB"/>
        </w:rPr>
        <w:t>ln</w:t>
      </w:r>
      <w:r w:rsidR="00E43436" w:rsidRPr="00A86ABC">
        <w:rPr>
          <w:color w:val="000000" w:themeColor="text1"/>
          <w:lang w:val="en-GB"/>
        </w:rPr>
        <w:t xml:space="preserve"> (already included in the cost figure of €1.3 bl</w:t>
      </w:r>
      <w:r w:rsidR="00CD4DF4" w:rsidRPr="00A86ABC">
        <w:rPr>
          <w:color w:val="000000" w:themeColor="text1"/>
          <w:lang w:val="en-GB"/>
        </w:rPr>
        <w:t>n</w:t>
      </w:r>
      <w:r w:rsidR="00E43436" w:rsidRPr="00A86ABC">
        <w:rPr>
          <w:color w:val="000000" w:themeColor="text1"/>
          <w:lang w:val="en-GB"/>
        </w:rPr>
        <w:t xml:space="preserve"> above). </w:t>
      </w:r>
    </w:p>
    <w:p w:rsidR="00E43436" w:rsidRPr="00A86ABC" w:rsidRDefault="00E43436" w:rsidP="00E43436">
      <w:pPr>
        <w:jc w:val="both"/>
        <w:rPr>
          <w:i/>
          <w:lang w:val="en-GB"/>
        </w:rPr>
      </w:pPr>
    </w:p>
    <w:p w:rsidR="00731D68" w:rsidRPr="00A86ABC" w:rsidRDefault="00602DA7" w:rsidP="00A073EF">
      <w:pPr>
        <w:pStyle w:val="ListParagraph"/>
        <w:numPr>
          <w:ilvl w:val="0"/>
          <w:numId w:val="39"/>
        </w:numPr>
        <w:ind w:left="284" w:hanging="284"/>
        <w:jc w:val="both"/>
        <w:rPr>
          <w:lang w:val="en-GB"/>
        </w:rPr>
      </w:pPr>
      <w:r w:rsidRPr="00A86ABC">
        <w:rPr>
          <w:b/>
          <w:lang w:val="en-GB"/>
        </w:rPr>
        <w:t>Introduction of a new legislation for the utilisation of RES</w:t>
      </w:r>
      <w:r w:rsidR="00A86ABC" w:rsidRPr="00A86ABC">
        <w:rPr>
          <w:lang w:val="en-GB"/>
        </w:rPr>
        <w:t>:</w:t>
      </w:r>
      <w:r w:rsidR="00A86ABC">
        <w:rPr>
          <w:lang w:val="en-GB"/>
        </w:rPr>
        <w:t xml:space="preserve"> </w:t>
      </w:r>
      <w:r w:rsidR="00E927EE" w:rsidRPr="00A86ABC">
        <w:rPr>
          <w:lang w:val="en-GB"/>
        </w:rPr>
        <w:t xml:space="preserve">The Cypriot Government aims in introducing a new legislation for the utilisation of RES </w:t>
      </w:r>
      <w:r w:rsidR="00E43436" w:rsidRPr="00A86ABC">
        <w:rPr>
          <w:lang w:val="en-GB"/>
        </w:rPr>
        <w:t xml:space="preserve">in order to enforce the provisions of the Directive 2009/28/EC on the promotion of the use of energy from renewable sources and the subsequent repeal of the existing national law 33(I)/2003. The Energy Service of the </w:t>
      </w:r>
      <w:r w:rsidR="003344FB" w:rsidRPr="00A86ABC">
        <w:rPr>
          <w:lang w:val="en-GB"/>
        </w:rPr>
        <w:t xml:space="preserve">MCIT </w:t>
      </w:r>
      <w:r w:rsidR="00E43436" w:rsidRPr="00A86ABC">
        <w:rPr>
          <w:lang w:val="en-GB"/>
        </w:rPr>
        <w:t>is taking all necessary measures to transpose the provisions of the new Directive during 2011.</w:t>
      </w:r>
    </w:p>
    <w:p w:rsidR="00E43436" w:rsidRPr="00A86ABC" w:rsidRDefault="00E43436" w:rsidP="00E43436">
      <w:pPr>
        <w:jc w:val="both"/>
        <w:rPr>
          <w:lang w:val="en-GB"/>
        </w:rPr>
      </w:pPr>
    </w:p>
    <w:p w:rsidR="00731D68" w:rsidRDefault="00602DA7" w:rsidP="00EF1611">
      <w:pPr>
        <w:pStyle w:val="ListParagraph"/>
        <w:numPr>
          <w:ilvl w:val="0"/>
          <w:numId w:val="39"/>
        </w:numPr>
        <w:ind w:left="284" w:hanging="284"/>
        <w:jc w:val="both"/>
        <w:rPr>
          <w:lang w:val="en-GB"/>
        </w:rPr>
      </w:pPr>
      <w:r w:rsidRPr="00A86ABC">
        <w:rPr>
          <w:b/>
          <w:color w:val="000000" w:themeColor="text1"/>
          <w:lang w:val="en-GB"/>
        </w:rPr>
        <w:t>Accelerating the Implementation of RES investments</w:t>
      </w:r>
      <w:r w:rsidR="00A86ABC">
        <w:rPr>
          <w:b/>
          <w:color w:val="000000" w:themeColor="text1"/>
          <w:lang w:val="en-GB"/>
        </w:rPr>
        <w:t xml:space="preserve">: </w:t>
      </w:r>
      <w:r w:rsidR="00462810">
        <w:rPr>
          <w:color w:val="000000" w:themeColor="text1"/>
          <w:lang w:val="en-GB"/>
        </w:rPr>
        <w:t xml:space="preserve">RES investments will be further promoted </w:t>
      </w:r>
      <w:r w:rsidR="00E43436" w:rsidRPr="00E43436">
        <w:rPr>
          <w:color w:val="000000" w:themeColor="text1"/>
          <w:lang w:val="en-GB"/>
        </w:rPr>
        <w:t>via accelerating the whole procedure for the submission and evaluation of the applications and the securing of the necessary licenses and permits through “One Stop Shop” and a Ministerial Committee, set up to examine problems and promote RES Investment</w:t>
      </w:r>
      <w:r w:rsidR="00CD4DF4">
        <w:rPr>
          <w:color w:val="000000" w:themeColor="text1"/>
          <w:lang w:val="en-GB"/>
        </w:rPr>
        <w:t>.</w:t>
      </w:r>
    </w:p>
    <w:p w:rsidR="00E43436" w:rsidRDefault="00E43436" w:rsidP="00E43436">
      <w:pPr>
        <w:jc w:val="both"/>
        <w:rPr>
          <w:b/>
          <w:color w:val="000000" w:themeColor="text1"/>
          <w:u w:val="single"/>
          <w:lang w:val="en-GB"/>
        </w:rPr>
      </w:pPr>
    </w:p>
    <w:p w:rsidR="00E43436" w:rsidRDefault="00E43436" w:rsidP="00E43436">
      <w:pPr>
        <w:jc w:val="both"/>
        <w:rPr>
          <w:b/>
          <w:color w:val="000000" w:themeColor="text1"/>
          <w:u w:val="single"/>
          <w:lang w:val="en-GB"/>
        </w:rPr>
      </w:pPr>
    </w:p>
    <w:p w:rsidR="00A86ABC" w:rsidRDefault="00A86ABC" w:rsidP="00E43436">
      <w:pPr>
        <w:jc w:val="both"/>
        <w:rPr>
          <w:b/>
          <w:color w:val="000000" w:themeColor="text1"/>
          <w:u w:val="single"/>
          <w:lang w:val="en-GB"/>
        </w:rPr>
      </w:pPr>
    </w:p>
    <w:p w:rsidR="00A86ABC" w:rsidRDefault="00A86ABC" w:rsidP="00E43436">
      <w:pPr>
        <w:jc w:val="both"/>
        <w:rPr>
          <w:b/>
          <w:color w:val="000000" w:themeColor="text1"/>
          <w:u w:val="single"/>
          <w:lang w:val="en-GB"/>
        </w:rPr>
      </w:pPr>
    </w:p>
    <w:p w:rsidR="00A86ABC" w:rsidRDefault="00A86ABC" w:rsidP="00E43436">
      <w:pPr>
        <w:jc w:val="both"/>
        <w:rPr>
          <w:b/>
          <w:color w:val="000000" w:themeColor="text1"/>
          <w:u w:val="single"/>
          <w:lang w:val="en-GB"/>
        </w:rPr>
      </w:pPr>
    </w:p>
    <w:p w:rsidR="00DA0E87" w:rsidRDefault="00DA0E87" w:rsidP="00E43436">
      <w:pPr>
        <w:jc w:val="both"/>
        <w:rPr>
          <w:b/>
          <w:color w:val="000000" w:themeColor="text1"/>
          <w:u w:val="single"/>
          <w:lang w:val="en-GB"/>
        </w:rPr>
        <w:sectPr w:rsidR="00DA0E87" w:rsidSect="00EC471E">
          <w:type w:val="continuous"/>
          <w:pgSz w:w="12240" w:h="15840"/>
          <w:pgMar w:top="1560" w:right="1440" w:bottom="1296" w:left="1440" w:header="720" w:footer="720" w:gutter="0"/>
          <w:cols w:space="720"/>
          <w:titlePg/>
          <w:docGrid w:linePitch="360"/>
        </w:sectPr>
      </w:pPr>
    </w:p>
    <w:p w:rsidR="00E43436" w:rsidRPr="009D73BC" w:rsidRDefault="00E43436" w:rsidP="00E43436">
      <w:pPr>
        <w:jc w:val="both"/>
        <w:rPr>
          <w:b/>
          <w:color w:val="000000" w:themeColor="text1"/>
          <w:u w:val="single"/>
          <w:lang w:val="en-GB"/>
        </w:rPr>
      </w:pPr>
      <w:r w:rsidRPr="009D73BC">
        <w:rPr>
          <w:b/>
          <w:color w:val="000000" w:themeColor="text1"/>
          <w:u w:val="single"/>
          <w:lang w:val="en-GB"/>
        </w:rPr>
        <w:lastRenderedPageBreak/>
        <w:t>Measures to reduce CO</w:t>
      </w:r>
      <w:r w:rsidRPr="009D73BC">
        <w:rPr>
          <w:rFonts w:ascii="Times New Roman Bold" w:hAnsi="Times New Roman Bold"/>
          <w:b/>
          <w:color w:val="000000" w:themeColor="text1"/>
          <w:u w:val="single"/>
          <w:vertAlign w:val="subscript"/>
          <w:lang w:val="en-GB"/>
        </w:rPr>
        <w:t>2</w:t>
      </w:r>
      <w:r w:rsidRPr="009D73BC">
        <w:rPr>
          <w:b/>
          <w:color w:val="000000" w:themeColor="text1"/>
          <w:u w:val="single"/>
          <w:lang w:val="en-GB"/>
        </w:rPr>
        <w:t xml:space="preserve"> emissions</w:t>
      </w:r>
    </w:p>
    <w:p w:rsidR="00E43436" w:rsidRPr="009D73BC" w:rsidRDefault="00E43436" w:rsidP="00E43436">
      <w:pPr>
        <w:jc w:val="both"/>
        <w:rPr>
          <w:color w:val="000000" w:themeColor="text1"/>
          <w:lang w:val="en-GB"/>
        </w:rPr>
      </w:pPr>
    </w:p>
    <w:p w:rsidR="00EC471E" w:rsidRPr="00A86ABC" w:rsidRDefault="00602DA7" w:rsidP="00A073EF">
      <w:pPr>
        <w:pStyle w:val="ListParagraph"/>
        <w:numPr>
          <w:ilvl w:val="0"/>
          <w:numId w:val="40"/>
        </w:numPr>
        <w:ind w:left="284" w:hanging="284"/>
        <w:jc w:val="both"/>
        <w:rPr>
          <w:color w:val="000000" w:themeColor="text1"/>
          <w:lang w:val="en-GB"/>
        </w:rPr>
        <w:sectPr w:rsidR="00EC471E" w:rsidRPr="00A86ABC" w:rsidSect="00EC471E">
          <w:type w:val="continuous"/>
          <w:pgSz w:w="12240" w:h="15840"/>
          <w:pgMar w:top="1560" w:right="1440" w:bottom="1296" w:left="1440" w:header="720" w:footer="720" w:gutter="0"/>
          <w:cols w:space="720"/>
          <w:titlePg/>
          <w:docGrid w:linePitch="360"/>
        </w:sectPr>
      </w:pPr>
      <w:r w:rsidRPr="00A86ABC">
        <w:rPr>
          <w:b/>
          <w:color w:val="000000" w:themeColor="text1"/>
          <w:lang w:val="en-GB"/>
        </w:rPr>
        <w:t>A modern and efficient public transport scheme</w:t>
      </w:r>
      <w:r w:rsidR="00A86ABC" w:rsidRPr="00A86ABC">
        <w:rPr>
          <w:b/>
          <w:color w:val="000000" w:themeColor="text1"/>
          <w:lang w:val="en-GB"/>
        </w:rPr>
        <w:t>:</w:t>
      </w:r>
      <w:r w:rsidR="00A86ABC">
        <w:rPr>
          <w:b/>
          <w:color w:val="000000" w:themeColor="text1"/>
          <w:lang w:val="en-GB"/>
        </w:rPr>
        <w:t xml:space="preserve"> </w:t>
      </w:r>
      <w:r w:rsidR="00E43436" w:rsidRPr="00A86ABC">
        <w:rPr>
          <w:color w:val="000000" w:themeColor="text1"/>
          <w:lang w:val="en-GB"/>
        </w:rPr>
        <w:t xml:space="preserve">Public Transport services are of very low quality, thus covering only 2% of total daily trips, resulting to extensive use of private cars </w:t>
      </w:r>
    </w:p>
    <w:p w:rsidR="00E43436" w:rsidRDefault="00E43436" w:rsidP="00C46D30">
      <w:pPr>
        <w:pStyle w:val="ListParagraph"/>
        <w:ind w:left="284"/>
        <w:jc w:val="both"/>
      </w:pPr>
      <w:r w:rsidRPr="00E43436">
        <w:rPr>
          <w:color w:val="000000" w:themeColor="text1"/>
          <w:lang w:val="en-GB"/>
        </w:rPr>
        <w:lastRenderedPageBreak/>
        <w:t>(85% of trips) with extensive increased cost to the economy and increased emissions. Therefore</w:t>
      </w:r>
      <w:r w:rsidR="009D0F9A">
        <w:rPr>
          <w:color w:val="000000" w:themeColor="text1"/>
          <w:lang w:val="en-GB"/>
        </w:rPr>
        <w:t>,</w:t>
      </w:r>
      <w:r w:rsidRPr="00E43436">
        <w:rPr>
          <w:color w:val="000000" w:themeColor="text1"/>
          <w:lang w:val="en-GB"/>
        </w:rPr>
        <w:t xml:space="preserve"> the Government decided to introduce a new Public Transport Programme with the aim to increase the use of public transport to at least 10% by 2012. Thus, o</w:t>
      </w:r>
      <w:r w:rsidRPr="002F583E">
        <w:t>n the 5</w:t>
      </w:r>
      <w:r w:rsidRPr="00E43436">
        <w:rPr>
          <w:vertAlign w:val="superscript"/>
        </w:rPr>
        <w:t>th</w:t>
      </w:r>
      <w:r w:rsidRPr="002F583E">
        <w:t xml:space="preserve"> of July 2010 the new bus companies, one per district of Cyprus, commenced their operations offering better service with longer hours, more frequent and shorter itineraries as well as new bus routes. The new companies </w:t>
      </w:r>
      <w:r>
        <w:t>are able</w:t>
      </w:r>
      <w:r w:rsidRPr="002F583E">
        <w:t xml:space="preserve"> to operate all urban and rural routes in that district (as well as some cross-district routes that will be agreed), but also have the obligation to finance the renewal of their bus fleet within two years. Furthermore, a feasibility study will examine the possibilities of introducing two light rail services in Cyprus for connecting Nicosia to Limassol a</w:t>
      </w:r>
      <w:r>
        <w:t>nd Limassol Port, via Limassol c</w:t>
      </w:r>
      <w:r w:rsidRPr="002F583E">
        <w:t xml:space="preserve">entre and for connecting Nicosia </w:t>
      </w:r>
      <w:r>
        <w:t>to Larnaca Airport and Larnaca c</w:t>
      </w:r>
      <w:r w:rsidRPr="002F583E">
        <w:t xml:space="preserve">ity. The study, which is part of the Trans European Networks in Cyprus, </w:t>
      </w:r>
      <w:r>
        <w:t xml:space="preserve">was </w:t>
      </w:r>
      <w:r w:rsidRPr="00581E1C">
        <w:t>commenced during the current year</w:t>
      </w:r>
      <w:r w:rsidR="009D0F9A">
        <w:t>,</w:t>
      </w:r>
      <w:r w:rsidRPr="00581E1C">
        <w:t xml:space="preserve"> </w:t>
      </w:r>
      <w:r w:rsidR="009D0F9A">
        <w:t>i</w:t>
      </w:r>
      <w:r w:rsidRPr="00581E1C">
        <w:t>n the beginning of 2011</w:t>
      </w:r>
      <w:r w:rsidR="009D0F9A">
        <w:t>,</w:t>
      </w:r>
      <w:r w:rsidRPr="00581E1C">
        <w:t xml:space="preserve"> and is expected to be completed in early 2012.</w:t>
      </w:r>
      <w:r w:rsidRPr="002F583E">
        <w:t xml:space="preserve"> </w:t>
      </w:r>
      <w:r>
        <w:t xml:space="preserve">The implementing authority is the Ministry of Communications and Works. </w:t>
      </w:r>
    </w:p>
    <w:p w:rsidR="00E43436" w:rsidRPr="00A86ABC" w:rsidRDefault="00E43436" w:rsidP="00E43436">
      <w:pPr>
        <w:jc w:val="both"/>
      </w:pPr>
    </w:p>
    <w:p w:rsidR="00E43436" w:rsidRPr="00A86ABC" w:rsidRDefault="00602DA7" w:rsidP="00A073EF">
      <w:pPr>
        <w:pStyle w:val="ListParagraph"/>
        <w:numPr>
          <w:ilvl w:val="0"/>
          <w:numId w:val="40"/>
        </w:numPr>
        <w:ind w:left="284" w:hanging="284"/>
        <w:jc w:val="both"/>
        <w:rPr>
          <w:lang w:val="en-GB"/>
        </w:rPr>
      </w:pPr>
      <w:r w:rsidRPr="00A86ABC">
        <w:rPr>
          <w:b/>
          <w:lang w:val="en-GB"/>
        </w:rPr>
        <w:t>Subsidy</w:t>
      </w:r>
      <w:r w:rsidRPr="00A86ABC">
        <w:rPr>
          <w:b/>
          <w:color w:val="000000" w:themeColor="text1"/>
          <w:lang w:val="en-GB"/>
        </w:rPr>
        <w:t xml:space="preserve"> scheme measures for the promotion of emissions reduction</w:t>
      </w:r>
      <w:r w:rsidR="00A86ABC" w:rsidRPr="00A86ABC">
        <w:rPr>
          <w:color w:val="000000" w:themeColor="text1"/>
          <w:lang w:val="en-GB"/>
        </w:rPr>
        <w:t xml:space="preserve">: </w:t>
      </w:r>
      <w:r w:rsidR="00E43436" w:rsidRPr="00A86ABC">
        <w:rPr>
          <w:color w:val="000000" w:themeColor="text1"/>
          <w:lang w:val="en-GB"/>
        </w:rPr>
        <w:t>Cyprus intends to offer the exemption of taxation for the use of bio fuels in the transport sector. The approval is expected by the European Commission. All suppliers of automotive fuels in Cyprus are obliged to mix 2% of bio fuels into conventional fuel based on their energy content. In addition, the new taxation policy for cars provides low registration fees and circulation license for electric &amp; hybrid cars and for cars with low CO</w:t>
      </w:r>
      <w:r w:rsidR="00E43436" w:rsidRPr="00A86ABC">
        <w:rPr>
          <w:rFonts w:ascii="Times New Roman Bold" w:hAnsi="Times New Roman Bold"/>
          <w:color w:val="000000" w:themeColor="text1"/>
          <w:vertAlign w:val="subscript"/>
          <w:lang w:val="en-GB"/>
        </w:rPr>
        <w:t>2</w:t>
      </w:r>
      <w:r w:rsidR="00E43436" w:rsidRPr="00A86ABC">
        <w:rPr>
          <w:color w:val="000000" w:themeColor="text1"/>
          <w:lang w:val="en-GB"/>
        </w:rPr>
        <w:t xml:space="preserve"> emissions. The excise duty for vehicles, also takes in consideration the CO</w:t>
      </w:r>
      <w:r w:rsidR="00E43436" w:rsidRPr="00A86ABC">
        <w:rPr>
          <w:rFonts w:ascii="Times New Roman Bold" w:hAnsi="Times New Roman Bold"/>
          <w:color w:val="000000" w:themeColor="text1"/>
          <w:vertAlign w:val="subscript"/>
          <w:lang w:val="en-GB"/>
        </w:rPr>
        <w:t>2</w:t>
      </w:r>
      <w:r w:rsidR="00E43436" w:rsidRPr="00A86ABC">
        <w:rPr>
          <w:color w:val="000000" w:themeColor="text1"/>
          <w:lang w:val="en-GB"/>
        </w:rPr>
        <w:t xml:space="preserve"> emissions &amp; the engine capacity of the vehicle. </w:t>
      </w:r>
    </w:p>
    <w:p w:rsidR="00E43436" w:rsidRDefault="00E43436" w:rsidP="00E43436">
      <w:pPr>
        <w:jc w:val="both"/>
        <w:rPr>
          <w:lang w:val="en-GB"/>
        </w:rPr>
      </w:pPr>
    </w:p>
    <w:p w:rsidR="00A86ABC" w:rsidRPr="002F583E" w:rsidRDefault="00A86ABC" w:rsidP="00E43436">
      <w:pPr>
        <w:jc w:val="both"/>
        <w:rPr>
          <w:lang w:val="en-GB"/>
        </w:rPr>
      </w:pPr>
    </w:p>
    <w:p w:rsidR="00E43436" w:rsidRPr="009D73BC" w:rsidRDefault="00E43436" w:rsidP="00E43436">
      <w:pPr>
        <w:jc w:val="both"/>
        <w:rPr>
          <w:b/>
          <w:bCs/>
          <w:u w:val="single"/>
        </w:rPr>
      </w:pPr>
      <w:r w:rsidRPr="009D73BC">
        <w:rPr>
          <w:b/>
          <w:bCs/>
          <w:u w:val="single"/>
        </w:rPr>
        <w:t xml:space="preserve">Measures to promote </w:t>
      </w:r>
      <w:r>
        <w:rPr>
          <w:b/>
          <w:bCs/>
          <w:u w:val="single"/>
        </w:rPr>
        <w:t xml:space="preserve">environmental </w:t>
      </w:r>
      <w:r w:rsidRPr="009D73BC">
        <w:rPr>
          <w:b/>
          <w:bCs/>
          <w:u w:val="single"/>
        </w:rPr>
        <w:t>sustainability</w:t>
      </w:r>
    </w:p>
    <w:p w:rsidR="00E43436" w:rsidRDefault="00E43436" w:rsidP="00E43436">
      <w:pPr>
        <w:jc w:val="both"/>
        <w:rPr>
          <w:b/>
          <w:bCs/>
        </w:rPr>
      </w:pPr>
    </w:p>
    <w:p w:rsidR="00731D68" w:rsidRDefault="00602DA7" w:rsidP="00A073EF">
      <w:pPr>
        <w:pStyle w:val="ListParagraph"/>
        <w:numPr>
          <w:ilvl w:val="0"/>
          <w:numId w:val="41"/>
        </w:numPr>
        <w:ind w:left="284" w:hanging="284"/>
        <w:jc w:val="both"/>
      </w:pPr>
      <w:r w:rsidRPr="00A86ABC">
        <w:rPr>
          <w:b/>
          <w:bCs/>
        </w:rPr>
        <w:t>Adaptation to climate change</w:t>
      </w:r>
      <w:r w:rsidR="00A86ABC" w:rsidRPr="00A86ABC">
        <w:rPr>
          <w:b/>
          <w:bCs/>
        </w:rPr>
        <w:t>:</w:t>
      </w:r>
      <w:r w:rsidR="00A86ABC">
        <w:rPr>
          <w:b/>
          <w:bCs/>
        </w:rPr>
        <w:t xml:space="preserve"> </w:t>
      </w:r>
      <w:r w:rsidR="00E43436" w:rsidRPr="00A86ABC">
        <w:rPr>
          <w:bCs/>
        </w:rPr>
        <w:t xml:space="preserve">Cyprus is already experiencing the </w:t>
      </w:r>
      <w:r w:rsidR="00E43436" w:rsidRPr="002F583E">
        <w:t>main impacts of climate change which are associated with increase in temperature and reduction of precipitation.  Several studies have already been completed, including</w:t>
      </w:r>
      <w:r w:rsidR="00E43436">
        <w:t xml:space="preserve"> (a) combating desertification, (b) the future of a</w:t>
      </w:r>
      <w:r w:rsidR="00E43436" w:rsidRPr="002F583E">
        <w:t>griculture in Cyprus, (c) the effects of reduced irrigation, increased sunlight and temperature on specific crops, (d) the impact of climate change on the forests of Cypr</w:t>
      </w:r>
      <w:r w:rsidR="00E43436">
        <w:t>us (in progress), (e) d</w:t>
      </w:r>
      <w:r w:rsidR="00E43436" w:rsidRPr="002F583E">
        <w:t xml:space="preserve">esign and implementation of a rehabilitation plan to rainfall levels </w:t>
      </w:r>
      <w:r w:rsidR="00E43436">
        <w:t>t</w:t>
      </w:r>
      <w:r w:rsidR="00E43436" w:rsidRPr="002F583E">
        <w:t>o cover</w:t>
      </w:r>
      <w:r w:rsidR="00E43436">
        <w:t xml:space="preserve"> the</w:t>
      </w:r>
      <w:r w:rsidR="00E43436" w:rsidRPr="002F583E">
        <w:t xml:space="preserve"> water needs (in progress). Based on these studies </w:t>
      </w:r>
      <w:r w:rsidR="00E43436" w:rsidRPr="00F00B34">
        <w:t>a National Adaptation Plan</w:t>
      </w:r>
      <w:r w:rsidR="00E43436" w:rsidRPr="002F583E">
        <w:t xml:space="preserve"> is currently being developed in a phased a</w:t>
      </w:r>
      <w:r w:rsidR="00E43436">
        <w:t>pproach, with the aim</w:t>
      </w:r>
      <w:r w:rsidR="00E43436" w:rsidRPr="002F583E">
        <w:t xml:space="preserve"> to pave the way for preparing a comprehensive adaptation strategy to be implemented starting as of  2013. </w:t>
      </w:r>
    </w:p>
    <w:p w:rsidR="00E43436" w:rsidRPr="002F583E" w:rsidRDefault="00E43436" w:rsidP="00E43436">
      <w:pPr>
        <w:pStyle w:val="NoSpacing"/>
        <w:jc w:val="both"/>
        <w:rPr>
          <w:rFonts w:ascii="Times New Roman" w:hAnsi="Times New Roman"/>
          <w:sz w:val="24"/>
          <w:szCs w:val="24"/>
          <w:lang w:val="en-US"/>
        </w:rPr>
      </w:pPr>
    </w:p>
    <w:p w:rsidR="00731D68" w:rsidRPr="00A86ABC" w:rsidRDefault="00602DA7" w:rsidP="00A073EF">
      <w:pPr>
        <w:pStyle w:val="NoSpacing"/>
        <w:numPr>
          <w:ilvl w:val="0"/>
          <w:numId w:val="41"/>
        </w:numPr>
        <w:ind w:left="284" w:hanging="284"/>
        <w:jc w:val="both"/>
        <w:rPr>
          <w:rFonts w:ascii="Times New Roman" w:hAnsi="Times New Roman"/>
          <w:sz w:val="24"/>
          <w:szCs w:val="24"/>
          <w:lang w:val="en-US"/>
        </w:rPr>
      </w:pPr>
      <w:r w:rsidRPr="00A86ABC">
        <w:rPr>
          <w:rFonts w:ascii="Times New Roman" w:hAnsi="Times New Roman"/>
          <w:b/>
          <w:sz w:val="24"/>
          <w:szCs w:val="24"/>
          <w:lang w:val="en-US"/>
        </w:rPr>
        <w:t>“Natura 2000” Sites</w:t>
      </w:r>
      <w:r w:rsidR="00A86ABC">
        <w:rPr>
          <w:rFonts w:ascii="Times New Roman" w:hAnsi="Times New Roman"/>
          <w:sz w:val="24"/>
          <w:szCs w:val="24"/>
          <w:lang w:val="en-US"/>
        </w:rPr>
        <w:t xml:space="preserve">: </w:t>
      </w:r>
      <w:r w:rsidR="00E43436" w:rsidRPr="00A86ABC">
        <w:rPr>
          <w:rFonts w:ascii="Times New Roman" w:hAnsi="Times New Roman"/>
          <w:sz w:val="24"/>
          <w:szCs w:val="24"/>
          <w:lang w:val="en-US"/>
        </w:rPr>
        <w:t>or the</w:t>
      </w:r>
      <w:r w:rsidR="00E43436" w:rsidRPr="00A86ABC">
        <w:rPr>
          <w:rFonts w:ascii="Times New Roman" w:hAnsi="Times New Roman"/>
          <w:b/>
          <w:sz w:val="24"/>
          <w:szCs w:val="24"/>
          <w:lang w:val="en-US"/>
        </w:rPr>
        <w:t xml:space="preserve"> </w:t>
      </w:r>
      <w:r w:rsidR="00E43436" w:rsidRPr="00A86ABC">
        <w:rPr>
          <w:rFonts w:ascii="Times New Roman" w:hAnsi="Times New Roman"/>
          <w:sz w:val="24"/>
          <w:szCs w:val="24"/>
          <w:lang w:val="en-US"/>
        </w:rPr>
        <w:t xml:space="preserve">preservation of biodiversity, 40 sites have been included in the “Natura 2000” network, as Sites of Community Importance (SCI’s) and 29 sites as Special Protection Areas (SPA’s) of which 8 of them are both SCI and SPA. The management plans for many of </w:t>
      </w:r>
      <w:r w:rsidR="009D0F9A" w:rsidRPr="00A86ABC">
        <w:rPr>
          <w:rFonts w:ascii="Times New Roman" w:hAnsi="Times New Roman"/>
          <w:sz w:val="24"/>
          <w:szCs w:val="24"/>
          <w:lang w:val="en-US"/>
        </w:rPr>
        <w:t xml:space="preserve">the </w:t>
      </w:r>
      <w:r w:rsidR="00E43436" w:rsidRPr="00A86ABC">
        <w:rPr>
          <w:rFonts w:ascii="Times New Roman" w:hAnsi="Times New Roman"/>
          <w:sz w:val="24"/>
          <w:szCs w:val="24"/>
          <w:lang w:val="en-US"/>
        </w:rPr>
        <w:t xml:space="preserve">“Natura 2000” sites have already been completed, while the implementation of various actions in these areas has commenced. </w:t>
      </w:r>
    </w:p>
    <w:p w:rsidR="00E43436" w:rsidRDefault="00E43436" w:rsidP="00E43436">
      <w:pPr>
        <w:pStyle w:val="NoSpacing"/>
        <w:ind w:left="284" w:hanging="284"/>
        <w:jc w:val="both"/>
        <w:rPr>
          <w:rFonts w:ascii="Times New Roman" w:hAnsi="Times New Roman"/>
          <w:sz w:val="24"/>
          <w:szCs w:val="24"/>
          <w:lang w:val="en-US"/>
        </w:rPr>
      </w:pPr>
    </w:p>
    <w:p w:rsidR="00DA0E87" w:rsidRDefault="00DA0E87" w:rsidP="00A073EF">
      <w:pPr>
        <w:pStyle w:val="NoSpacing"/>
        <w:numPr>
          <w:ilvl w:val="0"/>
          <w:numId w:val="41"/>
        </w:numPr>
        <w:ind w:left="284" w:hanging="284"/>
        <w:jc w:val="both"/>
        <w:rPr>
          <w:rFonts w:ascii="Times New Roman" w:hAnsi="Times New Roman"/>
          <w:b/>
          <w:sz w:val="24"/>
          <w:szCs w:val="24"/>
          <w:lang w:val="en-US"/>
        </w:rPr>
        <w:sectPr w:rsidR="00DA0E87" w:rsidSect="00EC471E">
          <w:type w:val="continuous"/>
          <w:pgSz w:w="12240" w:h="15840"/>
          <w:pgMar w:top="1560" w:right="1440" w:bottom="1296" w:left="1440" w:header="720" w:footer="720" w:gutter="0"/>
          <w:cols w:space="720"/>
          <w:titlePg/>
          <w:docGrid w:linePitch="360"/>
        </w:sectPr>
      </w:pPr>
    </w:p>
    <w:p w:rsidR="00E43436" w:rsidRPr="00A86ABC" w:rsidRDefault="00602DA7" w:rsidP="00A073EF">
      <w:pPr>
        <w:pStyle w:val="NoSpacing"/>
        <w:numPr>
          <w:ilvl w:val="0"/>
          <w:numId w:val="41"/>
        </w:numPr>
        <w:ind w:left="284" w:hanging="284"/>
        <w:jc w:val="both"/>
        <w:rPr>
          <w:rFonts w:ascii="Times New Roman" w:hAnsi="Times New Roman"/>
          <w:sz w:val="24"/>
          <w:szCs w:val="24"/>
          <w:lang w:val="en-US"/>
        </w:rPr>
      </w:pPr>
      <w:r w:rsidRPr="00A86ABC">
        <w:rPr>
          <w:rFonts w:ascii="Times New Roman" w:hAnsi="Times New Roman"/>
          <w:b/>
          <w:sz w:val="24"/>
          <w:szCs w:val="24"/>
          <w:lang w:val="en-US"/>
        </w:rPr>
        <w:lastRenderedPageBreak/>
        <w:t>LIFE+ Projects</w:t>
      </w:r>
      <w:r w:rsidR="00A86ABC">
        <w:rPr>
          <w:rFonts w:ascii="Times New Roman" w:hAnsi="Times New Roman"/>
          <w:sz w:val="24"/>
          <w:szCs w:val="24"/>
          <w:lang w:val="en-US"/>
        </w:rPr>
        <w:t xml:space="preserve">: </w:t>
      </w:r>
      <w:r w:rsidR="00E43436" w:rsidRPr="00A86ABC">
        <w:rPr>
          <w:rFonts w:ascii="Times New Roman" w:hAnsi="Times New Roman"/>
          <w:sz w:val="24"/>
          <w:szCs w:val="24"/>
          <w:lang w:val="en-US"/>
        </w:rPr>
        <w:t xml:space="preserve"> number of LIFE+ Projects are currently being implemented aiming at the conservation of certain species and habitats. Th</w:t>
      </w:r>
      <w:r w:rsidR="00733F0C" w:rsidRPr="00A86ABC">
        <w:rPr>
          <w:rFonts w:ascii="Times New Roman" w:hAnsi="Times New Roman"/>
          <w:sz w:val="24"/>
          <w:szCs w:val="24"/>
          <w:lang w:val="en-US"/>
        </w:rPr>
        <w:t>ey have an overall budget of €2,</w:t>
      </w:r>
      <w:r w:rsidR="00E43436" w:rsidRPr="00A86ABC">
        <w:rPr>
          <w:rFonts w:ascii="Times New Roman" w:hAnsi="Times New Roman"/>
          <w:sz w:val="24"/>
          <w:szCs w:val="24"/>
          <w:lang w:val="en-US"/>
        </w:rPr>
        <w:t xml:space="preserve">8 mln. </w:t>
      </w:r>
    </w:p>
    <w:p w:rsidR="00E43436" w:rsidRPr="002F583E" w:rsidRDefault="00E43436" w:rsidP="00E43436">
      <w:pPr>
        <w:pStyle w:val="NoSpacing"/>
        <w:ind w:left="284" w:hanging="284"/>
        <w:jc w:val="both"/>
        <w:rPr>
          <w:rFonts w:ascii="Times New Roman" w:hAnsi="Times New Roman"/>
          <w:sz w:val="24"/>
          <w:szCs w:val="24"/>
          <w:lang w:val="en-US"/>
        </w:rPr>
      </w:pPr>
    </w:p>
    <w:p w:rsidR="00EC471E" w:rsidRPr="00A86ABC" w:rsidRDefault="00602DA7" w:rsidP="00A073EF">
      <w:pPr>
        <w:pStyle w:val="NoSpacing"/>
        <w:numPr>
          <w:ilvl w:val="0"/>
          <w:numId w:val="41"/>
        </w:numPr>
        <w:ind w:left="284" w:hanging="284"/>
        <w:jc w:val="both"/>
        <w:rPr>
          <w:rFonts w:ascii="Times New Roman" w:hAnsi="Times New Roman"/>
          <w:sz w:val="24"/>
          <w:szCs w:val="24"/>
          <w:lang w:val="en-US"/>
        </w:rPr>
        <w:sectPr w:rsidR="00EC471E" w:rsidRPr="00A86ABC" w:rsidSect="00EC471E">
          <w:type w:val="continuous"/>
          <w:pgSz w:w="12240" w:h="15840"/>
          <w:pgMar w:top="1560" w:right="1440" w:bottom="1296" w:left="1440" w:header="720" w:footer="720" w:gutter="0"/>
          <w:cols w:space="720"/>
          <w:titlePg/>
          <w:docGrid w:linePitch="360"/>
        </w:sectPr>
      </w:pPr>
      <w:r w:rsidRPr="00A86ABC">
        <w:rPr>
          <w:rFonts w:ascii="Times New Roman" w:hAnsi="Times New Roman"/>
          <w:b/>
          <w:bCs/>
          <w:sz w:val="24"/>
          <w:szCs w:val="24"/>
          <w:lang w:val="en-GB"/>
        </w:rPr>
        <w:t>Solid Waste Management</w:t>
      </w:r>
      <w:r w:rsidR="00A86ABC" w:rsidRPr="00A86ABC">
        <w:rPr>
          <w:rFonts w:ascii="Times New Roman" w:hAnsi="Times New Roman"/>
          <w:b/>
          <w:bCs/>
          <w:sz w:val="24"/>
          <w:szCs w:val="24"/>
          <w:lang w:val="en-GB"/>
        </w:rPr>
        <w:t>:</w:t>
      </w:r>
      <w:r w:rsidR="00A86ABC">
        <w:rPr>
          <w:rFonts w:ascii="Times New Roman" w:hAnsi="Times New Roman"/>
          <w:b/>
          <w:bCs/>
          <w:sz w:val="24"/>
          <w:szCs w:val="24"/>
          <w:lang w:val="en-GB"/>
        </w:rPr>
        <w:t xml:space="preserve"> </w:t>
      </w:r>
      <w:r w:rsidR="00E43436" w:rsidRPr="00A86ABC">
        <w:rPr>
          <w:rFonts w:ascii="Times New Roman" w:hAnsi="Times New Roman"/>
          <w:sz w:val="24"/>
          <w:szCs w:val="24"/>
          <w:lang w:val="en-US"/>
        </w:rPr>
        <w:t xml:space="preserve">Infrastructure projects for the sustainable management of solid waste are being implemented and must be completed by 2013 in response to the aquis </w:t>
      </w:r>
    </w:p>
    <w:p w:rsidR="00E43436" w:rsidRDefault="00E43436" w:rsidP="00C46D30">
      <w:pPr>
        <w:pStyle w:val="NoSpacing"/>
        <w:ind w:left="284"/>
        <w:jc w:val="both"/>
        <w:rPr>
          <w:rFonts w:ascii="Times New Roman" w:hAnsi="Times New Roman"/>
          <w:sz w:val="24"/>
          <w:szCs w:val="24"/>
          <w:lang w:val="en-US"/>
        </w:rPr>
      </w:pPr>
      <w:r>
        <w:rPr>
          <w:rFonts w:ascii="Times New Roman" w:hAnsi="Times New Roman"/>
          <w:sz w:val="24"/>
          <w:szCs w:val="24"/>
          <w:lang w:val="en-US"/>
        </w:rPr>
        <w:lastRenderedPageBreak/>
        <w:t>commitments. In order to promote popular acceptance of the projects and the</w:t>
      </w:r>
      <w:r w:rsidRPr="002F583E">
        <w:rPr>
          <w:rFonts w:ascii="Times New Roman" w:hAnsi="Times New Roman"/>
          <w:sz w:val="24"/>
          <w:szCs w:val="24"/>
          <w:lang w:val="en-US"/>
        </w:rPr>
        <w:t xml:space="preserve"> engagement of local communities </w:t>
      </w:r>
      <w:r>
        <w:rPr>
          <w:rFonts w:ascii="Times New Roman" w:hAnsi="Times New Roman"/>
          <w:sz w:val="24"/>
          <w:szCs w:val="24"/>
          <w:lang w:val="en-US"/>
        </w:rPr>
        <w:t xml:space="preserve">in their implementation, new more participative practices have been introduced. Out of the four new Installations that need to be constructed for solid waste management, only one has been completed and has been in operation </w:t>
      </w:r>
      <w:r w:rsidRPr="002F583E">
        <w:rPr>
          <w:rFonts w:ascii="Times New Roman" w:hAnsi="Times New Roman"/>
          <w:sz w:val="24"/>
          <w:szCs w:val="24"/>
          <w:lang w:val="en-US"/>
        </w:rPr>
        <w:t>since</w:t>
      </w:r>
      <w:r>
        <w:rPr>
          <w:rFonts w:ascii="Times New Roman" w:hAnsi="Times New Roman"/>
          <w:sz w:val="24"/>
          <w:szCs w:val="24"/>
          <w:lang w:val="en-US"/>
        </w:rPr>
        <w:t xml:space="preserve"> </w:t>
      </w:r>
      <w:r w:rsidRPr="002F583E">
        <w:rPr>
          <w:rFonts w:ascii="Times New Roman" w:hAnsi="Times New Roman"/>
          <w:sz w:val="24"/>
          <w:szCs w:val="24"/>
          <w:lang w:val="en-US"/>
        </w:rPr>
        <w:t xml:space="preserve">April 2010, whereas, the </w:t>
      </w:r>
      <w:r>
        <w:rPr>
          <w:rFonts w:ascii="Times New Roman" w:hAnsi="Times New Roman"/>
          <w:sz w:val="24"/>
          <w:szCs w:val="24"/>
          <w:lang w:val="en-US"/>
        </w:rPr>
        <w:t xml:space="preserve">second </w:t>
      </w:r>
      <w:r w:rsidRPr="002F583E">
        <w:rPr>
          <w:rFonts w:ascii="Times New Roman" w:hAnsi="Times New Roman"/>
          <w:sz w:val="24"/>
          <w:szCs w:val="24"/>
          <w:lang w:val="en-US"/>
        </w:rPr>
        <w:t xml:space="preserve">is planned to be completed by 2013. Construction of the </w:t>
      </w:r>
      <w:r>
        <w:rPr>
          <w:rFonts w:ascii="Times New Roman" w:hAnsi="Times New Roman"/>
          <w:sz w:val="24"/>
          <w:szCs w:val="24"/>
          <w:lang w:val="en-US"/>
        </w:rPr>
        <w:t xml:space="preserve">other two </w:t>
      </w:r>
      <w:r w:rsidRPr="002F583E">
        <w:rPr>
          <w:rFonts w:ascii="Times New Roman" w:hAnsi="Times New Roman"/>
          <w:sz w:val="24"/>
          <w:szCs w:val="24"/>
          <w:lang w:val="en-US"/>
        </w:rPr>
        <w:t xml:space="preserve">Plants will begin in October 2011 and are expected to be completed by 2014. </w:t>
      </w:r>
      <w:r>
        <w:rPr>
          <w:rFonts w:ascii="Times New Roman" w:hAnsi="Times New Roman"/>
          <w:sz w:val="24"/>
          <w:szCs w:val="24"/>
          <w:lang w:val="en-US"/>
        </w:rPr>
        <w:t>All three Integrated Installations will be in full operation by the end of 2015, whereas, th</w:t>
      </w:r>
      <w:r w:rsidRPr="002F583E">
        <w:rPr>
          <w:rFonts w:ascii="Times New Roman" w:hAnsi="Times New Roman"/>
          <w:sz w:val="24"/>
          <w:szCs w:val="24"/>
          <w:lang w:val="en-US"/>
        </w:rPr>
        <w:t xml:space="preserve">e completion of the </w:t>
      </w:r>
      <w:r>
        <w:rPr>
          <w:rFonts w:ascii="Times New Roman" w:hAnsi="Times New Roman"/>
          <w:sz w:val="24"/>
          <w:szCs w:val="24"/>
          <w:lang w:val="en-US"/>
        </w:rPr>
        <w:t>Installations, the</w:t>
      </w:r>
      <w:r w:rsidRPr="002F583E">
        <w:rPr>
          <w:rFonts w:ascii="Times New Roman" w:hAnsi="Times New Roman"/>
          <w:sz w:val="24"/>
          <w:szCs w:val="24"/>
          <w:lang w:val="en-US"/>
        </w:rPr>
        <w:t xml:space="preserve"> accompanied landfills rehabilitation </w:t>
      </w:r>
      <w:r>
        <w:rPr>
          <w:rFonts w:ascii="Times New Roman" w:hAnsi="Times New Roman"/>
          <w:sz w:val="24"/>
          <w:szCs w:val="24"/>
          <w:lang w:val="en-US"/>
        </w:rPr>
        <w:t xml:space="preserve">and the construction of the eight green points (for regulated waste disposal) </w:t>
      </w:r>
      <w:r w:rsidRPr="002F583E">
        <w:rPr>
          <w:rFonts w:ascii="Times New Roman" w:hAnsi="Times New Roman"/>
          <w:sz w:val="24"/>
          <w:szCs w:val="24"/>
          <w:lang w:val="en-US"/>
        </w:rPr>
        <w:t>will cost about €302</w:t>
      </w:r>
      <w:r w:rsidR="00733F0C">
        <w:rPr>
          <w:rFonts w:ascii="Times New Roman" w:hAnsi="Times New Roman"/>
          <w:sz w:val="24"/>
          <w:szCs w:val="24"/>
          <w:lang w:val="en-US"/>
        </w:rPr>
        <w:t xml:space="preserve"> </w:t>
      </w:r>
      <w:r>
        <w:rPr>
          <w:rFonts w:ascii="Times New Roman" w:hAnsi="Times New Roman"/>
          <w:sz w:val="24"/>
          <w:szCs w:val="24"/>
          <w:lang w:val="en-US"/>
        </w:rPr>
        <w:t>ml</w:t>
      </w:r>
      <w:r w:rsidRPr="002F583E">
        <w:rPr>
          <w:rFonts w:ascii="Times New Roman" w:hAnsi="Times New Roman"/>
          <w:sz w:val="24"/>
          <w:szCs w:val="24"/>
          <w:lang w:val="en-US"/>
        </w:rPr>
        <w:t xml:space="preserve">n. </w:t>
      </w:r>
      <w:r>
        <w:rPr>
          <w:rFonts w:ascii="Times New Roman" w:hAnsi="Times New Roman"/>
          <w:sz w:val="24"/>
          <w:szCs w:val="24"/>
          <w:lang w:val="en-US"/>
        </w:rPr>
        <w:t>The projects will be co-f</w:t>
      </w:r>
      <w:r w:rsidR="009D0F9A">
        <w:rPr>
          <w:rFonts w:ascii="Times New Roman" w:hAnsi="Times New Roman"/>
          <w:sz w:val="24"/>
          <w:szCs w:val="24"/>
          <w:lang w:val="en-US"/>
        </w:rPr>
        <w:t>inanced</w:t>
      </w:r>
      <w:r>
        <w:rPr>
          <w:rFonts w:ascii="Times New Roman" w:hAnsi="Times New Roman"/>
          <w:sz w:val="24"/>
          <w:szCs w:val="24"/>
          <w:lang w:val="en-US"/>
        </w:rPr>
        <w:t xml:space="preserve"> by the Cohesion Fund for the programming period 2007-2013. </w:t>
      </w:r>
      <w:r w:rsidRPr="002F583E">
        <w:rPr>
          <w:rFonts w:ascii="Times New Roman" w:hAnsi="Times New Roman"/>
          <w:sz w:val="24"/>
          <w:szCs w:val="24"/>
          <w:lang w:val="en-US"/>
        </w:rPr>
        <w:t xml:space="preserve">The </w:t>
      </w:r>
      <w:r>
        <w:rPr>
          <w:rFonts w:ascii="Times New Roman" w:hAnsi="Times New Roman"/>
          <w:sz w:val="24"/>
          <w:szCs w:val="24"/>
          <w:lang w:val="en-US"/>
        </w:rPr>
        <w:t>competent</w:t>
      </w:r>
      <w:r w:rsidRPr="002F583E">
        <w:rPr>
          <w:rFonts w:ascii="Times New Roman" w:hAnsi="Times New Roman"/>
          <w:sz w:val="24"/>
          <w:szCs w:val="24"/>
          <w:lang w:val="en-US"/>
        </w:rPr>
        <w:t xml:space="preserve"> authority is the Solid Waste Management Sector of the Ministry of Interior.</w:t>
      </w:r>
    </w:p>
    <w:p w:rsidR="00E43436" w:rsidRDefault="00E43436" w:rsidP="00E43436">
      <w:pPr>
        <w:pStyle w:val="NoSpacing"/>
        <w:jc w:val="both"/>
        <w:rPr>
          <w:rFonts w:ascii="Times New Roman" w:hAnsi="Times New Roman"/>
          <w:sz w:val="24"/>
          <w:szCs w:val="24"/>
          <w:lang w:val="en-US"/>
        </w:rPr>
      </w:pPr>
    </w:p>
    <w:p w:rsidR="00E43436" w:rsidRDefault="00E43436" w:rsidP="00E43436">
      <w:pPr>
        <w:pStyle w:val="NoSpacing"/>
        <w:jc w:val="both"/>
        <w:rPr>
          <w:rFonts w:ascii="Times New Roman" w:hAnsi="Times New Roman"/>
          <w:sz w:val="24"/>
          <w:szCs w:val="24"/>
          <w:lang w:val="en-US"/>
        </w:rPr>
      </w:pPr>
    </w:p>
    <w:p w:rsidR="00E43436" w:rsidRDefault="00E43436" w:rsidP="00E43436">
      <w:pPr>
        <w:pStyle w:val="NoSpacing"/>
        <w:jc w:val="both"/>
        <w:rPr>
          <w:rFonts w:ascii="Times New Roman" w:hAnsi="Times New Roman"/>
          <w:b/>
          <w:sz w:val="24"/>
          <w:u w:val="single"/>
          <w:lang w:val="en-US"/>
        </w:rPr>
      </w:pPr>
      <w:r w:rsidRPr="00917191">
        <w:rPr>
          <w:rFonts w:ascii="Times New Roman" w:hAnsi="Times New Roman"/>
          <w:b/>
          <w:sz w:val="24"/>
          <w:u w:val="single"/>
          <w:lang w:val="en-US"/>
        </w:rPr>
        <w:t>Measures to promote sustainable consumption and production</w:t>
      </w:r>
    </w:p>
    <w:p w:rsidR="00E43436" w:rsidRPr="00917191" w:rsidRDefault="00E43436" w:rsidP="00E43436">
      <w:pPr>
        <w:pStyle w:val="NoSpacing"/>
        <w:jc w:val="both"/>
        <w:rPr>
          <w:rFonts w:ascii="Times New Roman" w:hAnsi="Times New Roman"/>
          <w:sz w:val="28"/>
          <w:szCs w:val="24"/>
          <w:lang w:val="en-US"/>
        </w:rPr>
      </w:pPr>
    </w:p>
    <w:p w:rsidR="00731D68" w:rsidRPr="00DA0E87" w:rsidRDefault="00602DA7" w:rsidP="00A073EF">
      <w:pPr>
        <w:pStyle w:val="NoSpacing"/>
        <w:numPr>
          <w:ilvl w:val="0"/>
          <w:numId w:val="42"/>
        </w:numPr>
        <w:ind w:left="284" w:hanging="284"/>
        <w:jc w:val="both"/>
        <w:rPr>
          <w:rFonts w:ascii="Times New Roman" w:hAnsi="Times New Roman"/>
          <w:sz w:val="24"/>
          <w:szCs w:val="24"/>
          <w:lang w:val="en-US"/>
        </w:rPr>
      </w:pPr>
      <w:r w:rsidRPr="00DA0E87">
        <w:rPr>
          <w:rFonts w:ascii="Times New Roman" w:hAnsi="Times New Roman"/>
          <w:b/>
          <w:sz w:val="24"/>
          <w:szCs w:val="24"/>
          <w:lang w:val="en-US"/>
        </w:rPr>
        <w:t>EMAS and ECOLABEL</w:t>
      </w:r>
      <w:r w:rsidR="00DA0E87" w:rsidRPr="00DA0E87">
        <w:rPr>
          <w:rFonts w:ascii="Times New Roman" w:hAnsi="Times New Roman"/>
          <w:b/>
          <w:sz w:val="24"/>
          <w:szCs w:val="24"/>
          <w:lang w:val="en-US"/>
        </w:rPr>
        <w:t>:</w:t>
      </w:r>
      <w:r w:rsidR="00DA0E87">
        <w:rPr>
          <w:rFonts w:ascii="Times New Roman" w:hAnsi="Times New Roman"/>
          <w:b/>
          <w:sz w:val="24"/>
          <w:szCs w:val="24"/>
          <w:lang w:val="en-US"/>
        </w:rPr>
        <w:t xml:space="preserve"> </w:t>
      </w:r>
      <w:r w:rsidR="00E43436" w:rsidRPr="00DA0E87">
        <w:rPr>
          <w:rFonts w:ascii="Times New Roman" w:hAnsi="Times New Roman"/>
          <w:sz w:val="24"/>
          <w:szCs w:val="24"/>
          <w:lang w:val="en-US"/>
        </w:rPr>
        <w:t>The Environmental Management and Audit Scheme (EMAS) as well as the ECOLABEL are two voluntary environmental tools which can be adopted by the private and public sector and aim at the promotion of legal compliance as well as technological/ecological innovation. For this purpose a total budget of €250.000 and €110.000 was allocated in 2010 and 2011 respectively. The competent authority is the Environment Department</w:t>
      </w:r>
      <w:r w:rsidR="009D0F9A" w:rsidRPr="00DA0E87">
        <w:rPr>
          <w:rFonts w:ascii="Times New Roman" w:hAnsi="Times New Roman"/>
          <w:sz w:val="24"/>
          <w:szCs w:val="24"/>
          <w:lang w:val="en-US"/>
        </w:rPr>
        <w:t>.</w:t>
      </w:r>
    </w:p>
    <w:p w:rsidR="00E43436" w:rsidRDefault="00E43436" w:rsidP="00E43436">
      <w:pPr>
        <w:pStyle w:val="NoSpacing"/>
        <w:ind w:left="284" w:hanging="284"/>
        <w:jc w:val="both"/>
        <w:rPr>
          <w:rFonts w:ascii="Times New Roman" w:hAnsi="Times New Roman"/>
          <w:sz w:val="24"/>
          <w:szCs w:val="24"/>
          <w:lang w:val="en-US"/>
        </w:rPr>
      </w:pPr>
    </w:p>
    <w:p w:rsidR="00731D68" w:rsidRPr="00DA0E87" w:rsidRDefault="00602DA7" w:rsidP="00A073EF">
      <w:pPr>
        <w:pStyle w:val="NoSpacing"/>
        <w:numPr>
          <w:ilvl w:val="0"/>
          <w:numId w:val="42"/>
        </w:numPr>
        <w:ind w:left="284" w:hanging="284"/>
        <w:jc w:val="both"/>
        <w:rPr>
          <w:rFonts w:ascii="Times New Roman" w:hAnsi="Times New Roman"/>
          <w:sz w:val="24"/>
          <w:szCs w:val="24"/>
          <w:lang w:val="en-US"/>
        </w:rPr>
      </w:pPr>
      <w:r w:rsidRPr="00DA0E87">
        <w:rPr>
          <w:rFonts w:ascii="Times New Roman" w:hAnsi="Times New Roman"/>
          <w:b/>
          <w:sz w:val="24"/>
          <w:szCs w:val="24"/>
          <w:lang w:val="en-US"/>
        </w:rPr>
        <w:t>Green Public Procurement</w:t>
      </w:r>
      <w:r w:rsidR="00DA0E87" w:rsidRPr="00DA0E87">
        <w:rPr>
          <w:rFonts w:ascii="Times New Roman" w:hAnsi="Times New Roman"/>
          <w:b/>
          <w:sz w:val="24"/>
          <w:szCs w:val="24"/>
          <w:lang w:val="en-US"/>
        </w:rPr>
        <w:t>:</w:t>
      </w:r>
      <w:r w:rsidR="00DA0E87">
        <w:rPr>
          <w:rFonts w:ascii="Times New Roman" w:hAnsi="Times New Roman"/>
          <w:b/>
          <w:sz w:val="24"/>
          <w:szCs w:val="24"/>
          <w:lang w:val="en-US"/>
        </w:rPr>
        <w:t xml:space="preserve"> </w:t>
      </w:r>
      <w:r w:rsidR="00E43436" w:rsidRPr="00DA0E87">
        <w:rPr>
          <w:rFonts w:ascii="Times New Roman" w:hAnsi="Times New Roman"/>
          <w:sz w:val="24"/>
          <w:szCs w:val="24"/>
          <w:lang w:val="en-US"/>
        </w:rPr>
        <w:t>Regarding the Green Public Procurement, the Action Plan that was approved by the Council of Ministers in 2007, is currently under revision. The Action Plan aims primarily at the further introduction of environmentally friendly products and services into the market, and thus stimulates sustainable production and consumption patterns. The competent authority is the Environment Department.</w:t>
      </w:r>
    </w:p>
    <w:p w:rsidR="00E43436" w:rsidRDefault="00E43436" w:rsidP="00E43436">
      <w:pPr>
        <w:pStyle w:val="NoSpacing"/>
        <w:jc w:val="both"/>
        <w:rPr>
          <w:rFonts w:ascii="Times New Roman" w:hAnsi="Times New Roman"/>
          <w:sz w:val="24"/>
          <w:szCs w:val="24"/>
          <w:lang w:val="en-US"/>
        </w:rPr>
      </w:pPr>
    </w:p>
    <w:p w:rsidR="00E43436" w:rsidRDefault="00E43436" w:rsidP="00E43436">
      <w:pPr>
        <w:rPr>
          <w:b/>
          <w:color w:val="17365D" w:themeColor="text2" w:themeShade="BF"/>
          <w:sz w:val="40"/>
          <w:szCs w:val="52"/>
        </w:rPr>
      </w:pPr>
    </w:p>
    <w:p w:rsidR="00DA0E87" w:rsidRDefault="00DA0E87">
      <w:pPr>
        <w:spacing w:after="200" w:line="276" w:lineRule="auto"/>
        <w:rPr>
          <w:rFonts w:eastAsiaTheme="majorEastAsia"/>
          <w:b/>
          <w:bCs/>
          <w:color w:val="548DD4" w:themeColor="text2" w:themeTint="99"/>
          <w:sz w:val="40"/>
          <w:szCs w:val="28"/>
        </w:rPr>
      </w:pPr>
      <w:r>
        <w:br w:type="page"/>
      </w:r>
    </w:p>
    <w:p w:rsidR="00DA0E87" w:rsidRDefault="00DA0E87" w:rsidP="00C46D30">
      <w:pPr>
        <w:pStyle w:val="Heading1"/>
        <w:spacing w:before="0"/>
        <w:rPr>
          <w:rFonts w:cs="Times New Roman"/>
        </w:rPr>
        <w:sectPr w:rsidR="00DA0E87" w:rsidSect="00316E34">
          <w:headerReference w:type="first" r:id="rId38"/>
          <w:type w:val="continuous"/>
          <w:pgSz w:w="12240" w:h="15840"/>
          <w:pgMar w:top="1560" w:right="1440" w:bottom="1296" w:left="1440" w:header="720" w:footer="720" w:gutter="0"/>
          <w:cols w:space="720"/>
          <w:titlePg/>
          <w:docGrid w:linePitch="360"/>
        </w:sectPr>
      </w:pPr>
    </w:p>
    <w:p w:rsidR="00852B60" w:rsidRPr="007A7801" w:rsidRDefault="00852B60" w:rsidP="00C46D30">
      <w:pPr>
        <w:pStyle w:val="Heading1"/>
        <w:spacing w:before="0"/>
        <w:rPr>
          <w:rFonts w:cs="Times New Roman"/>
        </w:rPr>
      </w:pPr>
      <w:bookmarkStart w:id="69" w:name="_Toc292454630"/>
      <w:r w:rsidRPr="007A7801">
        <w:rPr>
          <w:rFonts w:cs="Times New Roman"/>
        </w:rPr>
        <w:lastRenderedPageBreak/>
        <w:t>8. COMPETITIVENESS</w:t>
      </w:r>
      <w:bookmarkEnd w:id="69"/>
    </w:p>
    <w:p w:rsidR="0050232A" w:rsidRPr="007A7801" w:rsidRDefault="0050232A" w:rsidP="00852B60">
      <w:pPr>
        <w:jc w:val="center"/>
        <w:rPr>
          <w:b/>
          <w:color w:val="4F81BD" w:themeColor="accent1"/>
          <w:sz w:val="40"/>
          <w:szCs w:val="52"/>
        </w:rPr>
      </w:pPr>
    </w:p>
    <w:p w:rsidR="00852B60" w:rsidRPr="007A7801" w:rsidRDefault="00852B60" w:rsidP="00852B60">
      <w:pPr>
        <w:jc w:val="both"/>
        <w:rPr>
          <w:rFonts w:eastAsia="Arial Unicode MS"/>
          <w:u w:val="single"/>
        </w:rPr>
      </w:pPr>
    </w:p>
    <w:tbl>
      <w:tblP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B8CCE4" w:themeFill="accent1" w:themeFillTint="66"/>
        <w:tblLook w:val="04A0"/>
      </w:tblPr>
      <w:tblGrid>
        <w:gridCol w:w="9396"/>
      </w:tblGrid>
      <w:tr w:rsidR="00852B60" w:rsidRPr="007A7801" w:rsidTr="00B8671F">
        <w:trPr>
          <w:trHeight w:val="3200"/>
        </w:trPr>
        <w:tc>
          <w:tcPr>
            <w:tcW w:w="9396" w:type="dxa"/>
            <w:shd w:val="clear" w:color="auto" w:fill="B8CCE4" w:themeFill="accent1" w:themeFillTint="66"/>
            <w:vAlign w:val="center"/>
          </w:tcPr>
          <w:p w:rsidR="00852B60" w:rsidRPr="007A7801" w:rsidRDefault="00852B60" w:rsidP="00283CBA">
            <w:pPr>
              <w:spacing w:before="120"/>
              <w:ind w:left="425" w:hanging="425"/>
              <w:jc w:val="both"/>
              <w:rPr>
                <w:rStyle w:val="shorttext"/>
                <w:rFonts w:eastAsia="Arial Unicode MS"/>
                <w:b/>
                <w:color w:val="365F91" w:themeColor="accent1" w:themeShade="BF"/>
                <w:sz w:val="28"/>
                <w:szCs w:val="28"/>
                <w:u w:val="single"/>
              </w:rPr>
            </w:pPr>
            <w:r w:rsidRPr="007A7801">
              <w:rPr>
                <w:rStyle w:val="shorttext"/>
                <w:rFonts w:eastAsia="Arial Unicode MS"/>
                <w:b/>
                <w:color w:val="365F91" w:themeColor="accent1" w:themeShade="BF"/>
                <w:sz w:val="28"/>
                <w:szCs w:val="28"/>
                <w:u w:val="single"/>
              </w:rPr>
              <w:t>National Targets:</w:t>
            </w:r>
          </w:p>
          <w:p w:rsidR="00852B60" w:rsidRPr="007A7801" w:rsidRDefault="00852B60" w:rsidP="001D09A7">
            <w:pPr>
              <w:numPr>
                <w:ilvl w:val="0"/>
                <w:numId w:val="29"/>
              </w:numPr>
              <w:spacing w:before="120"/>
              <w:ind w:left="425" w:right="276" w:hanging="425"/>
              <w:jc w:val="both"/>
              <w:rPr>
                <w:rStyle w:val="shorttext"/>
                <w:rFonts w:eastAsia="Arial Unicode MS"/>
                <w:color w:val="365F91" w:themeColor="accent1" w:themeShade="BF"/>
                <w:sz w:val="28"/>
                <w:szCs w:val="28"/>
              </w:rPr>
            </w:pPr>
            <w:r w:rsidRPr="007A7801">
              <w:rPr>
                <w:rStyle w:val="shorttext"/>
                <w:rFonts w:eastAsia="Arial Unicode MS"/>
                <w:b/>
                <w:color w:val="365F91" w:themeColor="accent1" w:themeShade="BF"/>
                <w:sz w:val="28"/>
                <w:szCs w:val="28"/>
              </w:rPr>
              <w:t xml:space="preserve">The promotion of Cyprus as </w:t>
            </w:r>
            <w:r w:rsidRPr="007A7801">
              <w:rPr>
                <w:rStyle w:val="Strong"/>
                <w:rFonts w:eastAsia="Arial Unicode MS"/>
                <w:color w:val="365F91" w:themeColor="accent1" w:themeShade="BF"/>
                <w:sz w:val="28"/>
                <w:szCs w:val="28"/>
              </w:rPr>
              <w:t>an attractive regional centre for the provision of high value added services, including in the financial, legal</w:t>
            </w:r>
            <w:r w:rsidR="00283CBA" w:rsidRPr="007A7801">
              <w:rPr>
                <w:rStyle w:val="Strong"/>
                <w:rFonts w:eastAsia="Arial Unicode MS"/>
                <w:color w:val="365F91" w:themeColor="accent1" w:themeShade="BF"/>
                <w:sz w:val="28"/>
                <w:szCs w:val="28"/>
              </w:rPr>
              <w:t>, health and education sectors</w:t>
            </w:r>
            <w:r w:rsidRPr="007A7801">
              <w:rPr>
                <w:rStyle w:val="Strong"/>
                <w:rFonts w:eastAsia="Arial Unicode MS"/>
                <w:color w:val="365F91" w:themeColor="accent1" w:themeShade="BF"/>
                <w:sz w:val="28"/>
                <w:szCs w:val="28"/>
              </w:rPr>
              <w:t xml:space="preserve"> </w:t>
            </w:r>
          </w:p>
          <w:p w:rsidR="00852B60" w:rsidRPr="007A7801" w:rsidRDefault="00852B60" w:rsidP="001D09A7">
            <w:pPr>
              <w:numPr>
                <w:ilvl w:val="0"/>
                <w:numId w:val="29"/>
              </w:numPr>
              <w:spacing w:before="120"/>
              <w:ind w:left="425" w:right="276" w:hanging="425"/>
              <w:jc w:val="both"/>
              <w:rPr>
                <w:rFonts w:eastAsia="Arial Unicode MS"/>
                <w:b/>
                <w:color w:val="365F91" w:themeColor="accent1" w:themeShade="BF"/>
                <w:sz w:val="28"/>
                <w:szCs w:val="28"/>
              </w:rPr>
            </w:pPr>
            <w:r w:rsidRPr="007A7801">
              <w:rPr>
                <w:rFonts w:eastAsia="Arial Unicode MS"/>
                <w:b/>
                <w:color w:val="365F91" w:themeColor="accent1" w:themeShade="BF"/>
                <w:sz w:val="28"/>
                <w:szCs w:val="28"/>
              </w:rPr>
              <w:t xml:space="preserve">Strengthening the productivity of the economy </w:t>
            </w:r>
            <w:r w:rsidRPr="007A7801">
              <w:rPr>
                <w:b/>
                <w:color w:val="365F91" w:themeColor="accent1" w:themeShade="BF"/>
                <w:sz w:val="28"/>
                <w:szCs w:val="28"/>
                <w:lang w:val="en-GB"/>
              </w:rPr>
              <w:t>so that the total labour productivity reaches the  EU27 average</w:t>
            </w:r>
          </w:p>
          <w:p w:rsidR="00852B60" w:rsidRPr="007A7801" w:rsidRDefault="00852B60" w:rsidP="001D09A7">
            <w:pPr>
              <w:pStyle w:val="ListParagraph"/>
              <w:numPr>
                <w:ilvl w:val="0"/>
                <w:numId w:val="29"/>
              </w:numPr>
              <w:autoSpaceDE w:val="0"/>
              <w:autoSpaceDN w:val="0"/>
              <w:adjustRightInd w:val="0"/>
              <w:spacing w:before="120"/>
              <w:ind w:left="425" w:right="276" w:hanging="425"/>
              <w:contextualSpacing/>
              <w:jc w:val="both"/>
              <w:rPr>
                <w:rStyle w:val="shorttext"/>
                <w:rFonts w:eastAsia="Arial Unicode MS"/>
                <w:b/>
                <w:color w:val="365F91" w:themeColor="accent1" w:themeShade="BF"/>
                <w:sz w:val="28"/>
                <w:szCs w:val="28"/>
                <w:shd w:val="clear" w:color="auto" w:fill="FFFFFF"/>
              </w:rPr>
            </w:pPr>
            <w:r w:rsidRPr="007A7801">
              <w:rPr>
                <w:rFonts w:eastAsia="Arial Unicode MS"/>
                <w:b/>
                <w:color w:val="365F91" w:themeColor="accent1" w:themeShade="BF"/>
                <w:sz w:val="28"/>
                <w:szCs w:val="28"/>
              </w:rPr>
              <w:t>Reduction of the administrative burden on national legislation by 20% by 2012</w:t>
            </w:r>
          </w:p>
        </w:tc>
      </w:tr>
    </w:tbl>
    <w:p w:rsidR="00852B60" w:rsidRPr="007A7801" w:rsidRDefault="00852B60" w:rsidP="00852B60">
      <w:pPr>
        <w:jc w:val="both"/>
        <w:rPr>
          <w:rFonts w:eastAsia="Arial Unicode MS"/>
          <w:b/>
          <w:color w:val="17365D"/>
        </w:rPr>
      </w:pPr>
    </w:p>
    <w:p w:rsidR="00812ED8" w:rsidRPr="00C916DB" w:rsidRDefault="00812ED8" w:rsidP="0068692D">
      <w:pPr>
        <w:tabs>
          <w:tab w:val="num" w:pos="480"/>
        </w:tabs>
        <w:ind w:left="1418" w:hanging="1418"/>
        <w:jc w:val="both"/>
        <w:rPr>
          <w:b/>
          <w:i/>
          <w:color w:val="365F91" w:themeColor="accent1" w:themeShade="BF"/>
          <w:lang w:val="en-GB"/>
        </w:rPr>
      </w:pPr>
      <w:r w:rsidRPr="00C916DB">
        <w:rPr>
          <w:b/>
          <w:i/>
          <w:color w:val="365F91" w:themeColor="accent1" w:themeShade="BF"/>
          <w:lang w:val="en-GB"/>
        </w:rPr>
        <w:t>Guideline 6: “Improving the business and consumer environment and modernising the industrial base</w:t>
      </w:r>
      <w:r w:rsidR="0068692D" w:rsidRPr="00C916DB">
        <w:rPr>
          <w:b/>
          <w:i/>
          <w:color w:val="365F91" w:themeColor="accent1" w:themeShade="BF"/>
          <w:lang w:val="en-GB"/>
        </w:rPr>
        <w:t xml:space="preserve"> in order to ensure the full functioning of the internal market</w:t>
      </w:r>
      <w:r w:rsidRPr="00C916DB">
        <w:rPr>
          <w:b/>
          <w:i/>
          <w:color w:val="365F91" w:themeColor="accent1" w:themeShade="BF"/>
          <w:lang w:val="en-GB"/>
        </w:rPr>
        <w:t>”</w:t>
      </w:r>
    </w:p>
    <w:p w:rsidR="00852B60" w:rsidRPr="00812ED8" w:rsidRDefault="00852B60" w:rsidP="00852B60">
      <w:pPr>
        <w:jc w:val="both"/>
        <w:rPr>
          <w:rFonts w:eastAsia="Arial Unicode MS"/>
          <w:b/>
          <w:color w:val="17365D"/>
          <w:u w:val="single"/>
          <w:lang w:val="en-GB"/>
        </w:rPr>
      </w:pPr>
    </w:p>
    <w:p w:rsidR="00852B60" w:rsidRPr="007A7801" w:rsidRDefault="00852B60" w:rsidP="00D361C0">
      <w:pPr>
        <w:pStyle w:val="Heading2"/>
        <w:rPr>
          <w:rFonts w:eastAsia="Arial Unicode MS"/>
        </w:rPr>
      </w:pPr>
      <w:bookmarkStart w:id="70" w:name="_Toc292454631"/>
      <w:r w:rsidRPr="007A7801">
        <w:rPr>
          <w:rFonts w:eastAsia="Arial Unicode MS"/>
        </w:rPr>
        <w:t>CURRENT SITUATION</w:t>
      </w:r>
      <w:bookmarkEnd w:id="70"/>
    </w:p>
    <w:p w:rsidR="00852B60" w:rsidRPr="007A7801" w:rsidRDefault="00852B60" w:rsidP="00852B60">
      <w:pPr>
        <w:jc w:val="both"/>
        <w:rPr>
          <w:rFonts w:eastAsia="Arial Unicode MS"/>
          <w:b/>
        </w:rPr>
      </w:pPr>
    </w:p>
    <w:p w:rsidR="00852B60" w:rsidRPr="007A7801" w:rsidRDefault="00852B60" w:rsidP="00852B60">
      <w:pPr>
        <w:jc w:val="both"/>
        <w:rPr>
          <w:rFonts w:eastAsia="Arial Unicode MS"/>
        </w:rPr>
      </w:pPr>
      <w:r w:rsidRPr="007A7801">
        <w:rPr>
          <w:rFonts w:eastAsia="Arial Unicode MS"/>
        </w:rPr>
        <w:t xml:space="preserve">Strengthening the competitiveness of the economy is a basic prerequisite for economic development and for the promotion of </w:t>
      </w:r>
      <w:smartTag w:uri="urn:schemas-microsoft-com:office:smarttags" w:element="country-region">
        <w:smartTag w:uri="urn:schemas-microsoft-com:office:smarttags" w:element="place">
          <w:r w:rsidRPr="007A7801">
            <w:rPr>
              <w:rFonts w:eastAsia="Arial Unicode MS"/>
            </w:rPr>
            <w:t>Cyprus</w:t>
          </w:r>
        </w:smartTag>
      </w:smartTag>
      <w:r w:rsidRPr="007A7801">
        <w:rPr>
          <w:rFonts w:eastAsia="Arial Unicode MS"/>
        </w:rPr>
        <w:t xml:space="preserve"> into a regional service centre. According to the Global Competitiveness Index of the World Economic Forum, in 2010, </w:t>
      </w:r>
      <w:smartTag w:uri="urn:schemas-microsoft-com:office:smarttags" w:element="country-region">
        <w:smartTag w:uri="urn:schemas-microsoft-com:office:smarttags" w:element="place">
          <w:r w:rsidRPr="007A7801">
            <w:rPr>
              <w:rFonts w:eastAsia="Arial Unicode MS"/>
            </w:rPr>
            <w:t>Cyprus</w:t>
          </w:r>
        </w:smartTag>
      </w:smartTag>
      <w:r w:rsidRPr="007A7801">
        <w:rPr>
          <w:rFonts w:eastAsia="Arial Unicode MS"/>
        </w:rPr>
        <w:t xml:space="preserve"> ranked 15</w:t>
      </w:r>
      <w:r w:rsidRPr="007A7801">
        <w:rPr>
          <w:rFonts w:eastAsia="Arial Unicode MS"/>
          <w:vertAlign w:val="superscript"/>
        </w:rPr>
        <w:t>th</w:t>
      </w:r>
      <w:r w:rsidRPr="007A7801">
        <w:rPr>
          <w:rFonts w:eastAsia="Arial Unicode MS"/>
        </w:rPr>
        <w:t xml:space="preserve"> among the EU27 and 40</w:t>
      </w:r>
      <w:r w:rsidRPr="007A7801">
        <w:rPr>
          <w:rFonts w:eastAsia="Arial Unicode MS"/>
          <w:vertAlign w:val="superscript"/>
        </w:rPr>
        <w:t>th</w:t>
      </w:r>
      <w:r w:rsidRPr="007A7801">
        <w:rPr>
          <w:rFonts w:eastAsia="Arial Unicode MS"/>
        </w:rPr>
        <w:t xml:space="preserve"> among 138 countries internationally</w:t>
      </w:r>
      <w:r w:rsidRPr="007A7801">
        <w:rPr>
          <w:rFonts w:eastAsia="Arial Unicode MS"/>
          <w:b/>
        </w:rPr>
        <w:t xml:space="preserve">. </w:t>
      </w:r>
      <w:r w:rsidRPr="007A7801">
        <w:rPr>
          <w:rFonts w:eastAsia="Arial Unicode MS"/>
        </w:rPr>
        <w:t>Its productivity stands at 88% of EU27</w:t>
      </w:r>
      <w:r w:rsidRPr="007A7801">
        <w:rPr>
          <w:rFonts w:eastAsia="Arial Unicode MS"/>
          <w:b/>
        </w:rPr>
        <w:t xml:space="preserve">, </w:t>
      </w:r>
      <w:r w:rsidRPr="007A7801">
        <w:rPr>
          <w:rFonts w:eastAsia="Arial Unicode MS"/>
        </w:rPr>
        <w:t>ranking 16</w:t>
      </w:r>
      <w:r w:rsidRPr="007A7801">
        <w:rPr>
          <w:rFonts w:eastAsia="Arial Unicode MS"/>
          <w:vertAlign w:val="superscript"/>
        </w:rPr>
        <w:t>th</w:t>
      </w:r>
      <w:r w:rsidRPr="007A7801">
        <w:rPr>
          <w:rFonts w:eastAsia="Arial Unicode MS"/>
        </w:rPr>
        <w:t xml:space="preserve"> among the EU members. Even though Cyprus has the second best most highly qualified labour force among EU27, with 34,5%</w:t>
      </w:r>
      <w:r w:rsidRPr="007A7801">
        <w:rPr>
          <w:rFonts w:eastAsia="Arial Unicode MS"/>
          <w:color w:val="FF0000"/>
        </w:rPr>
        <w:t xml:space="preserve"> </w:t>
      </w:r>
      <w:r w:rsidRPr="007A7801">
        <w:rPr>
          <w:rFonts w:eastAsia="Arial Unicode MS"/>
        </w:rPr>
        <w:t>having tertiary education, the economy faces chronic competitiveness problems relating to the specialisation in low-skilled, low-technology sectors, making extensive use of low skilled labour, mainly from third countries, whereas many young university graduates remain unemployed/underemployed.  One of the main policy priorities therefore is the restructuring of the economy by shifting the emphasis towards high-skilled, high value-added activities, mainly in the services sector, including tourism, health and education. Improving entrepreneurship and the business environment is crucial for the achievement of this challenge.</w:t>
      </w:r>
    </w:p>
    <w:p w:rsidR="00852B60" w:rsidRPr="007A7801" w:rsidRDefault="00852B60" w:rsidP="00852B60">
      <w:pPr>
        <w:jc w:val="both"/>
        <w:rPr>
          <w:rFonts w:eastAsia="Arial Unicode MS"/>
        </w:rPr>
      </w:pPr>
    </w:p>
    <w:p w:rsidR="00852B60" w:rsidRPr="007A7801" w:rsidRDefault="00852B60" w:rsidP="00852B60">
      <w:pPr>
        <w:jc w:val="both"/>
        <w:rPr>
          <w:rFonts w:eastAsia="Arial Unicode MS"/>
        </w:rPr>
      </w:pPr>
      <w:r w:rsidRPr="007A7801">
        <w:rPr>
          <w:rFonts w:eastAsia="Arial Unicode MS"/>
        </w:rPr>
        <w:t>The economy is mainly service oriented with the tertiary sector comprising 80% of GDP, the secondary 18% and the primary only 2%. However, in terms of employment the primary sector absorbs 7,5%, the secondary 20% and the tertiary 72,5%.</w:t>
      </w:r>
    </w:p>
    <w:p w:rsidR="00852B60" w:rsidRPr="007A7801" w:rsidRDefault="00852B60" w:rsidP="00852B60">
      <w:pPr>
        <w:jc w:val="both"/>
        <w:rPr>
          <w:rFonts w:eastAsia="Arial Unicode MS"/>
        </w:rPr>
      </w:pPr>
    </w:p>
    <w:p w:rsidR="00BB6138" w:rsidRDefault="00BB6138" w:rsidP="00283CBA">
      <w:pPr>
        <w:spacing w:before="240" w:line="480" w:lineRule="auto"/>
        <w:rPr>
          <w:b/>
          <w:i/>
          <w:lang w:val="en-GB"/>
        </w:rPr>
      </w:pPr>
    </w:p>
    <w:p w:rsidR="00BB6138" w:rsidRDefault="00BB6138" w:rsidP="00BB6138">
      <w:pPr>
        <w:rPr>
          <w:lang w:val="en-GB"/>
        </w:rPr>
        <w:sectPr w:rsidR="00BB6138" w:rsidSect="00DA0E87">
          <w:pgSz w:w="12240" w:h="15840"/>
          <w:pgMar w:top="1560" w:right="1440" w:bottom="1296" w:left="1440" w:header="720" w:footer="720" w:gutter="0"/>
          <w:cols w:space="720"/>
          <w:titlePg/>
          <w:docGrid w:linePitch="360"/>
        </w:sectPr>
      </w:pPr>
    </w:p>
    <w:p w:rsidR="00BB6138" w:rsidRPr="00BB6138" w:rsidRDefault="00BB6138" w:rsidP="00BB6138">
      <w:pPr>
        <w:rPr>
          <w:lang w:val="en-GB"/>
        </w:rPr>
      </w:pPr>
    </w:p>
    <w:p w:rsidR="00BB6138" w:rsidRDefault="00BB6138" w:rsidP="00283CBA">
      <w:pPr>
        <w:spacing w:before="240" w:line="480" w:lineRule="auto"/>
        <w:rPr>
          <w:b/>
          <w:i/>
          <w:lang w:val="en-GB"/>
        </w:rPr>
      </w:pPr>
    </w:p>
    <w:p w:rsidR="00C46D30" w:rsidRDefault="00C46D30" w:rsidP="00283CBA">
      <w:pPr>
        <w:spacing w:before="240" w:line="480" w:lineRule="auto"/>
        <w:rPr>
          <w:b/>
          <w:i/>
          <w:lang w:val="en-GB"/>
        </w:rPr>
        <w:sectPr w:rsidR="00C46D30" w:rsidSect="00316E34">
          <w:type w:val="continuous"/>
          <w:pgSz w:w="12240" w:h="15840"/>
          <w:pgMar w:top="1560" w:right="1440" w:bottom="1296" w:left="1440" w:header="720" w:footer="720" w:gutter="0"/>
          <w:cols w:space="720"/>
          <w:titlePg/>
          <w:docGrid w:linePitch="360"/>
        </w:sectPr>
      </w:pPr>
    </w:p>
    <w:p w:rsidR="00BB6138" w:rsidRDefault="00852B60" w:rsidP="00283CBA">
      <w:pPr>
        <w:spacing w:before="240" w:line="480" w:lineRule="auto"/>
        <w:rPr>
          <w:b/>
          <w:i/>
          <w:lang w:val="en-GB"/>
        </w:rPr>
        <w:sectPr w:rsidR="00BB6138" w:rsidSect="00316E34">
          <w:type w:val="continuous"/>
          <w:pgSz w:w="12240" w:h="15840"/>
          <w:pgMar w:top="1560" w:right="1440" w:bottom="1296" w:left="1440" w:header="720" w:footer="720" w:gutter="0"/>
          <w:cols w:space="720"/>
          <w:titlePg/>
          <w:docGrid w:linePitch="360"/>
        </w:sectPr>
      </w:pPr>
      <w:r w:rsidRPr="007A7801">
        <w:rPr>
          <w:b/>
          <w:i/>
          <w:lang w:val="en-GB"/>
        </w:rPr>
        <w:lastRenderedPageBreak/>
        <w:t>Figure</w:t>
      </w:r>
      <w:r w:rsidR="00C46D30">
        <w:rPr>
          <w:b/>
          <w:i/>
          <w:lang w:val="en-GB"/>
        </w:rPr>
        <w:t xml:space="preserve"> </w:t>
      </w:r>
      <w:r w:rsidR="00B053C0">
        <w:rPr>
          <w:b/>
          <w:i/>
          <w:lang w:val="en-GB"/>
        </w:rPr>
        <w:t>7</w:t>
      </w:r>
      <w:r w:rsidRPr="007A7801">
        <w:rPr>
          <w:b/>
          <w:i/>
          <w:lang w:val="en-GB"/>
        </w:rPr>
        <w:t>: Distribution of Value GDP, 2009</w:t>
      </w:r>
    </w:p>
    <w:p w:rsidR="00852B60" w:rsidRPr="007A7801" w:rsidRDefault="00852B60" w:rsidP="00852B60">
      <w:pPr>
        <w:jc w:val="both"/>
        <w:rPr>
          <w:rFonts w:eastAsia="Arial Unicode MS"/>
        </w:rPr>
      </w:pPr>
      <w:r w:rsidRPr="007A7801">
        <w:rPr>
          <w:rFonts w:eastAsia="Arial Unicode MS"/>
          <w:noProof/>
        </w:rPr>
        <w:lastRenderedPageBreak/>
        <w:drawing>
          <wp:anchor distT="0" distB="0" distL="114300" distR="114300" simplePos="0" relativeHeight="251659264" behindDoc="0" locked="0" layoutInCell="1" allowOverlap="1">
            <wp:simplePos x="0" y="0"/>
            <wp:positionH relativeFrom="column">
              <wp:posOffset>695325</wp:posOffset>
            </wp:positionH>
            <wp:positionV relativeFrom="paragraph">
              <wp:posOffset>7620</wp:posOffset>
            </wp:positionV>
            <wp:extent cx="4191000" cy="2000250"/>
            <wp:effectExtent l="0" t="0" r="0" b="0"/>
            <wp:wrapSquare wrapText="bothSides"/>
            <wp:docPr id="1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9" cstate="print"/>
                    <a:srcRect l="-3410" t="-2913" r="-781" b="-2780"/>
                    <a:stretch>
                      <a:fillRect/>
                    </a:stretch>
                  </pic:blipFill>
                  <pic:spPr bwMode="auto">
                    <a:xfrm>
                      <a:off x="0" y="0"/>
                      <a:ext cx="4191000" cy="2000250"/>
                    </a:xfrm>
                    <a:prstGeom prst="rect">
                      <a:avLst/>
                    </a:prstGeom>
                    <a:noFill/>
                    <a:ln w="9525">
                      <a:noFill/>
                      <a:miter lim="800000"/>
                      <a:headEnd/>
                      <a:tailEnd/>
                    </a:ln>
                  </pic:spPr>
                </pic:pic>
              </a:graphicData>
            </a:graphic>
          </wp:anchor>
        </w:drawing>
      </w:r>
    </w:p>
    <w:p w:rsidR="00852B60" w:rsidRPr="007A7801" w:rsidRDefault="00852B60" w:rsidP="00852B60">
      <w:pPr>
        <w:jc w:val="both"/>
        <w:rPr>
          <w:rFonts w:eastAsia="Arial Unicode MS"/>
        </w:rPr>
      </w:pPr>
    </w:p>
    <w:p w:rsidR="00852B60" w:rsidRPr="007A7801" w:rsidRDefault="00852B60" w:rsidP="00852B60">
      <w:pPr>
        <w:jc w:val="both"/>
        <w:rPr>
          <w:rFonts w:eastAsia="Arial Unicode MS"/>
        </w:rPr>
      </w:pPr>
    </w:p>
    <w:p w:rsidR="00852B60" w:rsidRPr="007A7801" w:rsidRDefault="00852B60" w:rsidP="00852B60">
      <w:pPr>
        <w:jc w:val="both"/>
        <w:rPr>
          <w:rFonts w:eastAsia="Arial Unicode MS"/>
        </w:rPr>
      </w:pPr>
    </w:p>
    <w:p w:rsidR="00852B60" w:rsidRPr="007A7801" w:rsidRDefault="00852B60" w:rsidP="00852B60">
      <w:pPr>
        <w:jc w:val="both"/>
        <w:rPr>
          <w:rFonts w:eastAsia="Arial Unicode MS"/>
        </w:rPr>
      </w:pPr>
    </w:p>
    <w:p w:rsidR="00852B60" w:rsidRPr="007A7801" w:rsidRDefault="00852B60" w:rsidP="00852B60">
      <w:pPr>
        <w:jc w:val="both"/>
        <w:rPr>
          <w:rFonts w:eastAsia="Arial Unicode MS"/>
        </w:rPr>
      </w:pPr>
    </w:p>
    <w:p w:rsidR="00852B60" w:rsidRPr="007A7801" w:rsidRDefault="00852B60" w:rsidP="00852B60">
      <w:pPr>
        <w:jc w:val="both"/>
        <w:rPr>
          <w:rFonts w:eastAsia="Arial Unicode MS"/>
        </w:rPr>
      </w:pPr>
    </w:p>
    <w:p w:rsidR="00852B60" w:rsidRPr="007A7801" w:rsidRDefault="00852B60" w:rsidP="00852B60">
      <w:pPr>
        <w:jc w:val="both"/>
        <w:rPr>
          <w:rFonts w:eastAsia="Arial Unicode MS"/>
        </w:rPr>
      </w:pPr>
    </w:p>
    <w:p w:rsidR="00852B60" w:rsidRPr="007A7801" w:rsidRDefault="00852B60" w:rsidP="00852B60">
      <w:pPr>
        <w:jc w:val="both"/>
        <w:rPr>
          <w:rFonts w:eastAsia="Arial Unicode MS"/>
        </w:rPr>
      </w:pPr>
    </w:p>
    <w:p w:rsidR="00852B60" w:rsidRPr="007A7801" w:rsidRDefault="00852B60" w:rsidP="00852B60">
      <w:pPr>
        <w:jc w:val="both"/>
        <w:rPr>
          <w:rFonts w:eastAsia="Arial Unicode MS"/>
        </w:rPr>
      </w:pPr>
    </w:p>
    <w:p w:rsidR="00283CBA" w:rsidRPr="007A7801" w:rsidRDefault="00283CBA" w:rsidP="00852B60">
      <w:pPr>
        <w:jc w:val="both"/>
        <w:rPr>
          <w:rFonts w:eastAsia="Arial Unicode MS"/>
        </w:rPr>
      </w:pPr>
    </w:p>
    <w:p w:rsidR="00283CBA" w:rsidRPr="007A7801" w:rsidRDefault="00283CBA" w:rsidP="00852B60">
      <w:pPr>
        <w:jc w:val="both"/>
        <w:rPr>
          <w:rFonts w:eastAsia="Arial Unicode MS"/>
        </w:rPr>
      </w:pPr>
    </w:p>
    <w:p w:rsidR="00283CBA" w:rsidRPr="007A7801" w:rsidRDefault="00283CBA" w:rsidP="00852B60">
      <w:pPr>
        <w:jc w:val="both"/>
        <w:rPr>
          <w:rFonts w:eastAsia="Arial Unicode MS"/>
        </w:rPr>
      </w:pPr>
    </w:p>
    <w:p w:rsidR="00283CBA" w:rsidRPr="007A7801" w:rsidRDefault="00283CBA" w:rsidP="00852B60">
      <w:pPr>
        <w:jc w:val="both"/>
        <w:rPr>
          <w:rFonts w:eastAsia="Arial Unicode MS"/>
        </w:rPr>
      </w:pPr>
    </w:p>
    <w:p w:rsidR="00852B60" w:rsidRPr="007A7801" w:rsidRDefault="00852B60" w:rsidP="00852B60">
      <w:pPr>
        <w:jc w:val="both"/>
      </w:pPr>
      <w:r w:rsidRPr="007A7801">
        <w:t xml:space="preserve">Concerning the </w:t>
      </w:r>
      <w:r w:rsidRPr="007A7801">
        <w:rPr>
          <w:b/>
        </w:rPr>
        <w:t xml:space="preserve">tourism sector, </w:t>
      </w:r>
      <w:r w:rsidRPr="007A7801">
        <w:t>it continues to</w:t>
      </w:r>
      <w:r w:rsidRPr="007A7801">
        <w:rPr>
          <w:b/>
        </w:rPr>
        <w:t xml:space="preserve"> </w:t>
      </w:r>
      <w:r w:rsidRPr="007A7801">
        <w:t>constitute an important component, accounting to 12% of the Cypriot GDP in 2009, even though losing in importance compared to the 20% share in 2000. Inbound tourism had reached a plateau during the period 2006-2008 with 2,4 mln tourist arrivals per year, before recording double-digit losses (-11%) in 2009, as a direct result of the worldwide financial crisis.  The final 2010 figures, suggest a slow return to growth with arrivals increasing by 1,5%. Similarly, tourism receipts were also affected with the 2009 figures showing a 17% decrease, while the final results for 2010 indicate a 3</w:t>
      </w:r>
      <w:r w:rsidR="003A6B1B">
        <w:t>,</w:t>
      </w:r>
      <w:r w:rsidRPr="007A7801">
        <w:t xml:space="preserve">8% upturn.  </w:t>
      </w:r>
    </w:p>
    <w:p w:rsidR="00852B60" w:rsidRPr="007A7801" w:rsidRDefault="00852B60" w:rsidP="00852B60"/>
    <w:p w:rsidR="00852B60" w:rsidRPr="007A7801" w:rsidRDefault="00852B60" w:rsidP="00852B60">
      <w:pPr>
        <w:jc w:val="both"/>
      </w:pPr>
      <w:r w:rsidRPr="007A7801">
        <w:t xml:space="preserve">From the tourist destination point of view, </w:t>
      </w:r>
      <w:smartTag w:uri="urn:schemas-microsoft-com:office:smarttags" w:element="place">
        <w:smartTag w:uri="urn:schemas-microsoft-com:office:smarttags" w:element="country-region">
          <w:r w:rsidRPr="007A7801">
            <w:t>Cyprus</w:t>
          </w:r>
        </w:smartTag>
      </w:smartTag>
      <w:r w:rsidRPr="007A7801">
        <w:t xml:space="preserve"> continuous to be in a disadvantageous position </w:t>
      </w:r>
      <w:r w:rsidRPr="007A7801">
        <w:rPr>
          <w:i/>
        </w:rPr>
        <w:t>vis a vis</w:t>
      </w:r>
      <w:r w:rsidRPr="007A7801">
        <w:t xml:space="preserve"> its competitors, especially due to the high cost of living which raises prices and staff costs. As a tourist destination, Cyprus has to address weaknesses which relate to delays in the implementation of large-scale projects, ageing of the tourist product, increasing operational costs and employment of non-native speakers, lack of strong brand image and aggressive competition from competitive East Mediterranean destinations, which are not bound by EU state aid restrictions, thus being in a position to influence organised tourist traffic to the area. At the same time, the fast pace with which the changes in the external environment are evolving such as the climatic changes, the attraction of foreign investments, the increasing bargaining power of the tour operators, the competitive position of destinations with the same product offer, seasonality, the foreign exchange fluctuations which is especially the case for big tourist markets, constitute the main factors that are taken into account, while currently finali</w:t>
      </w:r>
      <w:r w:rsidR="003A6B1B">
        <w:t>s</w:t>
      </w:r>
      <w:r w:rsidRPr="007A7801">
        <w:t>ing the Tourism Strategy for the period 2011-2015.</w:t>
      </w:r>
    </w:p>
    <w:p w:rsidR="00852B60" w:rsidRPr="007A7801" w:rsidRDefault="00852B60" w:rsidP="00852B60">
      <w:pPr>
        <w:jc w:val="both"/>
      </w:pPr>
    </w:p>
    <w:p w:rsidR="00852B60" w:rsidRPr="007A7801" w:rsidRDefault="00852B60" w:rsidP="00852B60">
      <w:pPr>
        <w:jc w:val="both"/>
        <w:rPr>
          <w:rFonts w:eastAsia="Arial Unicode MS"/>
        </w:rPr>
      </w:pPr>
      <w:r w:rsidRPr="007A7801">
        <w:rPr>
          <w:rFonts w:eastAsia="Arial Unicode MS"/>
        </w:rPr>
        <w:t>With respect to</w:t>
      </w:r>
      <w:r w:rsidRPr="007A7801">
        <w:rPr>
          <w:rFonts w:eastAsia="Arial Unicode MS"/>
          <w:b/>
        </w:rPr>
        <w:t xml:space="preserve"> the business environment, </w:t>
      </w:r>
      <w:r w:rsidRPr="007A7801">
        <w:rPr>
          <w:rFonts w:eastAsia="Arial Unicode MS"/>
        </w:rPr>
        <w:t>there has been some improvement, with Cyprus moving from the 18</w:t>
      </w:r>
      <w:r w:rsidRPr="007A7801">
        <w:rPr>
          <w:rFonts w:eastAsia="Arial Unicode MS"/>
          <w:vertAlign w:val="superscript"/>
        </w:rPr>
        <w:t>th</w:t>
      </w:r>
      <w:r w:rsidRPr="007A7801">
        <w:rPr>
          <w:rFonts w:eastAsia="Arial Unicode MS"/>
        </w:rPr>
        <w:t xml:space="preserve"> position in 2006 among EU27, to the 13</w:t>
      </w:r>
      <w:r w:rsidRPr="007A7801">
        <w:rPr>
          <w:rFonts w:eastAsia="Arial Unicode MS"/>
          <w:vertAlign w:val="superscript"/>
        </w:rPr>
        <w:t>th</w:t>
      </w:r>
      <w:r w:rsidRPr="007A7801">
        <w:rPr>
          <w:rFonts w:eastAsia="Arial Unicode MS"/>
        </w:rPr>
        <w:t xml:space="preserve"> in 2010,</w:t>
      </w:r>
      <w:r w:rsidRPr="007A7801">
        <w:rPr>
          <w:rStyle w:val="FootnoteReference"/>
          <w:rFonts w:eastAsia="Arial Unicode MS"/>
        </w:rPr>
        <w:footnoteReference w:id="5"/>
      </w:r>
      <w:r w:rsidRPr="007A7801">
        <w:rPr>
          <w:rFonts w:eastAsia="Arial Unicode MS"/>
        </w:rPr>
        <w:t xml:space="preserve"> mainly due to the setting up of the One Stop Shop, the simplification of procedures for registering a company and the maintenance of a stable and favo</w:t>
      </w:r>
      <w:r w:rsidR="003A6B1B">
        <w:rPr>
          <w:rFonts w:eastAsia="Arial Unicode MS"/>
        </w:rPr>
        <w:t>u</w:t>
      </w:r>
      <w:r w:rsidRPr="007A7801">
        <w:rPr>
          <w:rFonts w:eastAsia="Arial Unicode MS"/>
        </w:rPr>
        <w:t xml:space="preserve">rable tax system. </w:t>
      </w:r>
    </w:p>
    <w:p w:rsidR="00852B60" w:rsidRPr="007A7801" w:rsidRDefault="00852B60" w:rsidP="00852B60">
      <w:pPr>
        <w:jc w:val="both"/>
        <w:rPr>
          <w:rFonts w:eastAsia="Arial Unicode MS"/>
        </w:rPr>
      </w:pPr>
    </w:p>
    <w:p w:rsidR="00BB6138" w:rsidRDefault="00BB6138" w:rsidP="00852B60">
      <w:pPr>
        <w:jc w:val="both"/>
        <w:rPr>
          <w:rFonts w:eastAsia="Arial Unicode MS"/>
        </w:rPr>
        <w:sectPr w:rsidR="00BB6138" w:rsidSect="00316E34">
          <w:type w:val="continuous"/>
          <w:pgSz w:w="12240" w:h="15840"/>
          <w:pgMar w:top="1560" w:right="1440" w:bottom="1296" w:left="1440" w:header="720" w:footer="720" w:gutter="0"/>
          <w:cols w:space="720"/>
          <w:titlePg/>
          <w:docGrid w:linePitch="360"/>
        </w:sectPr>
      </w:pPr>
    </w:p>
    <w:p w:rsidR="00852B60" w:rsidRPr="007A7801" w:rsidRDefault="00852B60" w:rsidP="00852B60">
      <w:pPr>
        <w:jc w:val="both"/>
        <w:rPr>
          <w:rFonts w:eastAsia="Arial Unicode MS"/>
        </w:rPr>
      </w:pPr>
      <w:r w:rsidRPr="007A7801">
        <w:rPr>
          <w:rFonts w:eastAsia="Arial Unicode MS"/>
        </w:rPr>
        <w:lastRenderedPageBreak/>
        <w:t xml:space="preserve">More effort is required towards improving </w:t>
      </w:r>
      <w:r w:rsidRPr="007A7801">
        <w:rPr>
          <w:rFonts w:eastAsia="Arial Unicode MS"/>
          <w:b/>
        </w:rPr>
        <w:t>the efficiency and effectiveness of the public sector</w:t>
      </w:r>
      <w:r w:rsidRPr="007A7801">
        <w:rPr>
          <w:rFonts w:eastAsia="Arial Unicode MS"/>
        </w:rPr>
        <w:t xml:space="preserve">. Along with the efforts to reduce administrative burden by 20% until the year 2012, measures to increase e-government, reform the civil service, public transport, health and education are envisaged.     </w:t>
      </w:r>
    </w:p>
    <w:p w:rsidR="00852B60" w:rsidRPr="007A7801" w:rsidRDefault="00852B60" w:rsidP="00852B60">
      <w:pPr>
        <w:jc w:val="both"/>
        <w:rPr>
          <w:rFonts w:eastAsia="Arial Unicode MS"/>
        </w:rPr>
      </w:pPr>
    </w:p>
    <w:p w:rsidR="00852B60" w:rsidRPr="007A7801" w:rsidRDefault="00852B60" w:rsidP="00852B60">
      <w:pPr>
        <w:jc w:val="both"/>
        <w:rPr>
          <w:lang w:val="en-GB"/>
        </w:rPr>
      </w:pPr>
      <w:r w:rsidRPr="007A7801">
        <w:rPr>
          <w:lang w:val="en-GB"/>
        </w:rPr>
        <w:t xml:space="preserve">The </w:t>
      </w:r>
      <w:r w:rsidRPr="007A7801">
        <w:rPr>
          <w:b/>
          <w:lang w:val="en-GB"/>
        </w:rPr>
        <w:t xml:space="preserve">high energy and </w:t>
      </w:r>
      <w:r w:rsidRPr="007A7801">
        <w:rPr>
          <w:b/>
          <w:color w:val="000000"/>
          <w:lang w:val="en-GB"/>
        </w:rPr>
        <w:t>CO</w:t>
      </w:r>
      <w:r w:rsidRPr="007A7801">
        <w:rPr>
          <w:b/>
          <w:color w:val="000000"/>
          <w:vertAlign w:val="subscript"/>
          <w:lang w:val="en-GB"/>
        </w:rPr>
        <w:t>2</w:t>
      </w:r>
      <w:r w:rsidRPr="007A7801">
        <w:rPr>
          <w:b/>
          <w:lang w:val="en-GB"/>
        </w:rPr>
        <w:t xml:space="preserve"> intensity of the Cypriot business sector</w:t>
      </w:r>
      <w:r w:rsidRPr="007A7801">
        <w:rPr>
          <w:lang w:val="en-GB"/>
        </w:rPr>
        <w:t xml:space="preserve">, in combination with the heavy dependence on imported oil for energy generation represent a potential risk in case of high volatility in oil and </w:t>
      </w:r>
      <w:r w:rsidRPr="007A7801">
        <w:rPr>
          <w:color w:val="000000"/>
          <w:lang w:val="en-GB"/>
        </w:rPr>
        <w:t>CO</w:t>
      </w:r>
      <w:r w:rsidRPr="007A7801">
        <w:rPr>
          <w:color w:val="000000"/>
          <w:vertAlign w:val="subscript"/>
          <w:lang w:val="en-GB"/>
        </w:rPr>
        <w:t>2</w:t>
      </w:r>
      <w:r w:rsidRPr="007A7801">
        <w:rPr>
          <w:lang w:val="en-GB"/>
        </w:rPr>
        <w:t xml:space="preserve"> prices. Promoting energy efficiency and the generation of energy from renewable sources remain strategic priorities for </w:t>
      </w:r>
      <w:smartTag w:uri="urn:schemas-microsoft-com:office:smarttags" w:element="country-region">
        <w:smartTag w:uri="urn:schemas-microsoft-com:office:smarttags" w:element="place">
          <w:r w:rsidRPr="007A7801">
            <w:rPr>
              <w:lang w:val="en-GB"/>
            </w:rPr>
            <w:t>Cyprus</w:t>
          </w:r>
        </w:smartTag>
      </w:smartTag>
      <w:r w:rsidRPr="007A7801">
        <w:rPr>
          <w:lang w:val="en-GB"/>
        </w:rPr>
        <w:t>. It suffices to note that an increase of $10 in the price of oil results to 0.6</w:t>
      </w:r>
      <w:r w:rsidR="00B979B1">
        <w:rPr>
          <w:lang w:val="en-GB"/>
        </w:rPr>
        <w:t xml:space="preserve"> </w:t>
      </w:r>
      <w:r w:rsidRPr="007A7801">
        <w:rPr>
          <w:lang w:val="en-GB"/>
        </w:rPr>
        <w:t>pp increase in the inflation index, so decreasing the dependence on imported oil is of paramount importance to improving competitiveness.</w:t>
      </w:r>
    </w:p>
    <w:p w:rsidR="00852B60" w:rsidRPr="007A7801" w:rsidRDefault="00852B60" w:rsidP="00852B60">
      <w:pPr>
        <w:autoSpaceDE w:val="0"/>
        <w:autoSpaceDN w:val="0"/>
        <w:adjustRightInd w:val="0"/>
        <w:spacing w:before="100" w:beforeAutospacing="1" w:after="100" w:afterAutospacing="1"/>
        <w:jc w:val="both"/>
        <w:textAlignment w:val="top"/>
        <w:rPr>
          <w:rFonts w:eastAsia="Calibri"/>
          <w:lang w:val="en-GB"/>
        </w:rPr>
      </w:pPr>
      <w:r w:rsidRPr="007A7801">
        <w:rPr>
          <w:rFonts w:eastAsia="Calibri"/>
        </w:rPr>
        <w:t xml:space="preserve">Various steps are being made in the context of the </w:t>
      </w:r>
      <w:r w:rsidRPr="007A7801">
        <w:rPr>
          <w:rFonts w:eastAsia="Calibri"/>
          <w:b/>
        </w:rPr>
        <w:t>promotion of Corporate Social Responsibility (CSR)</w:t>
      </w:r>
      <w:r w:rsidRPr="007A7801">
        <w:rPr>
          <w:rFonts w:eastAsia="Calibri"/>
        </w:rPr>
        <w:t xml:space="preserve"> in an effort to encourage the business sector to undertake more actions towards achieving the targets on climate change, improving the working conditions of employees, providing high quality work and increasing trust among consumers.</w:t>
      </w:r>
    </w:p>
    <w:p w:rsidR="00852B60" w:rsidRPr="007A7801" w:rsidRDefault="00852B60" w:rsidP="00852B60">
      <w:pPr>
        <w:jc w:val="both"/>
        <w:rPr>
          <w:rFonts w:eastAsia="Arial Unicode MS"/>
        </w:rPr>
      </w:pPr>
      <w:r w:rsidRPr="007A7801">
        <w:rPr>
          <w:rFonts w:eastAsia="Arial Unicode MS"/>
        </w:rPr>
        <w:t xml:space="preserve">Another important bottleneck to growth and to the competitive position of </w:t>
      </w:r>
      <w:smartTag w:uri="urn:schemas-microsoft-com:office:smarttags" w:element="place">
        <w:smartTag w:uri="urn:schemas-microsoft-com:office:smarttags" w:element="country-region">
          <w:r w:rsidRPr="007A7801">
            <w:rPr>
              <w:rFonts w:eastAsia="Arial Unicode MS"/>
            </w:rPr>
            <w:t>Cyprus</w:t>
          </w:r>
        </w:smartTag>
      </w:smartTag>
      <w:r w:rsidRPr="007A7801">
        <w:rPr>
          <w:rFonts w:eastAsia="Arial Unicode MS"/>
        </w:rPr>
        <w:t xml:space="preserve"> is the small, island character of the economy that</w:t>
      </w:r>
      <w:r w:rsidRPr="007A7801">
        <w:rPr>
          <w:lang w:val="en-GB"/>
        </w:rPr>
        <w:t xml:space="preserve"> </w:t>
      </w:r>
      <w:r w:rsidRPr="007A7801">
        <w:t xml:space="preserve">leads to comparatively limited competition and non-competitive pricing practices in certain sectors. The increased transportation costs of imports tend to raise the prices of locally produced commodities as well.   </w:t>
      </w:r>
    </w:p>
    <w:p w:rsidR="00852B60" w:rsidRPr="007A7801" w:rsidRDefault="00852B60" w:rsidP="00852B60">
      <w:pPr>
        <w:jc w:val="both"/>
      </w:pPr>
    </w:p>
    <w:p w:rsidR="00852B60" w:rsidRPr="007A7801" w:rsidRDefault="00852B60" w:rsidP="00852B60">
      <w:pPr>
        <w:jc w:val="both"/>
      </w:pPr>
      <w:r w:rsidRPr="007A7801">
        <w:rPr>
          <w:bCs/>
        </w:rPr>
        <w:t xml:space="preserve">The promotion of quality and the implementation of quality assurance in all sectors of economic activity represent decisive tools towards the increase of their competitiveness. </w:t>
      </w:r>
    </w:p>
    <w:p w:rsidR="00852B60" w:rsidRPr="007A7801" w:rsidRDefault="00852B60" w:rsidP="00852B60">
      <w:pPr>
        <w:jc w:val="both"/>
      </w:pPr>
    </w:p>
    <w:p w:rsidR="00852B60" w:rsidRPr="007A7801" w:rsidRDefault="00852B60" w:rsidP="00852B60">
      <w:pPr>
        <w:jc w:val="both"/>
        <w:rPr>
          <w:rFonts w:eastAsia="Arial Unicode MS"/>
          <w:b/>
          <w:u w:val="single"/>
        </w:rPr>
      </w:pPr>
    </w:p>
    <w:p w:rsidR="00852B60" w:rsidRPr="007A7801" w:rsidRDefault="00852B60" w:rsidP="00D361C0">
      <w:pPr>
        <w:pStyle w:val="Heading2"/>
        <w:rPr>
          <w:rFonts w:eastAsia="Arial Unicode MS"/>
        </w:rPr>
      </w:pPr>
      <w:bookmarkStart w:id="71" w:name="_Toc292454632"/>
      <w:r w:rsidRPr="007A7801">
        <w:rPr>
          <w:rFonts w:eastAsia="Arial Unicode MS"/>
        </w:rPr>
        <w:t>KEY MEASURES TO TACKLE BOTTLENECKS</w:t>
      </w:r>
      <w:bookmarkEnd w:id="71"/>
      <w:r w:rsidRPr="007A7801">
        <w:rPr>
          <w:rFonts w:eastAsia="Arial Unicode MS"/>
        </w:rPr>
        <w:t xml:space="preserve"> </w:t>
      </w:r>
    </w:p>
    <w:p w:rsidR="00852B60" w:rsidRPr="007A7801" w:rsidRDefault="00852B60" w:rsidP="00852B60">
      <w:pPr>
        <w:jc w:val="both"/>
        <w:rPr>
          <w:rFonts w:eastAsia="Arial Unicode MS"/>
          <w:b/>
        </w:rPr>
      </w:pPr>
    </w:p>
    <w:p w:rsidR="00852B60" w:rsidRPr="007A7801" w:rsidRDefault="00852B60" w:rsidP="00852B60">
      <w:pPr>
        <w:jc w:val="both"/>
        <w:rPr>
          <w:rFonts w:eastAsia="Arial Unicode MS"/>
        </w:rPr>
      </w:pPr>
      <w:r w:rsidRPr="007A7801">
        <w:rPr>
          <w:rFonts w:eastAsia="Arial Unicode MS"/>
        </w:rPr>
        <w:t xml:space="preserve">A number of measures are promoted to increase the competitiveness of both the private and the public sector and tackle the bottlenecks. </w:t>
      </w:r>
    </w:p>
    <w:p w:rsidR="00852B60" w:rsidRPr="007A7801" w:rsidRDefault="00852B60" w:rsidP="00852B60">
      <w:pPr>
        <w:jc w:val="both"/>
        <w:rPr>
          <w:rFonts w:eastAsia="Arial Unicode MS"/>
          <w:b/>
          <w:u w:val="single"/>
        </w:rPr>
      </w:pPr>
    </w:p>
    <w:p w:rsidR="00852B60" w:rsidRPr="007A7801" w:rsidRDefault="00852B60" w:rsidP="00852B60">
      <w:pPr>
        <w:jc w:val="both"/>
        <w:rPr>
          <w:rFonts w:eastAsia="Arial Unicode MS"/>
          <w:b/>
          <w:u w:val="single"/>
        </w:rPr>
      </w:pPr>
      <w:r w:rsidRPr="007A7801">
        <w:rPr>
          <w:rFonts w:eastAsia="Arial Unicode MS"/>
          <w:b/>
          <w:u w:val="single"/>
        </w:rPr>
        <w:t>Improving the Competitiveness of the private sector and</w:t>
      </w:r>
      <w:r w:rsidR="00283CBA" w:rsidRPr="007A7801">
        <w:rPr>
          <w:rFonts w:eastAsia="Arial Unicode MS"/>
          <w:b/>
          <w:u w:val="single"/>
        </w:rPr>
        <w:t xml:space="preserve"> restructuring the economy</w:t>
      </w:r>
    </w:p>
    <w:p w:rsidR="00852B60" w:rsidRPr="007A7801" w:rsidRDefault="00852B60" w:rsidP="00852B60">
      <w:pPr>
        <w:jc w:val="both"/>
        <w:rPr>
          <w:rFonts w:eastAsia="Arial Unicode MS"/>
          <w:b/>
          <w:u w:val="single"/>
        </w:rPr>
      </w:pPr>
    </w:p>
    <w:p w:rsidR="00731D68" w:rsidRPr="00455109" w:rsidRDefault="00602DA7" w:rsidP="00A073EF">
      <w:pPr>
        <w:pStyle w:val="ListParagraph"/>
        <w:numPr>
          <w:ilvl w:val="0"/>
          <w:numId w:val="36"/>
        </w:numPr>
        <w:ind w:left="284" w:hanging="284"/>
        <w:jc w:val="both"/>
        <w:rPr>
          <w:rFonts w:eastAsia="Arial Unicode MS"/>
        </w:rPr>
      </w:pPr>
      <w:r w:rsidRPr="00455109">
        <w:rPr>
          <w:b/>
        </w:rPr>
        <w:t>Scheme for the promotion of innovation</w:t>
      </w:r>
      <w:r w:rsidR="00852B60" w:rsidRPr="007A7801">
        <w:t>:</w:t>
      </w:r>
      <w:r w:rsidR="00455109">
        <w:t xml:space="preserve"> </w:t>
      </w:r>
      <w:r w:rsidR="00852B60" w:rsidRPr="007A7801">
        <w:t xml:space="preserve">The </w:t>
      </w:r>
      <w:r w:rsidR="00455109">
        <w:t>MCIT is</w:t>
      </w:r>
      <w:r w:rsidR="00852B60" w:rsidRPr="007A7801">
        <w:t xml:space="preserve"> currently working towards the design and operation of a new scheme aiming </w:t>
      </w:r>
      <w:r w:rsidR="00BB635D">
        <w:t>at the</w:t>
      </w:r>
      <w:r w:rsidR="00852B60" w:rsidRPr="007A7801">
        <w:t xml:space="preserve"> support of SMEs which will innovate through the production of innovative goods or high added value services. </w:t>
      </w:r>
    </w:p>
    <w:p w:rsidR="00852B60" w:rsidRPr="007A7801" w:rsidRDefault="00852B60" w:rsidP="00852B60">
      <w:pPr>
        <w:pStyle w:val="BodyText2"/>
        <w:spacing w:after="0" w:line="240" w:lineRule="auto"/>
        <w:jc w:val="both"/>
        <w:rPr>
          <w:rFonts w:eastAsia="Arial Unicode MS"/>
        </w:rPr>
      </w:pPr>
    </w:p>
    <w:p w:rsidR="00BB6138" w:rsidRDefault="00BB6138" w:rsidP="001D09A7">
      <w:pPr>
        <w:pStyle w:val="ListParagraph"/>
        <w:numPr>
          <w:ilvl w:val="0"/>
          <w:numId w:val="30"/>
        </w:numPr>
        <w:ind w:left="284" w:hanging="284"/>
        <w:jc w:val="both"/>
        <w:rPr>
          <w:b/>
          <w:bCs/>
        </w:rPr>
        <w:sectPr w:rsidR="00BB6138" w:rsidSect="00316E34">
          <w:type w:val="continuous"/>
          <w:pgSz w:w="12240" w:h="15840"/>
          <w:pgMar w:top="1560" w:right="1440" w:bottom="1296" w:left="1440" w:header="720" w:footer="720" w:gutter="0"/>
          <w:cols w:space="720"/>
          <w:titlePg/>
          <w:docGrid w:linePitch="360"/>
        </w:sectPr>
      </w:pPr>
    </w:p>
    <w:p w:rsidR="00731D68" w:rsidRDefault="00602DA7" w:rsidP="00455109">
      <w:pPr>
        <w:pStyle w:val="ListParagraph"/>
        <w:numPr>
          <w:ilvl w:val="0"/>
          <w:numId w:val="30"/>
        </w:numPr>
        <w:ind w:left="284" w:hanging="284"/>
        <w:jc w:val="both"/>
      </w:pPr>
      <w:r w:rsidRPr="00455109">
        <w:rPr>
          <w:b/>
          <w:bCs/>
        </w:rPr>
        <w:lastRenderedPageBreak/>
        <w:t>JEREMIE Initiative</w:t>
      </w:r>
      <w:r w:rsidR="00455109">
        <w:rPr>
          <w:b/>
          <w:bCs/>
        </w:rPr>
        <w:t xml:space="preserve">: </w:t>
      </w:r>
      <w:r w:rsidR="00B979B1">
        <w:rPr>
          <w:bCs/>
        </w:rPr>
        <w:t>In</w:t>
      </w:r>
      <w:r w:rsidR="00852B60" w:rsidRPr="007A7801">
        <w:t xml:space="preserve"> order t</w:t>
      </w:r>
      <w:r w:rsidR="00852B60" w:rsidRPr="00840475">
        <w:t>o</w:t>
      </w:r>
      <w:r w:rsidRPr="00455109">
        <w:rPr>
          <w:bCs/>
        </w:rPr>
        <w:t xml:space="preserve"> improve SMEs access to finance </w:t>
      </w:r>
      <w:r w:rsidR="00852B60" w:rsidRPr="007A7801">
        <w:t xml:space="preserve">a total budget of €20 mln from the EU Structural Funds </w:t>
      </w:r>
      <w:r w:rsidR="00840475">
        <w:t xml:space="preserve">was </w:t>
      </w:r>
      <w:r w:rsidR="00852B60" w:rsidRPr="007A7801">
        <w:t>allocated, for the implementation of the JEREMIE initiative for</w:t>
      </w:r>
      <w:r w:rsidR="00852B60" w:rsidRPr="007A7801">
        <w:rPr>
          <w:rStyle w:val="CommentReference"/>
        </w:rPr>
        <w:t xml:space="preserve"> </w:t>
      </w:r>
      <w:r w:rsidR="00852B60" w:rsidRPr="007A7801">
        <w:t xml:space="preserve">SMEs in Cyprus. Through an agreement signed </w:t>
      </w:r>
      <w:r w:rsidR="00852B60" w:rsidRPr="00455109">
        <w:rPr>
          <w:lang w:val="en-GB"/>
        </w:rPr>
        <w:t xml:space="preserve">with the European Investment Fund (EIF) </w:t>
      </w:r>
      <w:r w:rsidR="00852B60" w:rsidRPr="007A7801">
        <w:t xml:space="preserve">in April 2009, two products have been designed, the “Funded Risk Sharing Product” (FRSP) and the “First Loss Portfolio Guarantee Product” (FLPG), with the aim to offer new loans to SMEs with lower interest rates, longer loan repayment and grace periods and potentially lower collateral requirements. Calls for Expression of Interest have been already completed for both products. </w:t>
      </w:r>
    </w:p>
    <w:p w:rsidR="00852B60" w:rsidRPr="007A7801" w:rsidRDefault="00852B60" w:rsidP="00852B60">
      <w:pPr>
        <w:jc w:val="both"/>
      </w:pPr>
    </w:p>
    <w:p w:rsidR="00852B60" w:rsidRPr="007A7801" w:rsidRDefault="00852B60" w:rsidP="006F7942">
      <w:pPr>
        <w:ind w:left="284"/>
        <w:jc w:val="both"/>
      </w:pPr>
      <w:r w:rsidRPr="007A7801">
        <w:t xml:space="preserve">The first Call resulted </w:t>
      </w:r>
      <w:r w:rsidR="00D46F6E">
        <w:t>in</w:t>
      </w:r>
      <w:r w:rsidR="00D46F6E" w:rsidRPr="007A7801">
        <w:t xml:space="preserve"> </w:t>
      </w:r>
      <w:r w:rsidRPr="007A7801">
        <w:t>an Operational Agreement between the EIF and the Bank of Cyprus (BoC)</w:t>
      </w:r>
      <w:r w:rsidR="00D46F6E">
        <w:t>, which was signed</w:t>
      </w:r>
      <w:r w:rsidRPr="007A7801">
        <w:t xml:space="preserve"> in September 2010, followed by the launching of the FRSP in the market in January 2011.  Based on this Agreement new loans of €20</w:t>
      </w:r>
      <w:r w:rsidR="003A6B1B">
        <w:t xml:space="preserve"> </w:t>
      </w:r>
      <w:r w:rsidRPr="007A7801">
        <w:t>mln, up to €100,000 per enterprise, are been provided to Micro and Small enterprises in Cyprus with the co-financing of the JEREMIE funds (€10 mln) and the BoC’s own resources (€10 mln). Within the first 4 months of implementation (given a 2 years availability period), the Bank has already approved more than €5 mln of new loans under this product.  </w:t>
      </w:r>
      <w:r w:rsidRPr="007A7801">
        <w:rPr>
          <w:rStyle w:val="CommentReference"/>
          <w:sz w:val="20"/>
          <w:szCs w:val="20"/>
        </w:rPr>
        <w:t> </w:t>
      </w:r>
    </w:p>
    <w:p w:rsidR="00852B60" w:rsidRPr="007A7801" w:rsidRDefault="00852B60" w:rsidP="006F7942">
      <w:pPr>
        <w:ind w:left="284"/>
        <w:jc w:val="both"/>
        <w:rPr>
          <w:color w:val="000080"/>
        </w:rPr>
      </w:pPr>
    </w:p>
    <w:p w:rsidR="00852B60" w:rsidRPr="007A7801" w:rsidRDefault="00852B60" w:rsidP="006F7942">
      <w:pPr>
        <w:ind w:left="284"/>
        <w:jc w:val="both"/>
      </w:pPr>
      <w:r w:rsidRPr="007A7801">
        <w:t xml:space="preserve">With regards to the 2nd product promoted (FLPG), the EIF is now at the final stage of its negotiations with the </w:t>
      </w:r>
      <w:r w:rsidR="00D46F6E">
        <w:t>f</w:t>
      </w:r>
      <w:r w:rsidRPr="007A7801">
        <w:t xml:space="preserve">inancial </w:t>
      </w:r>
      <w:r w:rsidR="00D46F6E">
        <w:t>i</w:t>
      </w:r>
      <w:r w:rsidRPr="007A7801">
        <w:t>ntermediary</w:t>
      </w:r>
      <w:r w:rsidRPr="007A7801">
        <w:rPr>
          <w:rStyle w:val="CommentReference"/>
          <w:sz w:val="20"/>
          <w:szCs w:val="20"/>
        </w:rPr>
        <w:t> </w:t>
      </w:r>
      <w:r w:rsidRPr="007A7801">
        <w:t>that will implement this product in Cyprus, which is expected to be launched in the market by mid-2011. Given the coverage provided</w:t>
      </w:r>
      <w:r w:rsidRPr="007A7801">
        <w:rPr>
          <w:rStyle w:val="CommentReference"/>
          <w:sz w:val="20"/>
          <w:szCs w:val="20"/>
        </w:rPr>
        <w:t> </w:t>
      </w:r>
      <w:r w:rsidRPr="007A7801">
        <w:t xml:space="preserve"> by JEREMIE resources of €8 mln (covering up to 50% of potential losses on a loan-by-loan basis, and up to 31%-33% on a portfolio basis), the selected bank is expected to provide new loans of around €50</w:t>
      </w:r>
      <w:r w:rsidR="00075431">
        <w:t xml:space="preserve"> </w:t>
      </w:r>
      <w:r w:rsidRPr="007A7801">
        <w:t>mln to</w:t>
      </w:r>
      <w:r w:rsidRPr="007A7801">
        <w:rPr>
          <w:rStyle w:val="CommentReference"/>
          <w:sz w:val="20"/>
          <w:szCs w:val="20"/>
        </w:rPr>
        <w:t> </w:t>
      </w:r>
      <w:r w:rsidRPr="007A7801">
        <w:t xml:space="preserve"> the </w:t>
      </w:r>
      <w:r w:rsidR="00D46F6E">
        <w:t>m</w:t>
      </w:r>
      <w:r w:rsidRPr="007A7801">
        <w:t xml:space="preserve">icro and </w:t>
      </w:r>
      <w:r w:rsidR="00D46F6E">
        <w:t>s</w:t>
      </w:r>
      <w:r w:rsidRPr="007A7801">
        <w:t xml:space="preserve">mall enterprises in Cyprus, especially start-ups, with significantly improved collateral requirements. </w:t>
      </w:r>
    </w:p>
    <w:p w:rsidR="00852B60" w:rsidRPr="007A7801" w:rsidRDefault="00852B60" w:rsidP="00852B60">
      <w:pPr>
        <w:pStyle w:val="BodyText2"/>
        <w:spacing w:after="0" w:line="240" w:lineRule="auto"/>
        <w:jc w:val="both"/>
        <w:rPr>
          <w:rFonts w:eastAsia="Arial Unicode MS"/>
        </w:rPr>
      </w:pPr>
    </w:p>
    <w:p w:rsidR="00852B60" w:rsidRPr="00455109" w:rsidRDefault="00852B60" w:rsidP="00852B60">
      <w:pPr>
        <w:pStyle w:val="BodyText2"/>
        <w:spacing w:after="0" w:line="240" w:lineRule="auto"/>
        <w:jc w:val="both"/>
        <w:rPr>
          <w:color w:val="006600"/>
          <w:lang w:val="en-GB"/>
        </w:rPr>
      </w:pPr>
    </w:p>
    <w:p w:rsidR="00731D68" w:rsidRPr="00455109" w:rsidRDefault="00602DA7" w:rsidP="00455109">
      <w:pPr>
        <w:pStyle w:val="ListParagraph"/>
        <w:numPr>
          <w:ilvl w:val="0"/>
          <w:numId w:val="31"/>
        </w:numPr>
        <w:ind w:left="284" w:hanging="284"/>
        <w:jc w:val="both"/>
        <w:rPr>
          <w:lang w:val="en-GB"/>
        </w:rPr>
      </w:pPr>
      <w:r w:rsidRPr="00455109">
        <w:rPr>
          <w:b/>
          <w:spacing w:val="4"/>
          <w:lang w:val="en-GB"/>
        </w:rPr>
        <w:t>Subsidy scheme to facilitate the shift from low productivity jobs to high productivity jobs</w:t>
      </w:r>
      <w:r w:rsidR="00455109" w:rsidRPr="00455109">
        <w:rPr>
          <w:b/>
          <w:spacing w:val="4"/>
          <w:lang w:val="en-GB"/>
        </w:rPr>
        <w:t xml:space="preserve">: </w:t>
      </w:r>
      <w:r w:rsidR="00852B60" w:rsidRPr="00455109">
        <w:rPr>
          <w:lang w:val="en-GB"/>
        </w:rPr>
        <w:t>A scheme, aiming at empowering enterprises to replace low value added employment positions with higher value added ones, is promoted by the Cyprus Productivity Centre (CPC). The scheme, which is co-f</w:t>
      </w:r>
      <w:r w:rsidR="00B979B1">
        <w:rPr>
          <w:lang w:val="en-GB"/>
        </w:rPr>
        <w:t>inanced</w:t>
      </w:r>
      <w:r w:rsidR="00852B60" w:rsidRPr="00455109">
        <w:rPr>
          <w:lang w:val="en-GB"/>
        </w:rPr>
        <w:t xml:space="preserve"> by the European Social Fund calls for the enterprise</w:t>
      </w:r>
      <w:r w:rsidR="003A6B1B" w:rsidRPr="00455109">
        <w:rPr>
          <w:lang w:val="en-GB"/>
        </w:rPr>
        <w:t>s</w:t>
      </w:r>
      <w:r w:rsidR="00852B60" w:rsidRPr="00455109">
        <w:rPr>
          <w:lang w:val="en-GB"/>
        </w:rPr>
        <w:t xml:space="preserve"> to formulate a plan for innovation, business re-organisation, adoption of new technology, all actions that create high quality jobs that are partly subsidised. The first call for proposal was announced in May 2009, whereas, the actions that will be selected will be implemented by July 2013 and will cost €3</w:t>
      </w:r>
      <w:r w:rsidR="003A6B1B" w:rsidRPr="00455109">
        <w:rPr>
          <w:lang w:val="en-GB"/>
        </w:rPr>
        <w:t xml:space="preserve"> </w:t>
      </w:r>
      <w:r w:rsidR="00852B60" w:rsidRPr="00455109">
        <w:rPr>
          <w:lang w:val="en-GB"/>
        </w:rPr>
        <w:t xml:space="preserve">mln. (See also Chapter 9 </w:t>
      </w:r>
      <w:r w:rsidR="003A6B1B" w:rsidRPr="00455109">
        <w:rPr>
          <w:lang w:val="en-GB"/>
        </w:rPr>
        <w:t>“</w:t>
      </w:r>
      <w:r w:rsidR="00852B60" w:rsidRPr="00455109">
        <w:rPr>
          <w:lang w:val="en-GB"/>
        </w:rPr>
        <w:t>Employment and Skills</w:t>
      </w:r>
      <w:r w:rsidR="003A6B1B" w:rsidRPr="00455109">
        <w:rPr>
          <w:lang w:val="en-GB"/>
        </w:rPr>
        <w:t>”</w:t>
      </w:r>
      <w:r w:rsidR="00852B60" w:rsidRPr="00455109">
        <w:rPr>
          <w:lang w:val="en-GB"/>
        </w:rPr>
        <w:t>).</w:t>
      </w:r>
    </w:p>
    <w:p w:rsidR="00852B60" w:rsidRPr="00455109" w:rsidRDefault="00852B60" w:rsidP="00852B60">
      <w:pPr>
        <w:jc w:val="both"/>
        <w:rPr>
          <w:lang w:val="en-GB"/>
        </w:rPr>
      </w:pPr>
    </w:p>
    <w:p w:rsidR="00852B60" w:rsidRPr="00455109" w:rsidRDefault="00602DA7" w:rsidP="001D09A7">
      <w:pPr>
        <w:pStyle w:val="ListParagraph"/>
        <w:numPr>
          <w:ilvl w:val="0"/>
          <w:numId w:val="31"/>
        </w:numPr>
        <w:ind w:left="284" w:hanging="284"/>
        <w:jc w:val="both"/>
        <w:rPr>
          <w:rFonts w:eastAsia="Arial Unicode MS"/>
        </w:rPr>
      </w:pPr>
      <w:r w:rsidRPr="00455109">
        <w:rPr>
          <w:rFonts w:eastAsia="Arial Unicode MS"/>
          <w:b/>
        </w:rPr>
        <w:t>Scheme for grants to strengthen the competitiveness of SMEs in the manufacturing sector</w:t>
      </w:r>
      <w:r w:rsidR="00455109" w:rsidRPr="00455109">
        <w:rPr>
          <w:rFonts w:eastAsia="Arial Unicode MS"/>
        </w:rPr>
        <w:t xml:space="preserve">: </w:t>
      </w:r>
      <w:r w:rsidR="00852B60" w:rsidRPr="00455109">
        <w:rPr>
          <w:rFonts w:eastAsia="Arial Unicode MS"/>
        </w:rPr>
        <w:t xml:space="preserve">The scheme aims at the financial support of the </w:t>
      </w:r>
      <w:r w:rsidR="00D46F6E" w:rsidRPr="00455109">
        <w:rPr>
          <w:rFonts w:eastAsia="Arial Unicode MS"/>
        </w:rPr>
        <w:t xml:space="preserve">companies in the </w:t>
      </w:r>
      <w:r w:rsidR="00852B60" w:rsidRPr="00455109">
        <w:rPr>
          <w:rFonts w:eastAsia="Arial Unicode MS"/>
        </w:rPr>
        <w:t xml:space="preserve">manufacturing sector in order to upgrade their technology and to promote innovation. </w:t>
      </w:r>
      <w:r w:rsidR="003A6B1B" w:rsidRPr="00455109">
        <w:rPr>
          <w:rFonts w:eastAsia="Arial Unicode MS"/>
        </w:rPr>
        <w:t>The t</w:t>
      </w:r>
      <w:r w:rsidR="00852B60" w:rsidRPr="00455109">
        <w:rPr>
          <w:rFonts w:eastAsia="Arial Unicode MS"/>
        </w:rPr>
        <w:t xml:space="preserve">otal budget is </w:t>
      </w:r>
      <w:r w:rsidR="003A6B1B" w:rsidRPr="00455109">
        <w:rPr>
          <w:rFonts w:eastAsia="Arial Unicode MS"/>
        </w:rPr>
        <w:t>€</w:t>
      </w:r>
      <w:r w:rsidR="00852B60" w:rsidRPr="00455109">
        <w:rPr>
          <w:rFonts w:eastAsia="Arial Unicode MS"/>
        </w:rPr>
        <w:t xml:space="preserve">23 mln for the programming period 2007-2013 (co-financed by Structural </w:t>
      </w:r>
      <w:r w:rsidR="006F7942" w:rsidRPr="00455109">
        <w:rPr>
          <w:rFonts w:eastAsia="Arial Unicode MS"/>
        </w:rPr>
        <w:t>F</w:t>
      </w:r>
      <w:r w:rsidR="00852B60" w:rsidRPr="00455109">
        <w:rPr>
          <w:rFonts w:eastAsia="Arial Unicode MS"/>
        </w:rPr>
        <w:t xml:space="preserve">unds (85%) and the Republic of Cyprus (15%)). </w:t>
      </w:r>
    </w:p>
    <w:p w:rsidR="00852B60" w:rsidRPr="007A7801" w:rsidRDefault="00852B60" w:rsidP="00852B60">
      <w:pPr>
        <w:jc w:val="both"/>
        <w:rPr>
          <w:rFonts w:eastAsia="Arial Unicode MS"/>
        </w:rPr>
      </w:pPr>
    </w:p>
    <w:p w:rsidR="00BB6138" w:rsidRDefault="00BB6138" w:rsidP="001D09A7">
      <w:pPr>
        <w:pStyle w:val="ListParagraph"/>
        <w:numPr>
          <w:ilvl w:val="0"/>
          <w:numId w:val="31"/>
        </w:numPr>
        <w:ind w:left="284" w:hanging="284"/>
        <w:jc w:val="both"/>
        <w:rPr>
          <w:rFonts w:eastAsia="Arial Unicode MS"/>
          <w:b/>
        </w:rPr>
        <w:sectPr w:rsidR="00BB6138" w:rsidSect="00316E34">
          <w:headerReference w:type="default" r:id="rId40"/>
          <w:type w:val="continuous"/>
          <w:pgSz w:w="12240" w:h="15840"/>
          <w:pgMar w:top="1560" w:right="1440" w:bottom="1296" w:left="1440" w:header="720" w:footer="720" w:gutter="0"/>
          <w:cols w:space="720"/>
          <w:titlePg/>
          <w:docGrid w:linePitch="360"/>
        </w:sectPr>
      </w:pPr>
    </w:p>
    <w:p w:rsidR="00731D68" w:rsidRPr="00455109" w:rsidRDefault="00602DA7" w:rsidP="00455109">
      <w:pPr>
        <w:pStyle w:val="ListParagraph"/>
        <w:numPr>
          <w:ilvl w:val="0"/>
          <w:numId w:val="31"/>
        </w:numPr>
        <w:ind w:left="284" w:hanging="284"/>
        <w:jc w:val="both"/>
        <w:rPr>
          <w:rFonts w:eastAsia="Arial Unicode MS"/>
        </w:rPr>
      </w:pPr>
      <w:r w:rsidRPr="00455109">
        <w:rPr>
          <w:rFonts w:eastAsia="Arial Unicode MS"/>
          <w:b/>
        </w:rPr>
        <w:lastRenderedPageBreak/>
        <w:t>Schemes for the enhancement of women and youth entrepreneurship</w:t>
      </w:r>
      <w:r w:rsidR="00455109" w:rsidRPr="00455109">
        <w:rPr>
          <w:rFonts w:eastAsia="Arial Unicode MS"/>
          <w:b/>
        </w:rPr>
        <w:t xml:space="preserve">: </w:t>
      </w:r>
      <w:r w:rsidR="00852B60" w:rsidRPr="00455109">
        <w:rPr>
          <w:rFonts w:eastAsia="Arial Unicode MS"/>
        </w:rPr>
        <w:t>The schemes aim to the financial support of women and young people who wish to engage in the sectors of manufacturing or in specific activities in commerce, services and tourism. Total budget for the programming period 2007-2013 is €11 mln. This amount will be co</w:t>
      </w:r>
      <w:r w:rsidR="00D46F6E" w:rsidRPr="00455109">
        <w:rPr>
          <w:rFonts w:eastAsia="Arial Unicode MS"/>
        </w:rPr>
        <w:t>-</w:t>
      </w:r>
      <w:r w:rsidR="00852B60" w:rsidRPr="00455109">
        <w:rPr>
          <w:rFonts w:eastAsia="Arial Unicode MS"/>
        </w:rPr>
        <w:t xml:space="preserve">financed, 85% by the Structural </w:t>
      </w:r>
      <w:r w:rsidR="006F7942" w:rsidRPr="00455109">
        <w:rPr>
          <w:rFonts w:eastAsia="Arial Unicode MS"/>
        </w:rPr>
        <w:t>F</w:t>
      </w:r>
      <w:r w:rsidR="00852B60" w:rsidRPr="00455109">
        <w:rPr>
          <w:rFonts w:eastAsia="Arial Unicode MS"/>
        </w:rPr>
        <w:t xml:space="preserve">unds of the EU and 15% by </w:t>
      </w:r>
      <w:r w:rsidR="006F7942" w:rsidRPr="00455109">
        <w:rPr>
          <w:rFonts w:eastAsia="Arial Unicode MS"/>
        </w:rPr>
        <w:t>the Republic of Cyprus</w:t>
      </w:r>
      <w:r w:rsidR="00852B60" w:rsidRPr="00455109">
        <w:rPr>
          <w:rFonts w:eastAsia="Arial Unicode MS"/>
        </w:rPr>
        <w:t>. The implementing</w:t>
      </w:r>
      <w:r w:rsidR="00852B60" w:rsidRPr="00455109">
        <w:rPr>
          <w:rFonts w:eastAsia="Arial Unicode MS"/>
          <w:b/>
        </w:rPr>
        <w:t xml:space="preserve"> </w:t>
      </w:r>
      <w:r w:rsidR="00852B60" w:rsidRPr="00455109">
        <w:rPr>
          <w:rFonts w:eastAsia="Arial Unicode MS"/>
        </w:rPr>
        <w:t>authority is the Ministry of Commerce Industry and Tourism</w:t>
      </w:r>
      <w:r w:rsidR="00D46F6E" w:rsidRPr="00455109">
        <w:rPr>
          <w:rFonts w:eastAsia="Arial Unicode MS"/>
        </w:rPr>
        <w:t xml:space="preserve"> (</w:t>
      </w:r>
      <w:r w:rsidR="003344FB" w:rsidRPr="00455109">
        <w:rPr>
          <w:rFonts w:eastAsia="Arial Unicode MS"/>
        </w:rPr>
        <w:t>MCIT</w:t>
      </w:r>
      <w:r w:rsidR="00D46F6E" w:rsidRPr="00455109">
        <w:rPr>
          <w:rFonts w:eastAsia="Arial Unicode MS"/>
        </w:rPr>
        <w:t>)</w:t>
      </w:r>
      <w:r w:rsidR="003344FB" w:rsidRPr="00455109">
        <w:rPr>
          <w:rFonts w:eastAsia="Arial Unicode MS"/>
        </w:rPr>
        <w:t>.</w:t>
      </w:r>
    </w:p>
    <w:p w:rsidR="00852B60" w:rsidRPr="00455109" w:rsidRDefault="00852B60" w:rsidP="00283CBA">
      <w:pPr>
        <w:ind w:left="284" w:hanging="284"/>
        <w:jc w:val="both"/>
        <w:rPr>
          <w:rFonts w:eastAsia="Arial Unicode MS"/>
        </w:rPr>
      </w:pPr>
    </w:p>
    <w:p w:rsidR="00731D68" w:rsidRPr="00455109" w:rsidRDefault="00602DA7" w:rsidP="00455109">
      <w:pPr>
        <w:pStyle w:val="ListParagraph"/>
        <w:numPr>
          <w:ilvl w:val="0"/>
          <w:numId w:val="31"/>
        </w:numPr>
        <w:ind w:left="284" w:hanging="284"/>
        <w:jc w:val="both"/>
        <w:rPr>
          <w:rFonts w:eastAsia="Arial Unicode MS"/>
        </w:rPr>
      </w:pPr>
      <w:r w:rsidRPr="00455109">
        <w:rPr>
          <w:rFonts w:eastAsia="Arial Unicode MS"/>
          <w:b/>
          <w:bCs/>
        </w:rPr>
        <w:t>Grant scheme for the modernisation of units for the manufacturing and trading of agricultural and forestry products</w:t>
      </w:r>
      <w:r w:rsidR="00455109" w:rsidRPr="00455109">
        <w:rPr>
          <w:rFonts w:eastAsia="Arial Unicode MS"/>
          <w:b/>
          <w:bCs/>
        </w:rPr>
        <w:t xml:space="preserve">: </w:t>
      </w:r>
      <w:r w:rsidR="00852B60" w:rsidRPr="00455109">
        <w:rPr>
          <w:rFonts w:eastAsia="Arial Unicode MS"/>
        </w:rPr>
        <w:t xml:space="preserve">The scheme aims at the financial support </w:t>
      </w:r>
      <w:r w:rsidR="00D46F6E" w:rsidRPr="00455109">
        <w:rPr>
          <w:rFonts w:eastAsia="Arial Unicode MS"/>
        </w:rPr>
        <w:t xml:space="preserve">of </w:t>
      </w:r>
      <w:r w:rsidR="00852B60" w:rsidRPr="00455109">
        <w:rPr>
          <w:rFonts w:eastAsia="Arial Unicode MS"/>
        </w:rPr>
        <w:t>enterprises operating in the sectors of manufacturing</w:t>
      </w:r>
      <w:r w:rsidR="00852B60" w:rsidRPr="00455109">
        <w:rPr>
          <w:rFonts w:eastAsia="Arial Unicode MS"/>
          <w:bCs/>
        </w:rPr>
        <w:t xml:space="preserve"> and trading of agricultural and forestry products</w:t>
      </w:r>
      <w:r w:rsidR="00D46F6E" w:rsidRPr="00455109">
        <w:rPr>
          <w:rFonts w:eastAsia="Arial Unicode MS"/>
          <w:bCs/>
        </w:rPr>
        <w:t>,</w:t>
      </w:r>
      <w:r w:rsidR="00852B60" w:rsidRPr="00455109">
        <w:rPr>
          <w:rFonts w:eastAsia="Arial Unicode MS"/>
        </w:rPr>
        <w:t xml:space="preserve"> in order to invest in new machinery/equipment and the transfer of know-how. The scheme </w:t>
      </w:r>
      <w:r w:rsidR="00882354" w:rsidRPr="00455109">
        <w:rPr>
          <w:rFonts w:eastAsia="Arial Unicode MS"/>
        </w:rPr>
        <w:t xml:space="preserve">aims at </w:t>
      </w:r>
      <w:r w:rsidR="00852B60" w:rsidRPr="00455109">
        <w:rPr>
          <w:rFonts w:eastAsia="Arial Unicode MS"/>
        </w:rPr>
        <w:t xml:space="preserve">the creation of new and viable SMEs as well as the creation of new jobs especially in rural </w:t>
      </w:r>
      <w:r w:rsidR="00852B60" w:rsidRPr="00455109">
        <w:rPr>
          <w:rFonts w:eastAsia="Arial Unicode MS"/>
        </w:rPr>
        <w:lastRenderedPageBreak/>
        <w:t xml:space="preserve">areas. The </w:t>
      </w:r>
      <w:r w:rsidR="00882354" w:rsidRPr="00455109">
        <w:rPr>
          <w:rFonts w:eastAsia="Arial Unicode MS"/>
        </w:rPr>
        <w:t>s</w:t>
      </w:r>
      <w:r w:rsidR="00852B60" w:rsidRPr="00455109">
        <w:rPr>
          <w:rFonts w:eastAsia="Arial Unicode MS"/>
        </w:rPr>
        <w:t xml:space="preserve">cheme will be financed by the European Agricultural Fund by 50%. The total budget for the programming period 2007-13 is €24 mln. </w:t>
      </w:r>
    </w:p>
    <w:p w:rsidR="00852B60" w:rsidRPr="00455109" w:rsidRDefault="00852B60" w:rsidP="00283CBA">
      <w:pPr>
        <w:ind w:left="284" w:hanging="284"/>
        <w:jc w:val="both"/>
        <w:rPr>
          <w:rFonts w:eastAsia="Arial Unicode MS"/>
        </w:rPr>
      </w:pPr>
    </w:p>
    <w:p w:rsidR="00731D68" w:rsidRPr="00455109" w:rsidRDefault="00602DA7" w:rsidP="00455109">
      <w:pPr>
        <w:pStyle w:val="ListParagraph"/>
        <w:numPr>
          <w:ilvl w:val="0"/>
          <w:numId w:val="31"/>
        </w:numPr>
        <w:ind w:left="284" w:hanging="284"/>
        <w:jc w:val="both"/>
        <w:rPr>
          <w:lang w:val="en-GB"/>
        </w:rPr>
      </w:pPr>
      <w:r w:rsidRPr="00455109">
        <w:rPr>
          <w:b/>
        </w:rPr>
        <w:t>Tourism Strategy 2011-2015</w:t>
      </w:r>
      <w:r w:rsidR="00455109" w:rsidRPr="00455109">
        <w:rPr>
          <w:b/>
        </w:rPr>
        <w:t xml:space="preserve">: </w:t>
      </w:r>
      <w:r w:rsidR="00455109" w:rsidRPr="00695001">
        <w:t>I</w:t>
      </w:r>
      <w:r w:rsidR="00852B60" w:rsidRPr="007A7801">
        <w:t>t aims at the enrichment, upgrading, modernisation, and enhancement of the tourist</w:t>
      </w:r>
      <w:r w:rsidR="00882354">
        <w:t>-</w:t>
      </w:r>
      <w:r w:rsidR="00852B60" w:rsidRPr="007A7801">
        <w:t>product and services, within the scope of sustainable tourism development.  It focuses on marketing, product development and quality-value added and is in line with the directions of the Commission Communication 352/2010, and its four axes in particular. Emphasis is given on (a) shaping-up a multi-dimensional tourist offer, (b) actions towards increasing accessibility and the use of electronic marketing, (c) enhancing the regional dimension by redefining the role of the regional tourism bodies</w:t>
      </w:r>
      <w:r w:rsidR="0093090A">
        <w:t>,</w:t>
      </w:r>
      <w:r w:rsidR="00852B60" w:rsidRPr="007A7801">
        <w:t xml:space="preserve"> </w:t>
      </w:r>
      <w:r w:rsidR="00852B60" w:rsidRPr="00455109">
        <w:rPr>
          <w:lang w:val="en-GB"/>
        </w:rPr>
        <w:t xml:space="preserve">(d) maximising the potential for funding opportunities from EU structural and other funds for tourism actions. </w:t>
      </w:r>
    </w:p>
    <w:p w:rsidR="00852B60" w:rsidRPr="007A7801" w:rsidRDefault="00852B60" w:rsidP="00283CBA">
      <w:pPr>
        <w:ind w:left="284" w:hanging="284"/>
        <w:jc w:val="both"/>
      </w:pPr>
    </w:p>
    <w:p w:rsidR="00852B60" w:rsidRPr="007A7801" w:rsidRDefault="00852B60" w:rsidP="00283CBA">
      <w:pPr>
        <w:ind w:left="284" w:hanging="284"/>
        <w:jc w:val="both"/>
      </w:pPr>
    </w:p>
    <w:p w:rsidR="00731D68" w:rsidRPr="00695001" w:rsidRDefault="00602DA7" w:rsidP="00695001">
      <w:pPr>
        <w:pStyle w:val="ListParagraph"/>
        <w:numPr>
          <w:ilvl w:val="0"/>
          <w:numId w:val="31"/>
        </w:numPr>
        <w:autoSpaceDE w:val="0"/>
        <w:autoSpaceDN w:val="0"/>
        <w:adjustRightInd w:val="0"/>
        <w:ind w:left="284" w:hanging="284"/>
        <w:jc w:val="both"/>
        <w:rPr>
          <w:rFonts w:eastAsia="Arial Unicode MS"/>
          <w:color w:val="000000"/>
        </w:rPr>
      </w:pPr>
      <w:r w:rsidRPr="00695001">
        <w:rPr>
          <w:rFonts w:eastAsia="Arial Unicode MS"/>
          <w:b/>
          <w:color w:val="000000"/>
        </w:rPr>
        <w:t>Attracting Increased Foreign Investment</w:t>
      </w:r>
      <w:r w:rsidR="00695001" w:rsidRPr="00695001">
        <w:rPr>
          <w:rFonts w:eastAsia="Arial Unicode MS"/>
          <w:b/>
          <w:color w:val="000000"/>
        </w:rPr>
        <w:t xml:space="preserve">: </w:t>
      </w:r>
      <w:r w:rsidR="00852B60" w:rsidRPr="00695001">
        <w:rPr>
          <w:rFonts w:eastAsia="Arial Unicode MS"/>
          <w:color w:val="000000"/>
        </w:rPr>
        <w:t xml:space="preserve">The Government in its effort to </w:t>
      </w:r>
      <w:r w:rsidR="00852B60" w:rsidRPr="00695001">
        <w:rPr>
          <w:rStyle w:val="shorttext"/>
          <w:rFonts w:eastAsia="Arial Unicode MS"/>
        </w:rPr>
        <w:t xml:space="preserve">promote Cyprus as </w:t>
      </w:r>
      <w:r w:rsidR="00852B60" w:rsidRPr="00695001">
        <w:rPr>
          <w:rStyle w:val="Strong"/>
          <w:rFonts w:eastAsia="Arial Unicode MS"/>
          <w:b w:val="0"/>
        </w:rPr>
        <w:t>an attractive international investment centre</w:t>
      </w:r>
      <w:r w:rsidR="0093090A" w:rsidRPr="00695001">
        <w:rPr>
          <w:rStyle w:val="Strong"/>
          <w:rFonts w:eastAsia="Arial Unicode MS"/>
          <w:b w:val="0"/>
        </w:rPr>
        <w:t>,</w:t>
      </w:r>
      <w:r w:rsidR="00852B60" w:rsidRPr="00695001">
        <w:rPr>
          <w:rStyle w:val="Strong"/>
          <w:rFonts w:eastAsia="Arial Unicode MS"/>
          <w:b w:val="0"/>
        </w:rPr>
        <w:t xml:space="preserve"> created the Cyprus Investment Promotion Agency (CIPA), which </w:t>
      </w:r>
      <w:r w:rsidR="00852B60" w:rsidRPr="00695001">
        <w:rPr>
          <w:rFonts w:eastAsia="Arial Unicode MS"/>
          <w:color w:val="000000"/>
        </w:rPr>
        <w:t>contributes to the promotion of Cyprus as an international investment and business centre</w:t>
      </w:r>
      <w:r w:rsidR="0093090A" w:rsidRPr="00695001">
        <w:rPr>
          <w:rFonts w:eastAsia="Arial Unicode MS"/>
          <w:color w:val="000000"/>
        </w:rPr>
        <w:t>. T</w:t>
      </w:r>
      <w:r w:rsidR="00852B60" w:rsidRPr="00695001">
        <w:rPr>
          <w:rFonts w:eastAsia="Arial Unicode MS"/>
          <w:color w:val="000000"/>
        </w:rPr>
        <w:t xml:space="preserve">he Agency also places Cyprus on the international business radar screen as a competitive regional hub in a wide range of sectors, thereby facilitating foreign investment in these sectors. CIPA is committed to providing extensive assistance to foreign companies and individuals who wish to invest in Cyprus, and to providing aftercare services to foreign companies already established in Cyprus. </w:t>
      </w:r>
    </w:p>
    <w:p w:rsidR="00075431" w:rsidRDefault="00075431" w:rsidP="000A72FC">
      <w:pPr>
        <w:rPr>
          <w:rFonts w:eastAsia="Arial Unicode MS"/>
          <w:b/>
          <w:u w:val="single"/>
        </w:rPr>
      </w:pPr>
    </w:p>
    <w:p w:rsidR="00695001" w:rsidRDefault="00695001" w:rsidP="000A72FC">
      <w:pPr>
        <w:rPr>
          <w:rFonts w:eastAsia="Arial Unicode MS"/>
          <w:b/>
          <w:u w:val="single"/>
        </w:rPr>
        <w:sectPr w:rsidR="00695001" w:rsidSect="00326D6D">
          <w:headerReference w:type="first" r:id="rId41"/>
          <w:type w:val="continuous"/>
          <w:pgSz w:w="12240" w:h="15840"/>
          <w:pgMar w:top="1560" w:right="1440" w:bottom="1296" w:left="1440" w:header="720" w:footer="720" w:gutter="0"/>
          <w:cols w:space="720"/>
          <w:titlePg/>
          <w:docGrid w:linePitch="360"/>
        </w:sectPr>
      </w:pPr>
    </w:p>
    <w:p w:rsidR="00695001" w:rsidRDefault="00695001" w:rsidP="000A72FC">
      <w:pPr>
        <w:rPr>
          <w:rFonts w:eastAsia="Arial Unicode MS"/>
          <w:b/>
          <w:u w:val="single"/>
        </w:rPr>
        <w:sectPr w:rsidR="00695001" w:rsidSect="00326D6D">
          <w:type w:val="continuous"/>
          <w:pgSz w:w="12240" w:h="15840"/>
          <w:pgMar w:top="1560" w:right="1440" w:bottom="1296" w:left="1440" w:header="720" w:footer="720" w:gutter="0"/>
          <w:cols w:space="720"/>
          <w:titlePg/>
          <w:docGrid w:linePitch="360"/>
        </w:sectPr>
      </w:pPr>
    </w:p>
    <w:p w:rsidR="00852B60" w:rsidRPr="007A7801" w:rsidRDefault="00852B60" w:rsidP="000A72FC">
      <w:pPr>
        <w:rPr>
          <w:rFonts w:eastAsia="Arial Unicode MS"/>
          <w:b/>
          <w:u w:val="single"/>
        </w:rPr>
      </w:pPr>
      <w:r w:rsidRPr="007A7801">
        <w:rPr>
          <w:rFonts w:eastAsia="Arial Unicode MS"/>
          <w:b/>
          <w:u w:val="single"/>
        </w:rPr>
        <w:lastRenderedPageBreak/>
        <w:t xml:space="preserve">Improving the Efficiency of the Public sector </w:t>
      </w:r>
    </w:p>
    <w:p w:rsidR="00852B60" w:rsidRPr="007A7801" w:rsidRDefault="00852B60" w:rsidP="00852B60">
      <w:pPr>
        <w:jc w:val="both"/>
        <w:rPr>
          <w:rFonts w:eastAsia="Arial Unicode MS"/>
          <w:b/>
          <w:u w:val="single"/>
        </w:rPr>
      </w:pPr>
      <w:r w:rsidRPr="007A7801">
        <w:rPr>
          <w:rFonts w:eastAsia="Arial Unicode MS"/>
          <w:b/>
          <w:u w:val="single"/>
        </w:rPr>
        <w:t xml:space="preserve"> </w:t>
      </w:r>
    </w:p>
    <w:p w:rsidR="00731D68" w:rsidRPr="00695001" w:rsidRDefault="00852B60" w:rsidP="00695001">
      <w:pPr>
        <w:pStyle w:val="ListParagraph"/>
        <w:numPr>
          <w:ilvl w:val="0"/>
          <w:numId w:val="32"/>
        </w:numPr>
        <w:autoSpaceDE w:val="0"/>
        <w:autoSpaceDN w:val="0"/>
        <w:adjustRightInd w:val="0"/>
        <w:ind w:left="284" w:hanging="284"/>
        <w:jc w:val="both"/>
        <w:rPr>
          <w:rFonts w:eastAsia="Arial Unicode MS"/>
        </w:rPr>
      </w:pPr>
      <w:r w:rsidRPr="00695001">
        <w:rPr>
          <w:rFonts w:eastAsia="Arial Unicode MS"/>
          <w:b/>
          <w:color w:val="000000"/>
        </w:rPr>
        <w:t>Better Regulation</w:t>
      </w:r>
      <w:r w:rsidR="00695001" w:rsidRPr="00695001">
        <w:rPr>
          <w:rFonts w:eastAsia="Arial Unicode MS"/>
          <w:b/>
          <w:color w:val="000000"/>
        </w:rPr>
        <w:t>:</w:t>
      </w:r>
      <w:r w:rsidR="00695001">
        <w:rPr>
          <w:rFonts w:eastAsia="Arial Unicode MS"/>
          <w:b/>
          <w:color w:val="000000"/>
        </w:rPr>
        <w:t xml:space="preserve"> </w:t>
      </w:r>
      <w:r w:rsidRPr="00695001">
        <w:rPr>
          <w:rFonts w:eastAsia="Arial Unicode MS"/>
        </w:rPr>
        <w:t xml:space="preserve">A National Action Plan has been set </w:t>
      </w:r>
      <w:r w:rsidR="00FE49F8">
        <w:rPr>
          <w:rFonts w:eastAsia="Arial Unicode MS"/>
        </w:rPr>
        <w:t xml:space="preserve">up </w:t>
      </w:r>
      <w:r w:rsidRPr="00695001">
        <w:rPr>
          <w:rFonts w:eastAsia="Arial Unicode MS"/>
        </w:rPr>
        <w:t>for the reduction of the administrative burden (</w:t>
      </w:r>
      <w:r w:rsidRPr="00695001">
        <w:rPr>
          <w:rFonts w:eastAsia="Arial Unicode MS"/>
          <w:lang w:val="el-GR"/>
        </w:rPr>
        <w:t>ΑΒ</w:t>
      </w:r>
      <w:r w:rsidRPr="00695001">
        <w:rPr>
          <w:rFonts w:eastAsia="Arial Unicode MS"/>
        </w:rPr>
        <w:t>) on national legislation by 20% by 2012. A project for the reduction of AB in all existing legislation relating to enterprises, with emphasis on national priority areas is currently being implemented, using the methodology of the Standard Cost Model. With the completion of the project, Cyprus will be able to undertake reforms to meet its EU commitment for achieving its national target of 20% reduction of AB in national legislation, by 2012.  A simplified mechanism for impact assessment, through a standardised questionnaire revised in July 2009, is in force. The implementing authority is the Ministry of Finance.</w:t>
      </w:r>
    </w:p>
    <w:p w:rsidR="00852B60" w:rsidRPr="007A7801" w:rsidRDefault="00852B60" w:rsidP="00283CBA">
      <w:pPr>
        <w:tabs>
          <w:tab w:val="center" w:pos="4770"/>
        </w:tabs>
        <w:ind w:left="284" w:hanging="284"/>
        <w:jc w:val="both"/>
        <w:rPr>
          <w:rFonts w:eastAsia="Arial Unicode MS"/>
          <w:b/>
        </w:rPr>
      </w:pPr>
    </w:p>
    <w:p w:rsidR="00731D68" w:rsidRPr="00695001" w:rsidRDefault="00852B60" w:rsidP="00695001">
      <w:pPr>
        <w:pStyle w:val="ListParagraph"/>
        <w:numPr>
          <w:ilvl w:val="0"/>
          <w:numId w:val="32"/>
        </w:numPr>
        <w:autoSpaceDE w:val="0"/>
        <w:autoSpaceDN w:val="0"/>
        <w:adjustRightInd w:val="0"/>
        <w:ind w:left="284" w:hanging="284"/>
        <w:jc w:val="both"/>
        <w:rPr>
          <w:color w:val="000000"/>
        </w:rPr>
      </w:pPr>
      <w:r w:rsidRPr="00695001">
        <w:rPr>
          <w:rFonts w:eastAsia="Arial Unicode MS"/>
          <w:b/>
        </w:rPr>
        <w:t>Electronic Public Procurement System (e-PS)</w:t>
      </w:r>
      <w:r w:rsidR="00695001" w:rsidRPr="00695001">
        <w:rPr>
          <w:rFonts w:eastAsia="Arial Unicode MS"/>
          <w:b/>
        </w:rPr>
        <w:t>:</w:t>
      </w:r>
      <w:r w:rsidR="00695001">
        <w:rPr>
          <w:rFonts w:eastAsia="Arial Unicode MS"/>
          <w:b/>
        </w:rPr>
        <w:t xml:space="preserve"> </w:t>
      </w:r>
      <w:r w:rsidRPr="00695001">
        <w:rPr>
          <w:rFonts w:eastAsia="Arial Unicode MS"/>
        </w:rPr>
        <w:t xml:space="preserve">The Government in its effort to create a helpful and user-friendly website regarding the </w:t>
      </w:r>
      <w:r w:rsidR="001806D5" w:rsidRPr="00695001">
        <w:rPr>
          <w:rFonts w:eastAsia="Arial Unicode MS"/>
        </w:rPr>
        <w:t>p</w:t>
      </w:r>
      <w:r w:rsidRPr="00695001">
        <w:rPr>
          <w:rFonts w:eastAsia="Arial Unicode MS"/>
        </w:rPr>
        <w:t xml:space="preserve">ublic </w:t>
      </w:r>
      <w:r w:rsidR="00695001" w:rsidRPr="00695001">
        <w:rPr>
          <w:rFonts w:eastAsia="Arial Unicode MS"/>
        </w:rPr>
        <w:t>procurement</w:t>
      </w:r>
      <w:r w:rsidRPr="00695001">
        <w:rPr>
          <w:rFonts w:eastAsia="Arial Unicode MS"/>
        </w:rPr>
        <w:t xml:space="preserve"> developed the e-procurement system (e-PS). e-PS is a secure and interoperable web-based application of the Republic of Cyprus, which constitutes a total solution for the implementation of electronic procedures in conducting public procurement competitions. The system is managed by the Public Procurement Directorate of the Treasury of the Republic of Cyprus. </w:t>
      </w:r>
      <w:r w:rsidRPr="00695001">
        <w:rPr>
          <w:b/>
          <w:color w:val="000000"/>
          <w:lang w:eastAsia="el-GR"/>
        </w:rPr>
        <w:t xml:space="preserve">Sustainable public procurement </w:t>
      </w:r>
      <w:r w:rsidRPr="00695001">
        <w:rPr>
          <w:color w:val="000000"/>
          <w:lang w:eastAsia="el-GR"/>
        </w:rPr>
        <w:t xml:space="preserve">is also promoted through the revision of the </w:t>
      </w:r>
      <w:r w:rsidRPr="00695001">
        <w:rPr>
          <w:color w:val="000000"/>
        </w:rPr>
        <w:t xml:space="preserve">National Action Plan for Green Public Procurement, which was initially adopted in 2007. Its main aim is to include environmental considerations in the public procurements so as to boost the consumption of green products and services.   </w:t>
      </w:r>
    </w:p>
    <w:p w:rsidR="00852B60" w:rsidRPr="007A7801" w:rsidRDefault="00852B60" w:rsidP="00852B60">
      <w:pPr>
        <w:autoSpaceDE w:val="0"/>
        <w:autoSpaceDN w:val="0"/>
        <w:adjustRightInd w:val="0"/>
        <w:jc w:val="both"/>
        <w:rPr>
          <w:color w:val="000000"/>
        </w:rPr>
      </w:pPr>
    </w:p>
    <w:p w:rsidR="00852B60" w:rsidRPr="007A7801" w:rsidRDefault="00852B60" w:rsidP="00852B60">
      <w:pPr>
        <w:jc w:val="both"/>
        <w:rPr>
          <w:rFonts w:eastAsia="Arial Unicode MS"/>
        </w:rPr>
      </w:pPr>
    </w:p>
    <w:p w:rsidR="00852B60" w:rsidRPr="007A7801" w:rsidRDefault="00852B60" w:rsidP="00852B60">
      <w:pPr>
        <w:rPr>
          <w:b/>
          <w:u w:val="single"/>
          <w:lang w:val="en-GB"/>
        </w:rPr>
      </w:pPr>
      <w:r w:rsidRPr="007A7801">
        <w:rPr>
          <w:b/>
          <w:u w:val="single"/>
          <w:lang w:val="en-GB"/>
        </w:rPr>
        <w:lastRenderedPageBreak/>
        <w:t>Transposition of the Services Directive into national law</w:t>
      </w:r>
    </w:p>
    <w:p w:rsidR="00852B60" w:rsidRPr="00462810" w:rsidRDefault="00852B60" w:rsidP="00852B60">
      <w:pPr>
        <w:jc w:val="both"/>
        <w:rPr>
          <w:lang w:val="en-GB"/>
        </w:rPr>
      </w:pPr>
    </w:p>
    <w:p w:rsidR="00731D68" w:rsidRPr="00695001" w:rsidRDefault="00852B60" w:rsidP="00695001">
      <w:pPr>
        <w:pStyle w:val="ListParagraph"/>
        <w:numPr>
          <w:ilvl w:val="0"/>
          <w:numId w:val="33"/>
        </w:numPr>
        <w:ind w:left="284" w:hanging="284"/>
        <w:jc w:val="both"/>
        <w:rPr>
          <w:lang w:val="en-GB"/>
        </w:rPr>
      </w:pPr>
      <w:r w:rsidRPr="00695001">
        <w:rPr>
          <w:b/>
          <w:lang w:val="en-GB"/>
        </w:rPr>
        <w:t>Adoption of the Services Directive</w:t>
      </w:r>
      <w:r w:rsidR="00695001" w:rsidRPr="00695001">
        <w:rPr>
          <w:b/>
          <w:lang w:val="en-GB"/>
        </w:rPr>
        <w:t>:</w:t>
      </w:r>
      <w:r w:rsidR="00695001">
        <w:rPr>
          <w:b/>
          <w:lang w:val="en-GB"/>
        </w:rPr>
        <w:t xml:space="preserve"> </w:t>
      </w:r>
      <w:r w:rsidRPr="00695001">
        <w:rPr>
          <w:lang w:val="en-GB"/>
        </w:rPr>
        <w:t>Cyprus has chosen to implement the Services Directive by way of a Horizontal Law, that is the law entitled “Freedom of Establishment of Service Providers and Free Movement of Services Law of 2010 (N.76(I)/2010)”, which entered into force on 16 July 2010. In addition, a number of sector-specific amending laws and regulations have been adopted, whilst some are pending before the Parliament and a small number is undergoing preparation/legal vetting with the objective to submit them to the Parliament.  The majority of amendments in sector specific legislation are not directly necessary for compliance with the Services Directive and are done mainly for the purposes of</w:t>
      </w:r>
      <w:r w:rsidR="001806D5" w:rsidRPr="00695001">
        <w:rPr>
          <w:lang w:val="en-GB"/>
        </w:rPr>
        <w:t>:</w:t>
      </w:r>
      <w:r w:rsidRPr="00695001">
        <w:rPr>
          <w:lang w:val="en-GB"/>
        </w:rPr>
        <w:t xml:space="preserve"> </w:t>
      </w:r>
      <w:r w:rsidR="001806D5" w:rsidRPr="00695001">
        <w:rPr>
          <w:lang w:val="en-GB"/>
        </w:rPr>
        <w:t>(</w:t>
      </w:r>
      <w:r w:rsidRPr="00695001">
        <w:rPr>
          <w:lang w:val="en-GB"/>
        </w:rPr>
        <w:t>a) safeguarding cohesion with the Horizontal Law, (b) introducing provisions which are allowed, but not required, by the Services Directive and (c) providing for exceptions, where this is justified, to the rules imposed by the Horizontal Law.</w:t>
      </w:r>
    </w:p>
    <w:p w:rsidR="00852B60" w:rsidRPr="007A7801" w:rsidRDefault="00852B60" w:rsidP="00283CBA">
      <w:pPr>
        <w:ind w:left="284" w:hanging="284"/>
        <w:jc w:val="both"/>
        <w:rPr>
          <w:lang w:val="en-GB"/>
        </w:rPr>
      </w:pPr>
    </w:p>
    <w:p w:rsidR="00695001" w:rsidRDefault="00695001" w:rsidP="00695001">
      <w:pPr>
        <w:pStyle w:val="ListParagraph"/>
        <w:numPr>
          <w:ilvl w:val="0"/>
          <w:numId w:val="33"/>
        </w:numPr>
        <w:ind w:left="284" w:hanging="284"/>
        <w:jc w:val="both"/>
        <w:rPr>
          <w:lang w:val="en-GB"/>
        </w:rPr>
        <w:sectPr w:rsidR="00695001" w:rsidSect="00326D6D">
          <w:type w:val="continuous"/>
          <w:pgSz w:w="12240" w:h="15840"/>
          <w:pgMar w:top="1560" w:right="1440" w:bottom="1296" w:left="1440" w:header="720" w:footer="720" w:gutter="0"/>
          <w:cols w:space="720"/>
          <w:titlePg/>
          <w:docGrid w:linePitch="360"/>
        </w:sectPr>
      </w:pPr>
      <w:r w:rsidRPr="00695001">
        <w:rPr>
          <w:b/>
          <w:lang w:val="en-GB"/>
        </w:rPr>
        <w:t xml:space="preserve">Point of Single Contact (PSC): </w:t>
      </w:r>
      <w:r w:rsidR="00852B60" w:rsidRPr="00695001">
        <w:rPr>
          <w:lang w:val="en-GB"/>
        </w:rPr>
        <w:t>The</w:t>
      </w:r>
      <w:r w:rsidR="00852B60" w:rsidRPr="007A7801">
        <w:t xml:space="preserve"> Point of Single Contact of Cyprus (PSC Cyprus) has been set up through the upgrading and expansion of the One-Stop Shop, operating under the auspices of the </w:t>
      </w:r>
      <w:r w:rsidR="003344FB">
        <w:t>MCIT</w:t>
      </w:r>
      <w:r w:rsidR="00852B60" w:rsidRPr="007A7801">
        <w:t xml:space="preserve">. </w:t>
      </w:r>
      <w:r w:rsidR="00852B60" w:rsidRPr="00695001">
        <w:rPr>
          <w:lang w:val="en-GB"/>
        </w:rPr>
        <w:t>A speciali</w:t>
      </w:r>
      <w:r w:rsidR="001806D5" w:rsidRPr="00695001">
        <w:rPr>
          <w:lang w:val="en-GB"/>
        </w:rPr>
        <w:t>s</w:t>
      </w:r>
      <w:r w:rsidR="00852B60" w:rsidRPr="00695001">
        <w:rPr>
          <w:lang w:val="en-GB"/>
        </w:rPr>
        <w:t>ed web portal has been designed and developed. The PSC Cyprus portal provides information mainly relating to procedures and formalities needed for the access to and exercise of service activities that fall within the scope of the Services Directive, including the basic procedures and formalities for setting up of a business in the Republic of Cyprus, such as income tax registration, VAT registration, Social security registration, registration of co</w:t>
      </w:r>
      <w:r w:rsidRPr="00695001">
        <w:rPr>
          <w:lang w:val="en-GB"/>
        </w:rPr>
        <w:t>mpanies, temporary residence an</w:t>
      </w:r>
      <w:r w:rsidR="00FE49F8">
        <w:rPr>
          <w:lang w:val="en-GB"/>
        </w:rPr>
        <w:t>d</w:t>
      </w:r>
      <w:r w:rsidRPr="00695001">
        <w:rPr>
          <w:lang w:val="en-GB"/>
        </w:rPr>
        <w:t xml:space="preserve"> </w:t>
      </w:r>
      <w:r w:rsidR="00852B60" w:rsidRPr="00695001">
        <w:rPr>
          <w:lang w:val="en-GB"/>
        </w:rPr>
        <w:t>employment permits.</w:t>
      </w:r>
      <w:r w:rsidR="00852B60" w:rsidRPr="007A7801">
        <w:t xml:space="preserve"> </w:t>
      </w:r>
      <w:r w:rsidR="00852B60" w:rsidRPr="00695001">
        <w:rPr>
          <w:lang w:val="en-GB"/>
        </w:rPr>
        <w:t>The electronic completion of procedures is gradually being im</w:t>
      </w:r>
      <w:r w:rsidRPr="00695001">
        <w:rPr>
          <w:lang w:val="en-GB"/>
        </w:rPr>
        <w:t>plemented. Through the personal</w:t>
      </w:r>
      <w:r>
        <w:rPr>
          <w:lang w:val="en-GB"/>
        </w:rPr>
        <w:t xml:space="preserve"> </w:t>
      </w:r>
    </w:p>
    <w:p w:rsidR="00731D68" w:rsidRPr="00695001" w:rsidRDefault="00852B60" w:rsidP="00695001">
      <w:pPr>
        <w:pStyle w:val="ListParagraph"/>
        <w:ind w:left="284"/>
        <w:jc w:val="both"/>
        <w:rPr>
          <w:lang w:val="en-GB"/>
        </w:rPr>
      </w:pPr>
      <w:r w:rsidRPr="00695001">
        <w:rPr>
          <w:lang w:val="en-GB"/>
        </w:rPr>
        <w:lastRenderedPageBreak/>
        <w:t xml:space="preserve">space, </w:t>
      </w:r>
      <w:r w:rsidRPr="007A7801">
        <w:t xml:space="preserve">accessible within the PSC Portal, registered service providers would be able to submit online applications forms </w:t>
      </w:r>
      <w:r w:rsidRPr="00695001">
        <w:rPr>
          <w:lang w:val="en-GB"/>
        </w:rPr>
        <w:t xml:space="preserve">(direct data entry), attach supporting documents and </w:t>
      </w:r>
      <w:r w:rsidR="00600B96" w:rsidRPr="00695001">
        <w:rPr>
          <w:lang w:val="en-GB"/>
        </w:rPr>
        <w:t xml:space="preserve">e-sign the whole application package, utilising the Austrian tools MOCCA and MOE, which are based on the Austrian Trusted List. </w:t>
      </w:r>
    </w:p>
    <w:p w:rsidR="00852B60" w:rsidRPr="007A7801" w:rsidRDefault="00852B60" w:rsidP="00283CBA">
      <w:pPr>
        <w:autoSpaceDE w:val="0"/>
        <w:autoSpaceDN w:val="0"/>
        <w:adjustRightInd w:val="0"/>
        <w:ind w:left="284" w:hanging="284"/>
        <w:jc w:val="both"/>
        <w:rPr>
          <w:lang w:val="en-GB"/>
        </w:rPr>
      </w:pPr>
    </w:p>
    <w:p w:rsidR="00852B60" w:rsidRPr="007A7801" w:rsidRDefault="00852B60" w:rsidP="001960BA">
      <w:pPr>
        <w:autoSpaceDE w:val="0"/>
        <w:autoSpaceDN w:val="0"/>
        <w:adjustRightInd w:val="0"/>
        <w:spacing w:before="100" w:beforeAutospacing="1" w:after="100" w:afterAutospacing="1"/>
        <w:jc w:val="both"/>
        <w:textAlignment w:val="top"/>
        <w:rPr>
          <w:b/>
          <w:color w:val="000000"/>
          <w:u w:val="single"/>
          <w:lang w:eastAsia="el-GR"/>
        </w:rPr>
      </w:pPr>
      <w:r w:rsidRPr="007A7801">
        <w:rPr>
          <w:b/>
          <w:color w:val="000000"/>
          <w:u w:val="single"/>
          <w:lang w:eastAsia="el-GR"/>
        </w:rPr>
        <w:t>Promotion of the concept of Corporate Social Responsibility (CSR)</w:t>
      </w:r>
    </w:p>
    <w:p w:rsidR="00852B60" w:rsidRPr="007A7801" w:rsidRDefault="00852B60" w:rsidP="00695001">
      <w:pPr>
        <w:autoSpaceDE w:val="0"/>
        <w:autoSpaceDN w:val="0"/>
        <w:adjustRightInd w:val="0"/>
        <w:spacing w:before="100" w:beforeAutospacing="1" w:after="100" w:afterAutospacing="1"/>
        <w:jc w:val="both"/>
        <w:textAlignment w:val="top"/>
      </w:pPr>
      <w:r w:rsidRPr="007A7801">
        <w:rPr>
          <w:color w:val="000000"/>
        </w:rPr>
        <w:t xml:space="preserve">Promoting CSR is among the priorities of the Planning Bureau as the National Coordinator for CSR. Promoted actives will comprise two priority sectors: (A) </w:t>
      </w:r>
      <w:r w:rsidRPr="007A7801">
        <w:rPr>
          <w:color w:val="000000"/>
          <w:lang w:eastAsia="el-GR"/>
        </w:rPr>
        <w:t xml:space="preserve">Promoting CSR as part of business’ sustainable development and, (B) Socially responsible actions by the </w:t>
      </w:r>
      <w:r w:rsidR="001806D5">
        <w:rPr>
          <w:color w:val="000000"/>
          <w:lang w:eastAsia="el-GR"/>
        </w:rPr>
        <w:t>G</w:t>
      </w:r>
      <w:r w:rsidRPr="007A7801">
        <w:rPr>
          <w:color w:val="000000"/>
          <w:lang w:eastAsia="el-GR"/>
        </w:rPr>
        <w:t xml:space="preserve">overnment. Furthermore, </w:t>
      </w:r>
      <w:r w:rsidRPr="007A7801">
        <w:rPr>
          <w:color w:val="000000"/>
        </w:rPr>
        <w:t>campaigns will be undertaken, in cooperation with all social partners, to inform businesses, consumers and workers concerning CSR issues and intends to</w:t>
      </w:r>
      <w:r w:rsidRPr="007A7801">
        <w:rPr>
          <w:b/>
          <w:color w:val="000000"/>
        </w:rPr>
        <w:t xml:space="preserve"> encourage accountability</w:t>
      </w:r>
      <w:r w:rsidRPr="007A7801">
        <w:rPr>
          <w:color w:val="000000"/>
        </w:rPr>
        <w:t xml:space="preserve">, namely any reference to actions of the companies in their annual reports. </w:t>
      </w:r>
      <w:bookmarkStart w:id="72" w:name="OLE_LINK1"/>
      <w:bookmarkStart w:id="73" w:name="OLE_LINK2"/>
      <w:r w:rsidRPr="007A7801">
        <w:t>The Social Excellence Awards is an annual scheme directed towards businesses of all sizes, aiming to promote equal opportunities in the workplace and work-life balance.</w:t>
      </w:r>
      <w:bookmarkEnd w:id="72"/>
      <w:bookmarkEnd w:id="73"/>
      <w:r w:rsidRPr="007A7801">
        <w:t xml:space="preserve"> Similarly, </w:t>
      </w:r>
      <w:r w:rsidRPr="007A7801">
        <w:rPr>
          <w:color w:val="000000"/>
        </w:rPr>
        <w:t xml:space="preserve">the </w:t>
      </w:r>
      <w:r w:rsidRPr="007A7801">
        <w:rPr>
          <w:b/>
          <w:color w:val="000000"/>
        </w:rPr>
        <w:t>awards of businesses</w:t>
      </w:r>
      <w:r w:rsidRPr="007A7801">
        <w:rPr>
          <w:color w:val="000000"/>
        </w:rPr>
        <w:t xml:space="preserve"> established by the Government are granted on a bi-annual basis to enterprises that promote environmental protection and sustainable development in general. </w:t>
      </w:r>
    </w:p>
    <w:p w:rsidR="00852B60" w:rsidRPr="007A7801" w:rsidRDefault="00852B60" w:rsidP="00852B60">
      <w:pPr>
        <w:rPr>
          <w:b/>
          <w:color w:val="17365D" w:themeColor="text2" w:themeShade="BF"/>
          <w:sz w:val="40"/>
          <w:szCs w:val="52"/>
        </w:rPr>
      </w:pPr>
    </w:p>
    <w:p w:rsidR="00852B60" w:rsidRPr="007A7801" w:rsidRDefault="00852B60" w:rsidP="00852B60">
      <w:pPr>
        <w:rPr>
          <w:b/>
          <w:color w:val="17365D" w:themeColor="text2" w:themeShade="BF"/>
          <w:sz w:val="40"/>
          <w:szCs w:val="52"/>
        </w:rPr>
      </w:pPr>
    </w:p>
    <w:p w:rsidR="00695001" w:rsidRDefault="00695001" w:rsidP="00C46D30">
      <w:pPr>
        <w:pStyle w:val="Heading1"/>
        <w:spacing w:before="0"/>
        <w:rPr>
          <w:rFonts w:cs="Times New Roman"/>
          <w:bCs w:val="0"/>
          <w:szCs w:val="40"/>
        </w:rPr>
        <w:sectPr w:rsidR="00695001" w:rsidSect="00326D6D">
          <w:type w:val="continuous"/>
          <w:pgSz w:w="12240" w:h="15840"/>
          <w:pgMar w:top="1560" w:right="1440" w:bottom="1296" w:left="1440" w:header="720" w:footer="720" w:gutter="0"/>
          <w:cols w:space="720"/>
          <w:titlePg/>
          <w:docGrid w:linePitch="360"/>
        </w:sectPr>
      </w:pPr>
    </w:p>
    <w:p w:rsidR="004A3BC1" w:rsidRPr="007A7801" w:rsidRDefault="004A3BC1" w:rsidP="00C46D30">
      <w:pPr>
        <w:pStyle w:val="Heading1"/>
        <w:spacing w:before="0"/>
        <w:rPr>
          <w:rFonts w:cs="Times New Roman"/>
          <w:bCs w:val="0"/>
          <w:szCs w:val="40"/>
        </w:rPr>
      </w:pPr>
      <w:bookmarkStart w:id="74" w:name="_Toc292454633"/>
      <w:r w:rsidRPr="007A7801">
        <w:rPr>
          <w:rFonts w:cs="Times New Roman"/>
          <w:bCs w:val="0"/>
          <w:szCs w:val="40"/>
        </w:rPr>
        <w:lastRenderedPageBreak/>
        <w:t>9.   EMPLOYMENT AND SKILLS</w:t>
      </w:r>
      <w:bookmarkEnd w:id="74"/>
    </w:p>
    <w:p w:rsidR="004A3BC1" w:rsidRPr="007A7801" w:rsidRDefault="004A3BC1" w:rsidP="004A3BC1">
      <w:pPr>
        <w:jc w:val="center"/>
        <w:rPr>
          <w:b/>
          <w:bCs/>
          <w:color w:val="17365D"/>
          <w:sz w:val="40"/>
          <w:szCs w:val="40"/>
        </w:rPr>
      </w:pPr>
    </w:p>
    <w:p w:rsidR="00D361C0" w:rsidRPr="007A7801" w:rsidRDefault="00D361C0" w:rsidP="004A3BC1">
      <w:pPr>
        <w:jc w:val="center"/>
        <w:rPr>
          <w:b/>
          <w:bCs/>
          <w:color w:val="17365D"/>
        </w:rPr>
      </w:pPr>
    </w:p>
    <w:tbl>
      <w:tblPr>
        <w:tblW w:w="0" w:type="auto"/>
        <w:jc w:val="center"/>
        <w:tblInd w:w="-12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B8CCE4" w:themeFill="accent1" w:themeFillTint="66"/>
        <w:tblLook w:val="00A0"/>
      </w:tblPr>
      <w:tblGrid>
        <w:gridCol w:w="9292"/>
      </w:tblGrid>
      <w:tr w:rsidR="004A3BC1" w:rsidRPr="007A7801" w:rsidTr="007A7801">
        <w:trPr>
          <w:trHeight w:val="1106"/>
          <w:jc w:val="center"/>
        </w:trPr>
        <w:tc>
          <w:tcPr>
            <w:tcW w:w="9292" w:type="dxa"/>
            <w:shd w:val="clear" w:color="auto" w:fill="B8CCE4" w:themeFill="accent1" w:themeFillTint="66"/>
            <w:vAlign w:val="center"/>
          </w:tcPr>
          <w:p w:rsidR="004A3BC1" w:rsidRPr="007A7801" w:rsidRDefault="004A3BC1" w:rsidP="001965A0">
            <w:pPr>
              <w:pStyle w:val="Default"/>
              <w:spacing w:before="120"/>
              <w:jc w:val="both"/>
              <w:rPr>
                <w:b/>
                <w:bCs/>
                <w:color w:val="365F91" w:themeColor="accent1" w:themeShade="BF"/>
                <w:sz w:val="28"/>
                <w:szCs w:val="28"/>
                <w:u w:val="single"/>
              </w:rPr>
            </w:pPr>
            <w:r w:rsidRPr="007A7801">
              <w:rPr>
                <w:b/>
                <w:bCs/>
                <w:color w:val="365F91" w:themeColor="accent1" w:themeShade="BF"/>
                <w:sz w:val="28"/>
                <w:szCs w:val="28"/>
                <w:u w:val="single"/>
              </w:rPr>
              <w:t xml:space="preserve">National target: </w:t>
            </w:r>
          </w:p>
          <w:p w:rsidR="004A3BC1" w:rsidRPr="007A7801" w:rsidRDefault="004A3BC1" w:rsidP="001965A0">
            <w:pPr>
              <w:pStyle w:val="Default"/>
              <w:spacing w:before="120"/>
              <w:jc w:val="both"/>
              <w:rPr>
                <w:b/>
                <w:bCs/>
                <w:color w:val="365F91" w:themeColor="accent1" w:themeShade="BF"/>
                <w:sz w:val="28"/>
                <w:szCs w:val="28"/>
              </w:rPr>
            </w:pPr>
            <w:r w:rsidRPr="007A7801">
              <w:rPr>
                <w:b/>
                <w:bCs/>
                <w:color w:val="365F91" w:themeColor="accent1" w:themeShade="BF"/>
                <w:sz w:val="28"/>
                <w:szCs w:val="28"/>
              </w:rPr>
              <w:t>75%-77% of the population aged 20–64 should be employed by 2020</w:t>
            </w:r>
          </w:p>
        </w:tc>
      </w:tr>
    </w:tbl>
    <w:p w:rsidR="004A3BC1" w:rsidRPr="007A7801" w:rsidRDefault="004A3BC1" w:rsidP="004A3BC1">
      <w:pPr>
        <w:pStyle w:val="Default"/>
        <w:jc w:val="both"/>
        <w:rPr>
          <w:b/>
          <w:bCs/>
          <w:i/>
          <w:iCs/>
          <w:color w:val="17365D"/>
          <w:lang w:val="en-GB"/>
        </w:rPr>
      </w:pPr>
    </w:p>
    <w:p w:rsidR="004A3BC1" w:rsidRPr="00C916DB" w:rsidRDefault="004A3BC1" w:rsidP="004A3BC1">
      <w:pPr>
        <w:pStyle w:val="Default"/>
        <w:jc w:val="both"/>
        <w:rPr>
          <w:b/>
          <w:bCs/>
          <w:i/>
          <w:iCs/>
          <w:color w:val="365F91" w:themeColor="accent1" w:themeShade="BF"/>
        </w:rPr>
      </w:pPr>
      <w:r w:rsidRPr="00C916DB">
        <w:rPr>
          <w:b/>
          <w:bCs/>
          <w:i/>
          <w:iCs/>
          <w:color w:val="365F91" w:themeColor="accent1" w:themeShade="BF"/>
          <w:lang w:val="en-GB"/>
        </w:rPr>
        <w:t>Guideline 7: “Increasing labour market participation and reducing structural unemployment”</w:t>
      </w:r>
    </w:p>
    <w:p w:rsidR="004A3BC1" w:rsidRPr="00C916DB" w:rsidRDefault="004A3BC1" w:rsidP="004A3BC1">
      <w:pPr>
        <w:pStyle w:val="Default"/>
        <w:jc w:val="both"/>
        <w:rPr>
          <w:b/>
          <w:bCs/>
          <w:i/>
          <w:iCs/>
          <w:color w:val="365F91" w:themeColor="accent1" w:themeShade="BF"/>
        </w:rPr>
      </w:pPr>
      <w:r w:rsidRPr="00C916DB">
        <w:rPr>
          <w:b/>
          <w:bCs/>
          <w:i/>
          <w:iCs/>
          <w:color w:val="365F91" w:themeColor="accent1" w:themeShade="BF"/>
          <w:lang w:val="en-GB"/>
        </w:rPr>
        <w:t>Guideline 8: “Developing a skilled workforce responding to labour market needs, promoting job quality and lifelong learning”</w:t>
      </w:r>
    </w:p>
    <w:p w:rsidR="00B80910" w:rsidRDefault="00B80910" w:rsidP="00B80910">
      <w:pPr>
        <w:pStyle w:val="Heading2"/>
        <w:spacing w:before="0"/>
        <w:rPr>
          <w:bCs w:val="0"/>
          <w:lang w:val="en-GB"/>
        </w:rPr>
      </w:pPr>
    </w:p>
    <w:p w:rsidR="004A3BC1" w:rsidRPr="007A7801" w:rsidRDefault="004A3BC1" w:rsidP="00B80910">
      <w:pPr>
        <w:pStyle w:val="Heading2"/>
        <w:spacing w:before="0"/>
        <w:rPr>
          <w:bCs w:val="0"/>
          <w:lang w:val="en-GB"/>
        </w:rPr>
      </w:pPr>
      <w:bookmarkStart w:id="75" w:name="_Toc292454634"/>
      <w:r w:rsidRPr="007A7801">
        <w:rPr>
          <w:bCs w:val="0"/>
          <w:lang w:val="en-GB"/>
        </w:rPr>
        <w:t>CURRENT SITUATION</w:t>
      </w:r>
      <w:bookmarkEnd w:id="75"/>
    </w:p>
    <w:p w:rsidR="00D361C0" w:rsidRPr="007A7801" w:rsidRDefault="00D361C0" w:rsidP="00D361C0">
      <w:pPr>
        <w:rPr>
          <w:lang w:val="en-GB"/>
        </w:rPr>
      </w:pPr>
    </w:p>
    <w:p w:rsidR="00FD1561" w:rsidRPr="007A7801" w:rsidRDefault="00FD1561" w:rsidP="00FD1561">
      <w:pPr>
        <w:pStyle w:val="1"/>
        <w:spacing w:after="240" w:line="240" w:lineRule="auto"/>
        <w:ind w:left="0"/>
        <w:jc w:val="both"/>
        <w:rPr>
          <w:rFonts w:ascii="Times New Roman" w:hAnsi="Times New Roman" w:cs="Times New Roman"/>
          <w:sz w:val="24"/>
          <w:szCs w:val="24"/>
          <w:lang w:val="en-GB"/>
        </w:rPr>
      </w:pPr>
      <w:r w:rsidRPr="007A7801">
        <w:rPr>
          <w:rFonts w:ascii="Times New Roman" w:hAnsi="Times New Roman" w:cs="Times New Roman"/>
          <w:sz w:val="24"/>
          <w:szCs w:val="24"/>
          <w:lang w:val="en-GB"/>
        </w:rPr>
        <w:t>Until the end of 2008 and for over three decades Cyprus enjoyed a GDP growth averaging around 4%</w:t>
      </w:r>
      <w:r w:rsidR="001806D5">
        <w:rPr>
          <w:rFonts w:ascii="Times New Roman" w:hAnsi="Times New Roman" w:cs="Times New Roman"/>
          <w:sz w:val="24"/>
          <w:szCs w:val="24"/>
          <w:lang w:val="en-GB"/>
        </w:rPr>
        <w:t>,</w:t>
      </w:r>
      <w:r w:rsidRPr="007A7801">
        <w:rPr>
          <w:rFonts w:ascii="Times New Roman" w:hAnsi="Times New Roman" w:cs="Times New Roman"/>
          <w:sz w:val="24"/>
          <w:szCs w:val="24"/>
          <w:lang w:val="en-GB"/>
        </w:rPr>
        <w:t xml:space="preserve"> while in 2009 due to the economic recession which hit the island’s economy</w:t>
      </w:r>
      <w:r w:rsidR="002F1DDB">
        <w:rPr>
          <w:rFonts w:ascii="Times New Roman" w:hAnsi="Times New Roman"/>
          <w:sz w:val="24"/>
          <w:szCs w:val="24"/>
          <w:lang w:val="en-GB"/>
        </w:rPr>
        <w:t xml:space="preserve"> with a delay,</w:t>
      </w:r>
      <w:r w:rsidRPr="007A7801">
        <w:rPr>
          <w:rFonts w:ascii="Times New Roman" w:hAnsi="Times New Roman" w:cs="Times New Roman"/>
          <w:sz w:val="24"/>
          <w:szCs w:val="24"/>
          <w:lang w:val="en-GB"/>
        </w:rPr>
        <w:t xml:space="preserve"> GDP contracted by 1,7% and in 2010 expanded by a mere 0,9%.  The projection for the current year is that GDP will further expand at a rate of 1,5% and at 2,5% in 2012.</w:t>
      </w:r>
    </w:p>
    <w:p w:rsidR="00FD1561" w:rsidRPr="007A7801" w:rsidRDefault="001806D5" w:rsidP="00FD1561">
      <w:pPr>
        <w:pStyle w:val="1"/>
        <w:spacing w:after="24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Due to </w:t>
      </w:r>
      <w:r w:rsidR="00FD1561" w:rsidRPr="007A7801">
        <w:rPr>
          <w:rFonts w:ascii="Times New Roman" w:hAnsi="Times New Roman" w:cs="Times New Roman"/>
          <w:sz w:val="24"/>
          <w:szCs w:val="24"/>
          <w:lang w:val="en-GB"/>
        </w:rPr>
        <w:t>the economic recession, the unemployment rate between 2008 and 2010 rose from 3,7% to 6,2% (forecast average for the year). The substantial increase in unemployment is a new and unfamiliar phenomenon for the country, which has traditionally enjoyed conditions of almost full employment.</w:t>
      </w:r>
    </w:p>
    <w:p w:rsidR="00FD1561" w:rsidRPr="007A7801" w:rsidRDefault="00FD1561" w:rsidP="00FD1561">
      <w:pPr>
        <w:pStyle w:val="1"/>
        <w:spacing w:after="240" w:line="240" w:lineRule="auto"/>
        <w:ind w:left="0"/>
        <w:jc w:val="both"/>
        <w:rPr>
          <w:rFonts w:ascii="Times New Roman" w:hAnsi="Times New Roman" w:cs="Times New Roman"/>
          <w:sz w:val="24"/>
          <w:szCs w:val="24"/>
          <w:lang w:val="en-GB"/>
        </w:rPr>
      </w:pPr>
      <w:r w:rsidRPr="007A7801">
        <w:rPr>
          <w:rFonts w:ascii="Times New Roman" w:hAnsi="Times New Roman" w:cs="Times New Roman"/>
          <w:sz w:val="24"/>
          <w:szCs w:val="24"/>
          <w:lang w:val="en-GB"/>
        </w:rPr>
        <w:t xml:space="preserve">The overall employment rate between 2009 and 2010, </w:t>
      </w:r>
      <w:r w:rsidR="0031365B">
        <w:rPr>
          <w:rFonts w:ascii="Times New Roman" w:hAnsi="Times New Roman" w:cs="Times New Roman"/>
          <w:sz w:val="24"/>
          <w:szCs w:val="24"/>
          <w:lang w:val="en-GB"/>
        </w:rPr>
        <w:t xml:space="preserve">remained </w:t>
      </w:r>
      <w:r w:rsidRPr="007A7801">
        <w:rPr>
          <w:rFonts w:ascii="Times New Roman" w:hAnsi="Times New Roman" w:cs="Times New Roman"/>
          <w:sz w:val="24"/>
          <w:szCs w:val="24"/>
          <w:lang w:val="en-GB"/>
        </w:rPr>
        <w:t>unchanged at 75,</w:t>
      </w:r>
      <w:r w:rsidR="00602DA7" w:rsidRPr="00602DA7">
        <w:rPr>
          <w:rFonts w:ascii="Times New Roman" w:hAnsi="Times New Roman" w:cs="Times New Roman"/>
          <w:sz w:val="24"/>
          <w:szCs w:val="24"/>
        </w:rPr>
        <w:t>4</w:t>
      </w:r>
      <w:r w:rsidRPr="007A7801">
        <w:rPr>
          <w:rFonts w:ascii="Times New Roman" w:hAnsi="Times New Roman" w:cs="Times New Roman"/>
          <w:sz w:val="24"/>
          <w:szCs w:val="24"/>
          <w:lang w:val="en-GB"/>
        </w:rPr>
        <w:t>%</w:t>
      </w:r>
      <w:r w:rsidR="00602DA7" w:rsidRPr="00602DA7">
        <w:rPr>
          <w:rFonts w:ascii="Times New Roman" w:hAnsi="Times New Roman" w:cs="Times New Roman"/>
          <w:sz w:val="24"/>
          <w:szCs w:val="24"/>
        </w:rPr>
        <w:t xml:space="preserve"> (</w:t>
      </w:r>
      <w:r w:rsidR="00B14006">
        <w:rPr>
          <w:rFonts w:ascii="Times New Roman" w:hAnsi="Times New Roman" w:cs="Times New Roman"/>
          <w:sz w:val="24"/>
          <w:szCs w:val="24"/>
        </w:rPr>
        <w:t>for the age group 20-64 years)</w:t>
      </w:r>
      <w:r w:rsidRPr="007A7801">
        <w:rPr>
          <w:rFonts w:ascii="Times New Roman" w:hAnsi="Times New Roman" w:cs="Times New Roman"/>
          <w:sz w:val="24"/>
          <w:szCs w:val="24"/>
          <w:lang w:val="en-GB"/>
        </w:rPr>
        <w:t>, but  is lower than the 2008 level of 76,5%</w:t>
      </w:r>
      <w:r w:rsidR="00511994">
        <w:rPr>
          <w:rFonts w:ascii="Times New Roman" w:hAnsi="Times New Roman" w:cs="Times New Roman"/>
          <w:sz w:val="24"/>
          <w:szCs w:val="24"/>
          <w:lang w:val="en-GB"/>
        </w:rPr>
        <w:t>.</w:t>
      </w:r>
    </w:p>
    <w:p w:rsidR="00326D6D" w:rsidRPr="007A7801" w:rsidRDefault="00326D6D" w:rsidP="00FD1561">
      <w:pPr>
        <w:pStyle w:val="1"/>
        <w:spacing w:after="240" w:line="240" w:lineRule="auto"/>
        <w:ind w:left="0"/>
        <w:jc w:val="both"/>
        <w:rPr>
          <w:rFonts w:ascii="Times New Roman" w:hAnsi="Times New Roman" w:cs="Times New Roman"/>
          <w:sz w:val="24"/>
          <w:szCs w:val="24"/>
          <w:lang w:val="en-GB"/>
        </w:rPr>
      </w:pPr>
    </w:p>
    <w:p w:rsidR="00C46D30" w:rsidRDefault="00C46D30" w:rsidP="00307C28">
      <w:pPr>
        <w:pStyle w:val="1"/>
        <w:spacing w:after="240" w:line="240" w:lineRule="auto"/>
        <w:ind w:left="0"/>
        <w:rPr>
          <w:rFonts w:ascii="Times New Roman" w:hAnsi="Times New Roman" w:cs="Times New Roman"/>
          <w:b/>
          <w:i/>
          <w:sz w:val="24"/>
          <w:szCs w:val="24"/>
          <w:lang w:val="en-GB"/>
        </w:rPr>
        <w:sectPr w:rsidR="00C46D30" w:rsidSect="00695001">
          <w:headerReference w:type="first" r:id="rId42"/>
          <w:pgSz w:w="12240" w:h="15840"/>
          <w:pgMar w:top="1560" w:right="1440" w:bottom="1296" w:left="1440" w:header="720" w:footer="720" w:gutter="0"/>
          <w:cols w:space="720"/>
          <w:titlePg/>
          <w:docGrid w:linePitch="360"/>
        </w:sectPr>
      </w:pPr>
    </w:p>
    <w:p w:rsidR="00731D68" w:rsidRDefault="00FD1561" w:rsidP="00695001">
      <w:pPr>
        <w:pStyle w:val="1"/>
        <w:spacing w:after="240" w:line="240" w:lineRule="auto"/>
        <w:ind w:left="0"/>
        <w:rPr>
          <w:rFonts w:ascii="Times New Roman" w:hAnsi="Times New Roman" w:cs="Times New Roman"/>
          <w:sz w:val="24"/>
          <w:szCs w:val="24"/>
          <w:lang w:val="en-GB"/>
        </w:rPr>
      </w:pPr>
      <w:r w:rsidRPr="007A7801">
        <w:rPr>
          <w:rFonts w:ascii="Times New Roman" w:hAnsi="Times New Roman" w:cs="Times New Roman"/>
          <w:b/>
          <w:i/>
          <w:sz w:val="24"/>
          <w:szCs w:val="24"/>
          <w:lang w:val="en-GB"/>
        </w:rPr>
        <w:lastRenderedPageBreak/>
        <w:t xml:space="preserve">Figure </w:t>
      </w:r>
      <w:r w:rsidR="00A34238">
        <w:rPr>
          <w:rFonts w:ascii="Times New Roman" w:hAnsi="Times New Roman" w:cs="Times New Roman"/>
          <w:b/>
          <w:i/>
          <w:sz w:val="24"/>
          <w:szCs w:val="24"/>
          <w:lang w:val="en-GB"/>
        </w:rPr>
        <w:t>8</w:t>
      </w:r>
      <w:r w:rsidRPr="007A7801">
        <w:rPr>
          <w:rFonts w:ascii="Times New Roman" w:hAnsi="Times New Roman" w:cs="Times New Roman"/>
          <w:b/>
          <w:i/>
          <w:sz w:val="24"/>
          <w:szCs w:val="24"/>
          <w:lang w:val="en-GB"/>
        </w:rPr>
        <w:t>: Employment Rate Trends, 2004-2010</w:t>
      </w:r>
      <w:r w:rsidR="00731D68">
        <w:rPr>
          <w:rFonts w:ascii="Times New Roman" w:hAnsi="Times New Roman" w:cs="Times New Roman"/>
          <w:noProof/>
          <w:sz w:val="24"/>
          <w:szCs w:val="24"/>
        </w:rPr>
        <w:drawing>
          <wp:inline distT="0" distB="0" distL="0" distR="0">
            <wp:extent cx="5457825" cy="264795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srcRect/>
                    <a:stretch>
                      <a:fillRect/>
                    </a:stretch>
                  </pic:blipFill>
                  <pic:spPr bwMode="auto">
                    <a:xfrm>
                      <a:off x="0" y="0"/>
                      <a:ext cx="5457825" cy="2647950"/>
                    </a:xfrm>
                    <a:prstGeom prst="rect">
                      <a:avLst/>
                    </a:prstGeom>
                    <a:noFill/>
                    <a:ln w="9525">
                      <a:noFill/>
                      <a:miter lim="800000"/>
                      <a:headEnd/>
                      <a:tailEnd/>
                    </a:ln>
                  </pic:spPr>
                </pic:pic>
              </a:graphicData>
            </a:graphic>
          </wp:inline>
        </w:drawing>
      </w:r>
    </w:p>
    <w:p w:rsidR="00CB49AE" w:rsidRDefault="00CB49AE" w:rsidP="00CB49AE">
      <w:pPr>
        <w:pStyle w:val="1"/>
        <w:spacing w:after="240" w:line="240" w:lineRule="auto"/>
        <w:ind w:left="0"/>
        <w:jc w:val="both"/>
        <w:rPr>
          <w:rFonts w:ascii="Times New Roman" w:hAnsi="Times New Roman" w:cs="Times New Roman"/>
          <w:sz w:val="24"/>
          <w:szCs w:val="24"/>
          <w:lang w:val="en-GB"/>
        </w:rPr>
      </w:pPr>
      <w:r w:rsidRPr="007A7801">
        <w:rPr>
          <w:rFonts w:ascii="Times New Roman" w:hAnsi="Times New Roman" w:cs="Times New Roman"/>
          <w:sz w:val="24"/>
          <w:szCs w:val="24"/>
          <w:lang w:val="en-GB"/>
        </w:rPr>
        <w:lastRenderedPageBreak/>
        <w:t>During 2009, the first year of the recession, more male than female workers lost their jobs, a phenomenon attributed to the economic downturn, which affected primarily male-dominated occupations, namely, construction</w:t>
      </w:r>
      <w:r>
        <w:rPr>
          <w:rFonts w:ascii="Times New Roman" w:hAnsi="Times New Roman" w:cs="Times New Roman"/>
          <w:sz w:val="24"/>
          <w:szCs w:val="24"/>
          <w:lang w:val="en-GB"/>
        </w:rPr>
        <w:t>,</w:t>
      </w:r>
      <w:r w:rsidRPr="002F1DDB">
        <w:rPr>
          <w:rFonts w:ascii="Times New Roman" w:hAnsi="Times New Roman"/>
          <w:sz w:val="24"/>
          <w:szCs w:val="24"/>
          <w:lang w:val="en-GB"/>
        </w:rPr>
        <w:t xml:space="preserve"> </w:t>
      </w:r>
      <w:r>
        <w:rPr>
          <w:rFonts w:ascii="Times New Roman" w:hAnsi="Times New Roman"/>
          <w:sz w:val="24"/>
          <w:szCs w:val="24"/>
          <w:lang w:val="en-GB"/>
        </w:rPr>
        <w:t>real estate</w:t>
      </w:r>
      <w:r w:rsidRPr="007A7801">
        <w:rPr>
          <w:rFonts w:ascii="Times New Roman" w:hAnsi="Times New Roman" w:cs="Times New Roman"/>
          <w:sz w:val="24"/>
          <w:szCs w:val="24"/>
          <w:lang w:val="en-GB"/>
        </w:rPr>
        <w:t xml:space="preserve"> and tourism. By the end of 2010, the unemployment rate for male workers stood at 6,</w:t>
      </w:r>
      <w:r>
        <w:rPr>
          <w:rFonts w:ascii="Times New Roman" w:hAnsi="Times New Roman" w:cs="Times New Roman"/>
          <w:sz w:val="24"/>
          <w:szCs w:val="24"/>
          <w:lang w:val="en-GB"/>
        </w:rPr>
        <w:t>0</w:t>
      </w:r>
      <w:r w:rsidRPr="007A7801">
        <w:rPr>
          <w:rFonts w:ascii="Times New Roman" w:hAnsi="Times New Roman" w:cs="Times New Roman"/>
          <w:sz w:val="24"/>
          <w:szCs w:val="24"/>
          <w:lang w:val="en-GB"/>
        </w:rPr>
        <w:t>% and for female workers at 6,</w:t>
      </w:r>
      <w:r>
        <w:rPr>
          <w:rFonts w:ascii="Times New Roman" w:hAnsi="Times New Roman" w:cs="Times New Roman"/>
          <w:sz w:val="24"/>
          <w:szCs w:val="24"/>
          <w:lang w:val="en-GB"/>
        </w:rPr>
        <w:t>4</w:t>
      </w:r>
      <w:r w:rsidRPr="007A7801">
        <w:rPr>
          <w:rFonts w:ascii="Times New Roman" w:hAnsi="Times New Roman" w:cs="Times New Roman"/>
          <w:sz w:val="24"/>
          <w:szCs w:val="24"/>
          <w:lang w:val="en-GB"/>
        </w:rPr>
        <w:t>%</w:t>
      </w:r>
      <w:r>
        <w:rPr>
          <w:rFonts w:ascii="Times New Roman" w:hAnsi="Times New Roman" w:cs="Times New Roman"/>
          <w:sz w:val="24"/>
          <w:szCs w:val="24"/>
          <w:lang w:val="en-GB"/>
        </w:rPr>
        <w:t xml:space="preserve"> (forecast average for the year),</w:t>
      </w:r>
      <w:r w:rsidRPr="007A7801">
        <w:rPr>
          <w:rFonts w:ascii="Times New Roman" w:hAnsi="Times New Roman" w:cs="Times New Roman"/>
          <w:sz w:val="24"/>
          <w:szCs w:val="24"/>
          <w:lang w:val="en-GB"/>
        </w:rPr>
        <w:t xml:space="preserve"> while the respective employment rates were 8</w:t>
      </w:r>
      <w:r>
        <w:rPr>
          <w:rFonts w:ascii="Times New Roman" w:hAnsi="Times New Roman" w:cs="Times New Roman"/>
          <w:sz w:val="24"/>
          <w:szCs w:val="24"/>
          <w:lang w:val="en-GB"/>
        </w:rPr>
        <w:t>2,9% and 68,9</w:t>
      </w:r>
      <w:r w:rsidRPr="007A7801">
        <w:rPr>
          <w:rFonts w:ascii="Times New Roman" w:hAnsi="Times New Roman" w:cs="Times New Roman"/>
          <w:sz w:val="24"/>
          <w:szCs w:val="24"/>
          <w:lang w:val="en-GB"/>
        </w:rPr>
        <w:t>% (</w:t>
      </w:r>
      <w:r>
        <w:rPr>
          <w:rFonts w:ascii="Times New Roman" w:hAnsi="Times New Roman" w:cs="Times New Roman"/>
          <w:sz w:val="24"/>
          <w:szCs w:val="24"/>
          <w:lang w:val="en-GB"/>
        </w:rPr>
        <w:t>4</w:t>
      </w:r>
      <w:r w:rsidRPr="00602DA7">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Pr="007A7801">
        <w:rPr>
          <w:rFonts w:ascii="Times New Roman" w:hAnsi="Times New Roman" w:cs="Times New Roman"/>
          <w:sz w:val="24"/>
          <w:szCs w:val="24"/>
          <w:lang w:val="en-GB"/>
        </w:rPr>
        <w:t xml:space="preserve"> quarter of 2010 for the age group of 20-64 years).</w:t>
      </w:r>
    </w:p>
    <w:p w:rsidR="00FD1561" w:rsidRPr="007A7801" w:rsidRDefault="00FD1561" w:rsidP="00FD1561">
      <w:pPr>
        <w:pStyle w:val="1"/>
        <w:spacing w:after="240" w:line="240" w:lineRule="auto"/>
        <w:ind w:left="0"/>
        <w:jc w:val="both"/>
        <w:rPr>
          <w:rFonts w:ascii="Times New Roman" w:hAnsi="Times New Roman" w:cs="Times New Roman"/>
          <w:sz w:val="24"/>
          <w:szCs w:val="24"/>
          <w:lang w:val="en-GB"/>
        </w:rPr>
      </w:pPr>
      <w:r w:rsidRPr="007A7801">
        <w:rPr>
          <w:rFonts w:ascii="Times New Roman" w:hAnsi="Times New Roman" w:cs="Times New Roman"/>
          <w:sz w:val="24"/>
          <w:szCs w:val="24"/>
          <w:lang w:val="en-GB"/>
        </w:rPr>
        <w:t xml:space="preserve">The population of the age group 15-24 is around 92.000, out of which 53.000 are “inactive”, as workforce, mainly because they are in education. The unemployment rate among the above age group reached a peak of </w:t>
      </w:r>
      <w:r w:rsidR="00B14006">
        <w:rPr>
          <w:rFonts w:ascii="Times New Roman" w:hAnsi="Times New Roman" w:cs="Times New Roman"/>
          <w:sz w:val="24"/>
          <w:szCs w:val="24"/>
          <w:lang w:val="en-GB"/>
        </w:rPr>
        <w:t>14,5</w:t>
      </w:r>
      <w:r w:rsidRPr="007A7801">
        <w:rPr>
          <w:rFonts w:ascii="Times New Roman" w:hAnsi="Times New Roman" w:cs="Times New Roman"/>
          <w:sz w:val="24"/>
          <w:szCs w:val="24"/>
          <w:lang w:val="en-GB"/>
        </w:rPr>
        <w:t xml:space="preserve">% in the </w:t>
      </w:r>
      <w:r w:rsidR="00B14006">
        <w:rPr>
          <w:rFonts w:ascii="Times New Roman" w:hAnsi="Times New Roman" w:cs="Times New Roman"/>
          <w:sz w:val="24"/>
          <w:szCs w:val="24"/>
          <w:lang w:val="en-GB"/>
        </w:rPr>
        <w:t>fourth</w:t>
      </w:r>
      <w:r w:rsidRPr="007A7801">
        <w:rPr>
          <w:rFonts w:ascii="Times New Roman" w:hAnsi="Times New Roman" w:cs="Times New Roman"/>
          <w:sz w:val="24"/>
          <w:szCs w:val="24"/>
          <w:lang w:val="en-GB"/>
        </w:rPr>
        <w:t xml:space="preserve"> quarter of 2010, while the overall average rate for the same year is expected to be </w:t>
      </w:r>
      <w:r w:rsidR="00B14006">
        <w:rPr>
          <w:rFonts w:ascii="Times New Roman" w:hAnsi="Times New Roman" w:cs="Times New Roman"/>
          <w:sz w:val="24"/>
          <w:szCs w:val="24"/>
          <w:lang w:val="en-GB"/>
        </w:rPr>
        <w:t>16,7</w:t>
      </w:r>
      <w:r w:rsidRPr="007A7801">
        <w:rPr>
          <w:rFonts w:ascii="Times New Roman" w:hAnsi="Times New Roman" w:cs="Times New Roman"/>
          <w:sz w:val="24"/>
          <w:szCs w:val="24"/>
          <w:lang w:val="en-GB"/>
        </w:rPr>
        <w:t>%, which is above that of 2008 by 4,</w:t>
      </w:r>
      <w:r w:rsidR="00B14006">
        <w:rPr>
          <w:rFonts w:ascii="Times New Roman" w:hAnsi="Times New Roman" w:cs="Times New Roman"/>
          <w:sz w:val="24"/>
          <w:szCs w:val="24"/>
          <w:lang w:val="en-GB"/>
        </w:rPr>
        <w:t>2</w:t>
      </w:r>
      <w:r w:rsidRPr="007A7801">
        <w:rPr>
          <w:rFonts w:ascii="Times New Roman" w:hAnsi="Times New Roman" w:cs="Times New Roman"/>
          <w:sz w:val="24"/>
          <w:szCs w:val="24"/>
          <w:lang w:val="en-GB"/>
        </w:rPr>
        <w:t xml:space="preserve"> p</w:t>
      </w:r>
      <w:r w:rsidR="00A34238">
        <w:rPr>
          <w:rFonts w:ascii="Times New Roman" w:hAnsi="Times New Roman" w:cs="Times New Roman"/>
          <w:sz w:val="24"/>
          <w:szCs w:val="24"/>
          <w:lang w:val="en-GB"/>
        </w:rPr>
        <w:t xml:space="preserve">ercentage </w:t>
      </w:r>
      <w:r w:rsidRPr="007A7801">
        <w:rPr>
          <w:rFonts w:ascii="Times New Roman" w:hAnsi="Times New Roman" w:cs="Times New Roman"/>
          <w:sz w:val="24"/>
          <w:szCs w:val="24"/>
          <w:lang w:val="en-GB"/>
        </w:rPr>
        <w:t>p</w:t>
      </w:r>
      <w:r w:rsidR="00A34238">
        <w:rPr>
          <w:rFonts w:ascii="Times New Roman" w:hAnsi="Times New Roman" w:cs="Times New Roman"/>
          <w:sz w:val="24"/>
          <w:szCs w:val="24"/>
          <w:lang w:val="en-GB"/>
        </w:rPr>
        <w:t>oints (pp)</w:t>
      </w:r>
      <w:r w:rsidRPr="007A7801">
        <w:rPr>
          <w:rFonts w:ascii="Times New Roman" w:hAnsi="Times New Roman" w:cs="Times New Roman"/>
          <w:sz w:val="24"/>
          <w:szCs w:val="24"/>
          <w:lang w:val="en-GB"/>
        </w:rPr>
        <w:t>.</w:t>
      </w:r>
    </w:p>
    <w:p w:rsidR="00FD1561" w:rsidRDefault="00FD1561" w:rsidP="00FD1561">
      <w:pPr>
        <w:pStyle w:val="1"/>
        <w:spacing w:after="240" w:line="240" w:lineRule="auto"/>
        <w:ind w:left="0"/>
        <w:jc w:val="both"/>
        <w:rPr>
          <w:rFonts w:ascii="Times New Roman" w:hAnsi="Times New Roman" w:cs="Times New Roman"/>
          <w:sz w:val="24"/>
          <w:szCs w:val="24"/>
          <w:lang w:val="en-GB"/>
        </w:rPr>
      </w:pPr>
      <w:r w:rsidRPr="007A7801">
        <w:rPr>
          <w:rFonts w:ascii="Times New Roman" w:hAnsi="Times New Roman" w:cs="Times New Roman"/>
          <w:sz w:val="24"/>
          <w:szCs w:val="24"/>
          <w:lang w:val="en-GB"/>
        </w:rPr>
        <w:t>According to the latest results of the Labour Force Survey (</w:t>
      </w:r>
      <w:r w:rsidR="00B14006">
        <w:rPr>
          <w:rFonts w:ascii="Times New Roman" w:hAnsi="Times New Roman" w:cs="Times New Roman"/>
          <w:sz w:val="24"/>
          <w:szCs w:val="24"/>
          <w:lang w:val="en-GB"/>
        </w:rPr>
        <w:t>4</w:t>
      </w:r>
      <w:r w:rsidR="00602DA7" w:rsidRPr="00602DA7">
        <w:rPr>
          <w:rFonts w:ascii="Times New Roman" w:hAnsi="Times New Roman" w:cs="Times New Roman"/>
          <w:sz w:val="24"/>
          <w:szCs w:val="24"/>
          <w:vertAlign w:val="superscript"/>
          <w:lang w:val="en-GB"/>
        </w:rPr>
        <w:t>th</w:t>
      </w:r>
      <w:r w:rsidR="00B14006">
        <w:rPr>
          <w:rFonts w:ascii="Times New Roman" w:hAnsi="Times New Roman" w:cs="Times New Roman"/>
          <w:sz w:val="24"/>
          <w:szCs w:val="24"/>
          <w:lang w:val="en-GB"/>
        </w:rPr>
        <w:t xml:space="preserve"> </w:t>
      </w:r>
      <w:r w:rsidRPr="007A7801">
        <w:rPr>
          <w:rFonts w:ascii="Times New Roman" w:hAnsi="Times New Roman" w:cs="Times New Roman"/>
          <w:sz w:val="24"/>
          <w:szCs w:val="24"/>
          <w:lang w:val="en-GB"/>
        </w:rPr>
        <w:t>quarter of 2010), EU nationals represent 12,</w:t>
      </w:r>
      <w:r w:rsidR="00B14006">
        <w:rPr>
          <w:rFonts w:ascii="Times New Roman" w:hAnsi="Times New Roman" w:cs="Times New Roman"/>
          <w:sz w:val="24"/>
          <w:szCs w:val="24"/>
          <w:lang w:val="en-GB"/>
        </w:rPr>
        <w:t>5</w:t>
      </w:r>
      <w:r w:rsidRPr="007A7801">
        <w:rPr>
          <w:rFonts w:ascii="Times New Roman" w:hAnsi="Times New Roman" w:cs="Times New Roman"/>
          <w:sz w:val="24"/>
          <w:szCs w:val="24"/>
          <w:lang w:val="en-GB"/>
        </w:rPr>
        <w:t xml:space="preserve">% of total employment (a </w:t>
      </w:r>
      <w:r w:rsidR="00B14006">
        <w:rPr>
          <w:rFonts w:ascii="Times New Roman" w:hAnsi="Times New Roman" w:cs="Times New Roman"/>
          <w:sz w:val="24"/>
          <w:szCs w:val="24"/>
          <w:lang w:val="en-GB"/>
        </w:rPr>
        <w:t>1</w:t>
      </w:r>
      <w:r w:rsidR="00511994">
        <w:rPr>
          <w:rFonts w:ascii="Times New Roman" w:hAnsi="Times New Roman" w:cs="Times New Roman"/>
          <w:sz w:val="24"/>
          <w:szCs w:val="24"/>
          <w:lang w:val="en-GB"/>
        </w:rPr>
        <w:t>.</w:t>
      </w:r>
      <w:r w:rsidRPr="007A7801">
        <w:rPr>
          <w:rFonts w:ascii="Times New Roman" w:hAnsi="Times New Roman" w:cs="Times New Roman"/>
          <w:sz w:val="24"/>
          <w:szCs w:val="24"/>
          <w:lang w:val="en-GB"/>
        </w:rPr>
        <w:t>7 pp increase since 2009) and third country nationals 8,</w:t>
      </w:r>
      <w:r w:rsidR="00B14006">
        <w:rPr>
          <w:rFonts w:ascii="Times New Roman" w:hAnsi="Times New Roman" w:cs="Times New Roman"/>
          <w:sz w:val="24"/>
          <w:szCs w:val="24"/>
          <w:lang w:val="en-GB"/>
        </w:rPr>
        <w:t>7</w:t>
      </w:r>
      <w:r w:rsidRPr="007A7801">
        <w:rPr>
          <w:rFonts w:ascii="Times New Roman" w:hAnsi="Times New Roman" w:cs="Times New Roman"/>
          <w:sz w:val="24"/>
          <w:szCs w:val="24"/>
          <w:lang w:val="en-GB"/>
        </w:rPr>
        <w:t>% (1.5 pp increase since 2009).  The majority of non</w:t>
      </w:r>
      <w:r w:rsidR="00A34238">
        <w:rPr>
          <w:rFonts w:ascii="Times New Roman" w:hAnsi="Times New Roman" w:cs="Times New Roman"/>
          <w:sz w:val="24"/>
          <w:szCs w:val="24"/>
          <w:lang w:val="en-GB"/>
        </w:rPr>
        <w:t>-</w:t>
      </w:r>
      <w:r w:rsidRPr="007A7801">
        <w:rPr>
          <w:rFonts w:ascii="Times New Roman" w:hAnsi="Times New Roman" w:cs="Times New Roman"/>
          <w:sz w:val="24"/>
          <w:szCs w:val="24"/>
          <w:lang w:val="en-GB"/>
        </w:rPr>
        <w:t>Cypriots in employment are either low skilled or unskilled, while the majority of third country nationals are employed as domestic workers (in private households).</w:t>
      </w:r>
    </w:p>
    <w:p w:rsidR="00B14006" w:rsidRDefault="00B14006" w:rsidP="00B14006">
      <w:pPr>
        <w:jc w:val="both"/>
        <w:rPr>
          <w:b/>
          <w:bCs/>
          <w:i/>
          <w:lang w:val="en-GB"/>
        </w:rPr>
      </w:pPr>
      <w:r w:rsidRPr="007A7801">
        <w:rPr>
          <w:b/>
          <w:bCs/>
          <w:i/>
          <w:lang w:val="en-GB"/>
        </w:rPr>
        <w:t xml:space="preserve">Figure </w:t>
      </w:r>
      <w:r>
        <w:rPr>
          <w:b/>
          <w:bCs/>
          <w:i/>
          <w:lang w:val="en-GB"/>
        </w:rPr>
        <w:t>9</w:t>
      </w:r>
      <w:r w:rsidRPr="007A7801">
        <w:rPr>
          <w:b/>
          <w:bCs/>
          <w:i/>
          <w:lang w:val="en-GB"/>
        </w:rPr>
        <w:t>: Unemployment Rate Trends, 2004-2010</w:t>
      </w:r>
    </w:p>
    <w:p w:rsidR="00B14006" w:rsidRPr="007A7801" w:rsidRDefault="00B14006" w:rsidP="00B14006">
      <w:pPr>
        <w:jc w:val="both"/>
        <w:rPr>
          <w:b/>
          <w:bCs/>
          <w:i/>
          <w:lang w:val="en-GB"/>
        </w:rPr>
      </w:pPr>
    </w:p>
    <w:p w:rsidR="00731D68" w:rsidRDefault="00731D68">
      <w:pPr>
        <w:pStyle w:val="1"/>
        <w:spacing w:after="240" w:line="240" w:lineRule="auto"/>
        <w:ind w:left="0"/>
        <w:jc w:val="center"/>
        <w:rPr>
          <w:rFonts w:ascii="Times New Roman" w:hAnsi="Times New Roman" w:cs="Times New Roman"/>
          <w:sz w:val="24"/>
          <w:szCs w:val="24"/>
          <w:lang w:val="en-GB"/>
        </w:rPr>
      </w:pPr>
      <w:r>
        <w:rPr>
          <w:rFonts w:ascii="Times New Roman" w:hAnsi="Times New Roman" w:cs="Times New Roman"/>
          <w:noProof/>
        </w:rPr>
        <w:drawing>
          <wp:inline distT="0" distB="0" distL="0" distR="0">
            <wp:extent cx="5553075" cy="250507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srcRect/>
                    <a:stretch>
                      <a:fillRect/>
                    </a:stretch>
                  </pic:blipFill>
                  <pic:spPr bwMode="auto">
                    <a:xfrm>
                      <a:off x="0" y="0"/>
                      <a:ext cx="5553075" cy="2505075"/>
                    </a:xfrm>
                    <a:prstGeom prst="rect">
                      <a:avLst/>
                    </a:prstGeom>
                    <a:noFill/>
                    <a:ln w="9525">
                      <a:noFill/>
                      <a:miter lim="800000"/>
                      <a:headEnd/>
                      <a:tailEnd/>
                    </a:ln>
                  </pic:spPr>
                </pic:pic>
              </a:graphicData>
            </a:graphic>
          </wp:inline>
        </w:drawing>
      </w:r>
    </w:p>
    <w:p w:rsidR="00326D6D" w:rsidRDefault="00326D6D" w:rsidP="00FD1561">
      <w:pPr>
        <w:pStyle w:val="1"/>
        <w:spacing w:line="240" w:lineRule="auto"/>
        <w:ind w:left="0"/>
        <w:jc w:val="both"/>
        <w:rPr>
          <w:rFonts w:ascii="Times New Roman" w:hAnsi="Times New Roman" w:cs="Times New Roman"/>
          <w:b/>
          <w:bCs/>
          <w:sz w:val="24"/>
          <w:szCs w:val="24"/>
          <w:u w:val="single"/>
          <w:lang w:val="en-GB"/>
        </w:rPr>
        <w:sectPr w:rsidR="00326D6D" w:rsidSect="00326D6D">
          <w:type w:val="continuous"/>
          <w:pgSz w:w="12240" w:h="15840"/>
          <w:pgMar w:top="1560" w:right="1440" w:bottom="1296" w:left="1440" w:header="720" w:footer="720" w:gutter="0"/>
          <w:cols w:space="720"/>
          <w:titlePg/>
          <w:docGrid w:linePitch="360"/>
        </w:sectPr>
      </w:pPr>
    </w:p>
    <w:p w:rsidR="00695001" w:rsidRDefault="00695001" w:rsidP="00FD1561">
      <w:pPr>
        <w:pStyle w:val="1"/>
        <w:spacing w:line="240" w:lineRule="auto"/>
        <w:ind w:left="0"/>
        <w:jc w:val="both"/>
        <w:rPr>
          <w:rFonts w:ascii="Times New Roman" w:hAnsi="Times New Roman" w:cs="Times New Roman"/>
          <w:b/>
          <w:bCs/>
          <w:sz w:val="24"/>
          <w:szCs w:val="24"/>
          <w:u w:val="single"/>
          <w:lang w:val="en-GB"/>
        </w:rPr>
      </w:pPr>
    </w:p>
    <w:p w:rsidR="00695001" w:rsidRDefault="00695001" w:rsidP="00FD1561">
      <w:pPr>
        <w:pStyle w:val="1"/>
        <w:spacing w:line="240" w:lineRule="auto"/>
        <w:ind w:left="0"/>
        <w:jc w:val="both"/>
        <w:rPr>
          <w:rFonts w:ascii="Times New Roman" w:hAnsi="Times New Roman" w:cs="Times New Roman"/>
          <w:b/>
          <w:bCs/>
          <w:sz w:val="24"/>
          <w:szCs w:val="24"/>
          <w:u w:val="single"/>
          <w:lang w:val="en-GB"/>
        </w:rPr>
        <w:sectPr w:rsidR="00695001" w:rsidSect="00326D6D">
          <w:type w:val="continuous"/>
          <w:pgSz w:w="12240" w:h="15840"/>
          <w:pgMar w:top="1560" w:right="1440" w:bottom="1296" w:left="1440" w:header="720" w:footer="720" w:gutter="0"/>
          <w:cols w:space="720"/>
          <w:titlePg/>
          <w:docGrid w:linePitch="360"/>
        </w:sectPr>
      </w:pPr>
    </w:p>
    <w:p w:rsidR="00FD1561" w:rsidRPr="007A7801" w:rsidRDefault="00FD1561" w:rsidP="00FD1561">
      <w:pPr>
        <w:pStyle w:val="1"/>
        <w:spacing w:line="240" w:lineRule="auto"/>
        <w:ind w:left="0"/>
        <w:jc w:val="both"/>
        <w:rPr>
          <w:rFonts w:ascii="Times New Roman" w:hAnsi="Times New Roman" w:cs="Times New Roman"/>
          <w:b/>
          <w:bCs/>
          <w:sz w:val="24"/>
          <w:szCs w:val="24"/>
          <w:u w:val="single"/>
          <w:lang w:val="en-GB"/>
        </w:rPr>
      </w:pPr>
      <w:r w:rsidRPr="007A7801">
        <w:rPr>
          <w:rFonts w:ascii="Times New Roman" w:hAnsi="Times New Roman" w:cs="Times New Roman"/>
          <w:b/>
          <w:bCs/>
          <w:sz w:val="24"/>
          <w:szCs w:val="24"/>
          <w:u w:val="single"/>
          <w:lang w:val="en-GB"/>
        </w:rPr>
        <w:lastRenderedPageBreak/>
        <w:t>Bottlenecks:</w:t>
      </w:r>
    </w:p>
    <w:p w:rsidR="00FD1561" w:rsidRPr="007A7801" w:rsidRDefault="00FD1561" w:rsidP="00FD1561">
      <w:pPr>
        <w:pStyle w:val="1"/>
        <w:spacing w:line="240" w:lineRule="auto"/>
        <w:ind w:left="0"/>
        <w:jc w:val="both"/>
        <w:rPr>
          <w:rFonts w:ascii="Times New Roman" w:hAnsi="Times New Roman" w:cs="Times New Roman"/>
          <w:b/>
          <w:bCs/>
          <w:sz w:val="24"/>
          <w:szCs w:val="24"/>
          <w:u w:val="single"/>
          <w:lang w:val="en-GB"/>
        </w:rPr>
      </w:pPr>
      <w:r w:rsidRPr="007A7801">
        <w:rPr>
          <w:rFonts w:ascii="Times New Roman" w:hAnsi="Times New Roman" w:cs="Times New Roman"/>
          <w:b/>
          <w:bCs/>
          <w:sz w:val="24"/>
          <w:szCs w:val="24"/>
          <w:u w:val="single"/>
          <w:lang w:val="en-GB"/>
        </w:rPr>
        <w:t>Labour Market Participation</w:t>
      </w:r>
    </w:p>
    <w:p w:rsidR="00FD1561" w:rsidRPr="007A7801" w:rsidRDefault="00FD1561" w:rsidP="00A073EF">
      <w:pPr>
        <w:pStyle w:val="1"/>
        <w:numPr>
          <w:ilvl w:val="0"/>
          <w:numId w:val="61"/>
        </w:numPr>
        <w:spacing w:line="240" w:lineRule="auto"/>
        <w:ind w:left="284" w:hanging="284"/>
        <w:jc w:val="both"/>
        <w:rPr>
          <w:rFonts w:ascii="Times New Roman" w:hAnsi="Times New Roman" w:cs="Times New Roman"/>
          <w:bCs/>
          <w:sz w:val="24"/>
          <w:szCs w:val="24"/>
          <w:lang w:val="en-GB"/>
        </w:rPr>
      </w:pPr>
      <w:r w:rsidRPr="007A7801">
        <w:rPr>
          <w:rFonts w:ascii="Times New Roman" w:hAnsi="Times New Roman" w:cs="Times New Roman"/>
          <w:bCs/>
          <w:sz w:val="24"/>
          <w:szCs w:val="24"/>
          <w:lang w:val="en-GB"/>
        </w:rPr>
        <w:t>Labour market participation is still considered to be low, given the challenge of ageing population. Increasing female labour market participation in order to achieve the national employment target seems to be a feasible solution, since the male participation rate is already high and difficult to increase further.</w:t>
      </w:r>
    </w:p>
    <w:p w:rsidR="00FD1561" w:rsidRPr="007A7801" w:rsidRDefault="00FD1561" w:rsidP="00A073EF">
      <w:pPr>
        <w:numPr>
          <w:ilvl w:val="0"/>
          <w:numId w:val="61"/>
        </w:numPr>
        <w:spacing w:after="200"/>
        <w:ind w:left="284" w:hanging="284"/>
        <w:jc w:val="both"/>
        <w:rPr>
          <w:spacing w:val="4"/>
          <w:lang w:val="en-GB"/>
        </w:rPr>
      </w:pPr>
      <w:r w:rsidRPr="007A7801">
        <w:rPr>
          <w:bCs/>
          <w:lang w:val="en-GB"/>
        </w:rPr>
        <w:lastRenderedPageBreak/>
        <w:t xml:space="preserve">Factors that discourage women’s labour market involvement include gender inequality of pay and persistent occupational gender segregation. </w:t>
      </w:r>
      <w:r w:rsidRPr="007A7801">
        <w:rPr>
          <w:spacing w:val="4"/>
          <w:lang w:val="en-GB"/>
        </w:rPr>
        <w:t>Gender stereotypes and traditional attitudes regarding the roles of women and men in the family and society impose further obstacles to the increase of labour supply.</w:t>
      </w:r>
    </w:p>
    <w:p w:rsidR="00FD1561" w:rsidRPr="007A7801" w:rsidRDefault="00FD1561" w:rsidP="00FD1561">
      <w:pPr>
        <w:spacing w:after="200"/>
        <w:jc w:val="both"/>
        <w:rPr>
          <w:b/>
          <w:spacing w:val="4"/>
          <w:u w:val="single"/>
          <w:lang w:val="en-GB"/>
        </w:rPr>
      </w:pPr>
    </w:p>
    <w:p w:rsidR="00FD1561" w:rsidRPr="007A7801" w:rsidRDefault="00FD1561" w:rsidP="00FD1561">
      <w:pPr>
        <w:spacing w:after="200"/>
        <w:jc w:val="both"/>
        <w:rPr>
          <w:b/>
          <w:spacing w:val="4"/>
          <w:u w:val="single"/>
          <w:lang w:val="en-GB"/>
        </w:rPr>
      </w:pPr>
      <w:r w:rsidRPr="007A7801">
        <w:rPr>
          <w:b/>
          <w:spacing w:val="4"/>
          <w:u w:val="single"/>
          <w:lang w:val="en-GB"/>
        </w:rPr>
        <w:t>Work-Life Balance</w:t>
      </w:r>
    </w:p>
    <w:p w:rsidR="00FD1561" w:rsidRPr="00B80910" w:rsidRDefault="00FD1561" w:rsidP="00A073EF">
      <w:pPr>
        <w:pStyle w:val="ListParagraph"/>
        <w:numPr>
          <w:ilvl w:val="0"/>
          <w:numId w:val="62"/>
        </w:numPr>
        <w:spacing w:after="200"/>
        <w:ind w:left="284" w:hanging="284"/>
        <w:jc w:val="both"/>
        <w:rPr>
          <w:spacing w:val="4"/>
          <w:lang w:val="en-GB"/>
        </w:rPr>
      </w:pPr>
      <w:r w:rsidRPr="00B80910">
        <w:rPr>
          <w:spacing w:val="4"/>
          <w:lang w:val="en-GB"/>
        </w:rPr>
        <w:t xml:space="preserve">Insufficient provision of high quality and affordable care facilities for children and other family dependents hinders labour market participation, especially of women. The cost of childcare in relation to average wages is relatively high while the recently restructured public transport network needs more time in order to fully cover the needs of the population.  </w:t>
      </w:r>
    </w:p>
    <w:p w:rsidR="00731D68" w:rsidRDefault="00FD1561" w:rsidP="00A073EF">
      <w:pPr>
        <w:pStyle w:val="ListParagraph"/>
        <w:numPr>
          <w:ilvl w:val="0"/>
          <w:numId w:val="62"/>
        </w:numPr>
        <w:ind w:left="284" w:hanging="284"/>
        <w:jc w:val="both"/>
        <w:rPr>
          <w:spacing w:val="4"/>
          <w:lang w:val="en-GB"/>
        </w:rPr>
      </w:pPr>
      <w:r w:rsidRPr="00B80910">
        <w:rPr>
          <w:spacing w:val="4"/>
        </w:rPr>
        <w:t>The number of people using flexible forms of employment is still very low compared to European averages and consists mainly of women, despite the efforts for promoting flexible forms of employment that started during the previous programming period 2004-2006 and continue during the current period.</w:t>
      </w:r>
    </w:p>
    <w:p w:rsidR="00731D68" w:rsidRDefault="00731D68">
      <w:pPr>
        <w:pStyle w:val="ListParagraph"/>
        <w:ind w:left="284"/>
        <w:jc w:val="both"/>
        <w:rPr>
          <w:spacing w:val="4"/>
          <w:lang w:val="en-GB"/>
        </w:rPr>
      </w:pPr>
    </w:p>
    <w:p w:rsidR="00FD1561" w:rsidRPr="007A7801" w:rsidRDefault="00FD1561" w:rsidP="00B80910">
      <w:pPr>
        <w:spacing w:after="200"/>
        <w:ind w:hanging="284"/>
        <w:jc w:val="both"/>
        <w:rPr>
          <w:b/>
          <w:spacing w:val="4"/>
          <w:u w:val="single"/>
          <w:lang w:val="en-GB"/>
        </w:rPr>
      </w:pPr>
    </w:p>
    <w:p w:rsidR="00FD1561" w:rsidRPr="007A7801" w:rsidRDefault="00FD1561" w:rsidP="00FD1561">
      <w:pPr>
        <w:spacing w:after="200"/>
        <w:jc w:val="both"/>
        <w:rPr>
          <w:b/>
          <w:spacing w:val="4"/>
          <w:u w:val="single"/>
          <w:lang w:val="en-GB"/>
        </w:rPr>
      </w:pPr>
      <w:r w:rsidRPr="007A7801">
        <w:rPr>
          <w:b/>
          <w:spacing w:val="4"/>
          <w:u w:val="single"/>
          <w:lang w:val="en-GB"/>
        </w:rPr>
        <w:t>Active Labour Market Policies</w:t>
      </w:r>
    </w:p>
    <w:p w:rsidR="006C0F6D" w:rsidRPr="00B80910" w:rsidRDefault="00FD1561" w:rsidP="00A073EF">
      <w:pPr>
        <w:pStyle w:val="ListParagraph"/>
        <w:numPr>
          <w:ilvl w:val="0"/>
          <w:numId w:val="63"/>
        </w:numPr>
        <w:spacing w:after="200"/>
        <w:ind w:left="284" w:hanging="284"/>
        <w:jc w:val="both"/>
        <w:rPr>
          <w:spacing w:val="4"/>
          <w:lang w:val="en-GB"/>
        </w:rPr>
      </w:pPr>
      <w:r w:rsidRPr="00B80910">
        <w:rPr>
          <w:spacing w:val="4"/>
          <w:lang w:val="en-GB"/>
        </w:rPr>
        <w:t>Despite the efforts for increasing the capacity of the Public Employment Services (hiring contracted staff), the triple increase in unemployment has led to compromises in the quality of service.</w:t>
      </w:r>
      <w:r w:rsidR="00307C28" w:rsidRPr="00B80910">
        <w:rPr>
          <w:spacing w:val="4"/>
          <w:lang w:val="en-GB"/>
        </w:rPr>
        <w:t xml:space="preserve"> </w:t>
      </w:r>
    </w:p>
    <w:p w:rsidR="00FD1561" w:rsidRPr="00B80910" w:rsidRDefault="00FD1561" w:rsidP="00A073EF">
      <w:pPr>
        <w:pStyle w:val="ListParagraph"/>
        <w:numPr>
          <w:ilvl w:val="0"/>
          <w:numId w:val="63"/>
        </w:numPr>
        <w:spacing w:after="200"/>
        <w:ind w:left="284" w:hanging="284"/>
        <w:jc w:val="both"/>
        <w:rPr>
          <w:spacing w:val="4"/>
          <w:lang w:val="en-GB"/>
        </w:rPr>
      </w:pPr>
      <w:r w:rsidRPr="00B80910">
        <w:rPr>
          <w:spacing w:val="4"/>
          <w:lang w:val="en-GB"/>
        </w:rPr>
        <w:t>The small size and segmentation of the labour market constitutes an obstacle to the introduction and/or prioritisation of cost effective activation measures.</w:t>
      </w:r>
    </w:p>
    <w:p w:rsidR="00FD1561" w:rsidRPr="007A7801" w:rsidRDefault="00FD1561" w:rsidP="00FD1561">
      <w:pPr>
        <w:spacing w:after="200"/>
        <w:jc w:val="both"/>
        <w:rPr>
          <w:b/>
          <w:spacing w:val="4"/>
          <w:u w:val="single"/>
          <w:lang w:val="en-GB"/>
        </w:rPr>
      </w:pPr>
    </w:p>
    <w:p w:rsidR="00FD1561" w:rsidRPr="007A7801" w:rsidRDefault="00FD1561" w:rsidP="00FD1561">
      <w:pPr>
        <w:spacing w:after="200"/>
        <w:jc w:val="both"/>
        <w:rPr>
          <w:b/>
          <w:spacing w:val="4"/>
          <w:u w:val="single"/>
          <w:lang w:val="en-GB"/>
        </w:rPr>
      </w:pPr>
      <w:r w:rsidRPr="007A7801">
        <w:rPr>
          <w:b/>
          <w:spacing w:val="4"/>
          <w:u w:val="single"/>
          <w:lang w:val="en-GB"/>
        </w:rPr>
        <w:t>Skills supply and productivity/education and training systems</w:t>
      </w:r>
    </w:p>
    <w:p w:rsidR="00FD1561" w:rsidRPr="00B80910" w:rsidRDefault="00FD1561" w:rsidP="00A073EF">
      <w:pPr>
        <w:pStyle w:val="ListParagraph"/>
        <w:numPr>
          <w:ilvl w:val="0"/>
          <w:numId w:val="64"/>
        </w:numPr>
        <w:spacing w:after="200"/>
        <w:ind w:left="284" w:hanging="284"/>
        <w:jc w:val="both"/>
        <w:rPr>
          <w:spacing w:val="4"/>
          <w:lang w:val="en-GB"/>
        </w:rPr>
      </w:pPr>
      <w:r w:rsidRPr="00B80910">
        <w:rPr>
          <w:spacing w:val="4"/>
          <w:lang w:val="en-GB"/>
        </w:rPr>
        <w:t>Although there are well-developed and flexible structures for providing training, the small size of the labour market, the limited mobility of the labour force together with the highly diversified economy</w:t>
      </w:r>
      <w:r w:rsidR="001F0FDF">
        <w:rPr>
          <w:spacing w:val="4"/>
          <w:lang w:val="en-GB"/>
        </w:rPr>
        <w:t>,</w:t>
      </w:r>
      <w:r w:rsidRPr="00B80910">
        <w:rPr>
          <w:spacing w:val="4"/>
          <w:lang w:val="en-GB"/>
        </w:rPr>
        <w:t xml:space="preserve"> limit the possibility for the provision of adequate and cost effective training opportunities.</w:t>
      </w:r>
    </w:p>
    <w:p w:rsidR="00695001" w:rsidRDefault="00695001" w:rsidP="00A073EF">
      <w:pPr>
        <w:pStyle w:val="ListParagraph"/>
        <w:numPr>
          <w:ilvl w:val="0"/>
          <w:numId w:val="64"/>
        </w:numPr>
        <w:ind w:left="284" w:hanging="284"/>
        <w:jc w:val="both"/>
        <w:rPr>
          <w:spacing w:val="4"/>
          <w:lang w:val="en-GB"/>
        </w:rPr>
        <w:sectPr w:rsidR="00695001" w:rsidSect="00326D6D">
          <w:type w:val="continuous"/>
          <w:pgSz w:w="12240" w:h="15840"/>
          <w:pgMar w:top="1560" w:right="1440" w:bottom="1296" w:left="1440" w:header="720" w:footer="720" w:gutter="0"/>
          <w:cols w:space="720"/>
          <w:titlePg/>
          <w:docGrid w:linePitch="360"/>
        </w:sectPr>
      </w:pPr>
    </w:p>
    <w:p w:rsidR="00326D6D" w:rsidRDefault="00FD1561" w:rsidP="00A073EF">
      <w:pPr>
        <w:pStyle w:val="ListParagraph"/>
        <w:numPr>
          <w:ilvl w:val="0"/>
          <w:numId w:val="64"/>
        </w:numPr>
        <w:ind w:left="284" w:hanging="284"/>
        <w:jc w:val="both"/>
        <w:rPr>
          <w:spacing w:val="4"/>
          <w:lang w:val="en-GB"/>
        </w:rPr>
        <w:sectPr w:rsidR="00326D6D" w:rsidSect="00326D6D">
          <w:type w:val="continuous"/>
          <w:pgSz w:w="12240" w:h="15840"/>
          <w:pgMar w:top="1560" w:right="1440" w:bottom="1296" w:left="1440" w:header="720" w:footer="720" w:gutter="0"/>
          <w:cols w:space="720"/>
          <w:titlePg/>
          <w:docGrid w:linePitch="360"/>
        </w:sectPr>
      </w:pPr>
      <w:r w:rsidRPr="00B80910">
        <w:rPr>
          <w:spacing w:val="4"/>
          <w:lang w:val="en-GB"/>
        </w:rPr>
        <w:lastRenderedPageBreak/>
        <w:t xml:space="preserve">The employment of low skilled or unskilled workers for almost two decades, originally from third countries and more recently from EU Member States, has resulted on the one </w:t>
      </w:r>
    </w:p>
    <w:p w:rsidR="00731D68" w:rsidRDefault="00FD1561">
      <w:pPr>
        <w:pStyle w:val="ListParagraph"/>
        <w:ind w:left="284"/>
        <w:jc w:val="both"/>
        <w:rPr>
          <w:spacing w:val="4"/>
          <w:lang w:val="en-GB"/>
        </w:rPr>
      </w:pPr>
      <w:r w:rsidRPr="00B80910">
        <w:rPr>
          <w:spacing w:val="4"/>
          <w:lang w:val="en-GB"/>
        </w:rPr>
        <w:lastRenderedPageBreak/>
        <w:t>hand in the delay of the modernisation of the local enterprises, in terms of the use of advanced technologies and new/innovative working methods and their diversification to high added value activities and on the other hand in maintaining low-skilled jobs. Non</w:t>
      </w:r>
      <w:r w:rsidR="001F0FDF">
        <w:rPr>
          <w:spacing w:val="4"/>
          <w:lang w:val="en-GB"/>
        </w:rPr>
        <w:t>-</w:t>
      </w:r>
      <w:r w:rsidRPr="00B80910">
        <w:rPr>
          <w:spacing w:val="4"/>
          <w:lang w:val="en-GB"/>
        </w:rPr>
        <w:t>Cypriots amount to 21,5% of the labour force (12,9% EU nationals and 8,6% from third countries). The large increase of foreign workers had a dampening effect on wages and kept productivity in the relevant sectors low. The large numbers of foreign workers together with the influx of asylum seekers (mainly due to the fact that the Cypr</w:t>
      </w:r>
      <w:r w:rsidR="001F0FDF">
        <w:rPr>
          <w:spacing w:val="4"/>
          <w:lang w:val="en-GB"/>
        </w:rPr>
        <w:t>iot</w:t>
      </w:r>
      <w:r w:rsidRPr="00B80910">
        <w:rPr>
          <w:spacing w:val="4"/>
          <w:lang w:val="en-GB"/>
        </w:rPr>
        <w:t xml:space="preserve"> </w:t>
      </w:r>
      <w:r w:rsidRPr="00B80910">
        <w:rPr>
          <w:spacing w:val="4"/>
          <w:lang w:val="en-GB"/>
        </w:rPr>
        <w:lastRenderedPageBreak/>
        <w:t>Government does not have effective control of the whole territory of the island) are often associated with undeclared and/or illegal employment.</w:t>
      </w:r>
    </w:p>
    <w:p w:rsidR="00731D68" w:rsidRDefault="00731D68">
      <w:pPr>
        <w:pStyle w:val="ListParagraph"/>
        <w:ind w:left="284"/>
        <w:jc w:val="both"/>
        <w:rPr>
          <w:spacing w:val="4"/>
          <w:lang w:val="en-GB"/>
        </w:rPr>
      </w:pPr>
    </w:p>
    <w:p w:rsidR="00FD1561" w:rsidRPr="00B80910" w:rsidRDefault="00FD1561" w:rsidP="00A073EF">
      <w:pPr>
        <w:pStyle w:val="ListParagraph"/>
        <w:numPr>
          <w:ilvl w:val="0"/>
          <w:numId w:val="64"/>
        </w:numPr>
        <w:spacing w:after="200"/>
        <w:ind w:left="284" w:hanging="284"/>
        <w:jc w:val="both"/>
        <w:rPr>
          <w:spacing w:val="4"/>
          <w:lang w:val="en-GB"/>
        </w:rPr>
      </w:pPr>
      <w:r w:rsidRPr="00B80910">
        <w:rPr>
          <w:spacing w:val="4"/>
          <w:lang w:val="en-GB"/>
        </w:rPr>
        <w:t>Cyprus is the third country in the world in terms of tertiary education graduates relative to its population. Yet, the economy, due to the above-described situation, does not create sufficient high-skilled jobs for university graduates and at the same time the island suffers from brain-drain (at an estimated rate of 20%). In addition, the economy is becoming greener at a very low pace.</w:t>
      </w:r>
    </w:p>
    <w:p w:rsidR="00FD1561" w:rsidRPr="00B80910" w:rsidRDefault="00FD1561" w:rsidP="00A073EF">
      <w:pPr>
        <w:pStyle w:val="ListParagraph"/>
        <w:numPr>
          <w:ilvl w:val="0"/>
          <w:numId w:val="64"/>
        </w:numPr>
        <w:spacing w:after="200"/>
        <w:ind w:left="284" w:hanging="284"/>
        <w:jc w:val="both"/>
        <w:rPr>
          <w:spacing w:val="4"/>
          <w:lang w:val="en-GB"/>
        </w:rPr>
      </w:pPr>
      <w:r w:rsidRPr="00B80910">
        <w:rPr>
          <w:spacing w:val="4"/>
          <w:lang w:val="en-GB"/>
        </w:rPr>
        <w:t>Unat</w:t>
      </w:r>
      <w:r w:rsidRPr="00B80910">
        <w:rPr>
          <w:spacing w:val="4"/>
          <w:lang w:val="en-GB"/>
        </w:rPr>
        <w:softHyphen/>
        <w:t>trac</w:t>
      </w:r>
      <w:r w:rsidRPr="00B80910">
        <w:rPr>
          <w:spacing w:val="4"/>
          <w:lang w:val="en-GB"/>
        </w:rPr>
        <w:softHyphen/>
        <w:t xml:space="preserve">tive working conditions and stereotypes lead to avoidance of certain occupations, such as technical and care-related, hence the low attractiveness of technical and vocational education.       </w:t>
      </w:r>
    </w:p>
    <w:p w:rsidR="00FD1561" w:rsidRPr="007A7801" w:rsidRDefault="00FD1561" w:rsidP="00FD1561">
      <w:pPr>
        <w:jc w:val="both"/>
        <w:rPr>
          <w:b/>
          <w:bCs/>
          <w:spacing w:val="4"/>
          <w:lang w:val="en-GB"/>
        </w:rPr>
      </w:pPr>
    </w:p>
    <w:p w:rsidR="00FD1561" w:rsidRPr="007A7801" w:rsidRDefault="00FD1561" w:rsidP="00FD1561">
      <w:pPr>
        <w:pStyle w:val="Heading2"/>
      </w:pPr>
      <w:bookmarkStart w:id="76" w:name="_Toc292454635"/>
      <w:r w:rsidRPr="007A7801">
        <w:t>KEY POLICY AREAS TO TACKLE BOTTLENECKS</w:t>
      </w:r>
      <w:bookmarkEnd w:id="76"/>
    </w:p>
    <w:p w:rsidR="00FD1561" w:rsidRPr="007A7801" w:rsidRDefault="00FD1561" w:rsidP="00FD1561">
      <w:pPr>
        <w:tabs>
          <w:tab w:val="left" w:pos="426"/>
        </w:tabs>
        <w:spacing w:after="200"/>
        <w:jc w:val="both"/>
        <w:rPr>
          <w:b/>
          <w:bCs/>
          <w:spacing w:val="4"/>
        </w:rPr>
      </w:pPr>
    </w:p>
    <w:p w:rsidR="00FD1561" w:rsidRPr="007A7801" w:rsidRDefault="00FD1561" w:rsidP="00FD1561">
      <w:pPr>
        <w:tabs>
          <w:tab w:val="left" w:pos="426"/>
        </w:tabs>
        <w:spacing w:after="200"/>
        <w:jc w:val="both"/>
        <w:rPr>
          <w:color w:val="000000"/>
          <w:spacing w:val="2"/>
          <w:lang w:val="en-GB"/>
        </w:rPr>
      </w:pPr>
      <w:r w:rsidRPr="007A7801">
        <w:rPr>
          <w:b/>
          <w:bCs/>
          <w:spacing w:val="4"/>
          <w:lang w:val="en-GB"/>
        </w:rPr>
        <w:t>Increase labour market participation</w:t>
      </w:r>
    </w:p>
    <w:p w:rsidR="00FD1561" w:rsidRPr="007A7801" w:rsidRDefault="00FD1561" w:rsidP="00FD1561">
      <w:pPr>
        <w:pStyle w:val="ListParagraph"/>
        <w:tabs>
          <w:tab w:val="left" w:pos="426"/>
        </w:tabs>
        <w:spacing w:after="180"/>
        <w:ind w:left="0"/>
        <w:jc w:val="both"/>
        <w:rPr>
          <w:bCs/>
          <w:spacing w:val="4"/>
          <w:lang w:val="en-GB"/>
        </w:rPr>
      </w:pPr>
      <w:r w:rsidRPr="007A7801">
        <w:rPr>
          <w:bCs/>
          <w:spacing w:val="4"/>
          <w:lang w:val="en-GB"/>
        </w:rPr>
        <w:t>Promote the improvement, in terms of quality and quantity, of the job matching, job searching and career guidance services for achieving rational use of the labour force and combating segmentation, facilitating at the same time the participation of specific groups such as the young and the female labour force, the low-skilled and the disadvantaged groups in the labour market and utilising education and training as a major tool for matching the economy’s needs.</w:t>
      </w:r>
    </w:p>
    <w:p w:rsidR="00FD1561" w:rsidRPr="007A7801" w:rsidRDefault="00FD1561" w:rsidP="00FD1561">
      <w:pPr>
        <w:pStyle w:val="ListParagraph"/>
        <w:tabs>
          <w:tab w:val="left" w:pos="426"/>
        </w:tabs>
        <w:spacing w:after="180"/>
        <w:ind w:left="0"/>
        <w:jc w:val="both"/>
        <w:rPr>
          <w:bCs/>
          <w:spacing w:val="4"/>
          <w:lang w:val="en-GB"/>
        </w:rPr>
      </w:pPr>
      <w:r w:rsidRPr="007A7801">
        <w:rPr>
          <w:bCs/>
          <w:spacing w:val="4"/>
          <w:lang w:val="en-GB"/>
        </w:rPr>
        <w:t xml:space="preserve">In order to increase labour supply, of women in particular, the issue of balancing work and family life will be addressed, including a scheme providing support to women to re-enter the labour market (see </w:t>
      </w:r>
      <w:r w:rsidR="00511994">
        <w:rPr>
          <w:bCs/>
          <w:spacing w:val="4"/>
          <w:lang w:val="en-GB"/>
        </w:rPr>
        <w:t xml:space="preserve">also </w:t>
      </w:r>
      <w:r w:rsidRPr="007A7801">
        <w:rPr>
          <w:bCs/>
          <w:spacing w:val="4"/>
          <w:lang w:val="en-GB"/>
        </w:rPr>
        <w:t>Chapter 10 “Fighting Poverty”).</w:t>
      </w:r>
    </w:p>
    <w:p w:rsidR="00FD1561" w:rsidRPr="007A7801" w:rsidRDefault="00FD1561" w:rsidP="00FD1561">
      <w:pPr>
        <w:tabs>
          <w:tab w:val="left" w:pos="426"/>
        </w:tabs>
        <w:spacing w:after="180"/>
        <w:jc w:val="both"/>
        <w:rPr>
          <w:color w:val="000000"/>
          <w:spacing w:val="2"/>
          <w:lang w:val="en-GB"/>
        </w:rPr>
      </w:pPr>
      <w:r w:rsidRPr="007A7801">
        <w:rPr>
          <w:spacing w:val="4"/>
          <w:lang w:val="en-GB"/>
        </w:rPr>
        <w:t xml:space="preserve">Improve management of </w:t>
      </w:r>
      <w:r w:rsidRPr="007A7801">
        <w:rPr>
          <w:bCs/>
          <w:spacing w:val="4"/>
          <w:lang w:val="en-GB"/>
        </w:rPr>
        <w:t>immigration</w:t>
      </w:r>
      <w:r w:rsidRPr="007A7801">
        <w:rPr>
          <w:b/>
          <w:bCs/>
          <w:spacing w:val="4"/>
          <w:lang w:val="en-GB"/>
        </w:rPr>
        <w:t xml:space="preserve"> </w:t>
      </w:r>
      <w:r w:rsidRPr="007A7801">
        <w:rPr>
          <w:bCs/>
          <w:spacing w:val="4"/>
          <w:lang w:val="en-GB"/>
        </w:rPr>
        <w:t>and</w:t>
      </w:r>
      <w:r w:rsidRPr="007A7801">
        <w:rPr>
          <w:b/>
          <w:bCs/>
          <w:spacing w:val="4"/>
          <w:lang w:val="en-GB"/>
        </w:rPr>
        <w:t xml:space="preserve"> </w:t>
      </w:r>
      <w:r w:rsidRPr="007A7801">
        <w:rPr>
          <w:bCs/>
          <w:spacing w:val="4"/>
          <w:lang w:val="en-GB"/>
        </w:rPr>
        <w:t>asylum</w:t>
      </w:r>
      <w:r w:rsidRPr="007A7801">
        <w:rPr>
          <w:b/>
          <w:bCs/>
          <w:spacing w:val="4"/>
          <w:lang w:val="en-GB"/>
        </w:rPr>
        <w:t xml:space="preserve"> </w:t>
      </w:r>
      <w:r w:rsidRPr="007A7801">
        <w:rPr>
          <w:bCs/>
          <w:spacing w:val="4"/>
          <w:lang w:val="en-GB"/>
        </w:rPr>
        <w:t>issues</w:t>
      </w:r>
      <w:r w:rsidRPr="007A7801">
        <w:rPr>
          <w:spacing w:val="4"/>
          <w:lang w:val="en-GB"/>
        </w:rPr>
        <w:t xml:space="preserve"> through a comprehensive immigra</w:t>
      </w:r>
      <w:r w:rsidRPr="007A7801">
        <w:rPr>
          <w:spacing w:val="4"/>
          <w:lang w:val="en-GB"/>
        </w:rPr>
        <w:softHyphen/>
        <w:t>tion and asylum policy, including the integration of legal immigrants into the society while bearing in mind the small size of the local labour market and the volatility that such small size entails and aiming to keep admission inflows to numbers and volumes corresponding to the country’s employment needs and reception capacity. Combat illegal and undeclared work associated with the large inflows of third country nationals and asylum seekers by</w:t>
      </w:r>
      <w:r w:rsidRPr="007A7801">
        <w:rPr>
          <w:color w:val="000000"/>
          <w:spacing w:val="4"/>
          <w:lang w:val="en-GB"/>
        </w:rPr>
        <w:t xml:space="preserve"> strengthening</w:t>
      </w:r>
      <w:r w:rsidRPr="007A7801">
        <w:rPr>
          <w:color w:val="000000"/>
          <w:spacing w:val="4"/>
        </w:rPr>
        <w:t xml:space="preserve"> prevention and </w:t>
      </w:r>
      <w:r w:rsidRPr="007A7801">
        <w:rPr>
          <w:spacing w:val="4"/>
          <w:lang w:val="en-GB"/>
        </w:rPr>
        <w:t xml:space="preserve">inspection mechanisms.  </w:t>
      </w:r>
    </w:p>
    <w:p w:rsidR="00307C28" w:rsidRPr="007A7801" w:rsidRDefault="00307C28" w:rsidP="00FD1561">
      <w:pPr>
        <w:tabs>
          <w:tab w:val="left" w:pos="426"/>
        </w:tabs>
        <w:spacing w:after="180"/>
        <w:jc w:val="both"/>
        <w:rPr>
          <w:b/>
          <w:color w:val="000000"/>
          <w:spacing w:val="4"/>
          <w:lang w:val="en-GB"/>
        </w:rPr>
      </w:pPr>
    </w:p>
    <w:p w:rsidR="00326D6D" w:rsidRDefault="00326D6D" w:rsidP="00FD1561">
      <w:pPr>
        <w:tabs>
          <w:tab w:val="left" w:pos="426"/>
        </w:tabs>
        <w:spacing w:after="180"/>
        <w:jc w:val="both"/>
        <w:rPr>
          <w:b/>
          <w:color w:val="000000"/>
          <w:spacing w:val="4"/>
          <w:lang w:val="en-GB"/>
        </w:rPr>
        <w:sectPr w:rsidR="00326D6D" w:rsidSect="00326D6D">
          <w:type w:val="continuous"/>
          <w:pgSz w:w="12240" w:h="15840"/>
          <w:pgMar w:top="1560" w:right="1440" w:bottom="1296" w:left="1440" w:header="720" w:footer="720" w:gutter="0"/>
          <w:cols w:space="720"/>
          <w:titlePg/>
          <w:docGrid w:linePitch="360"/>
        </w:sectPr>
      </w:pPr>
    </w:p>
    <w:p w:rsidR="00FD1561" w:rsidRPr="007A7801" w:rsidRDefault="00FD1561" w:rsidP="00FD1561">
      <w:pPr>
        <w:tabs>
          <w:tab w:val="left" w:pos="426"/>
        </w:tabs>
        <w:spacing w:after="180"/>
        <w:jc w:val="both"/>
        <w:rPr>
          <w:b/>
          <w:color w:val="000000"/>
          <w:spacing w:val="4"/>
          <w:lang w:val="en-GB"/>
        </w:rPr>
      </w:pPr>
      <w:r w:rsidRPr="007A7801">
        <w:rPr>
          <w:b/>
          <w:color w:val="000000"/>
          <w:spacing w:val="4"/>
          <w:lang w:val="en-GB"/>
        </w:rPr>
        <w:lastRenderedPageBreak/>
        <w:t>Exploit job creation possibilities</w:t>
      </w:r>
    </w:p>
    <w:p w:rsidR="00FD1561" w:rsidRPr="007A7801" w:rsidRDefault="00FD1561" w:rsidP="00FD1561">
      <w:pPr>
        <w:pStyle w:val="ListParagraph"/>
        <w:tabs>
          <w:tab w:val="left" w:pos="426"/>
        </w:tabs>
        <w:spacing w:after="180"/>
        <w:ind w:left="0"/>
        <w:jc w:val="both"/>
        <w:rPr>
          <w:color w:val="000000"/>
          <w:spacing w:val="4"/>
          <w:lang w:val="en-GB"/>
        </w:rPr>
      </w:pPr>
      <w:r w:rsidRPr="007A7801">
        <w:rPr>
          <w:color w:val="000000"/>
          <w:spacing w:val="4"/>
          <w:lang w:val="en-GB"/>
        </w:rPr>
        <w:t xml:space="preserve">Enhance the competitiveness of enterprises, improve their adaptability and increase their productivity as a means of creating more and better jobs. Exploit the potential of the economy for green jobs, white jobs and knowledge-based services not only for the purpose of increasing general demand but also for creating high-skilled jobs for the utilisation of the highly-qualified indigenous labour force.  </w:t>
      </w:r>
    </w:p>
    <w:p w:rsidR="00FD1561" w:rsidRPr="007A7801" w:rsidRDefault="00FD1561" w:rsidP="00FD1561">
      <w:pPr>
        <w:pStyle w:val="ListParagraph"/>
        <w:tabs>
          <w:tab w:val="left" w:pos="426"/>
        </w:tabs>
        <w:spacing w:after="180"/>
        <w:ind w:left="0"/>
        <w:jc w:val="both"/>
        <w:rPr>
          <w:color w:val="000000"/>
          <w:spacing w:val="4"/>
          <w:lang w:val="en-GB"/>
        </w:rPr>
      </w:pPr>
      <w:r w:rsidRPr="007A7801">
        <w:rPr>
          <w:color w:val="000000"/>
          <w:spacing w:val="4"/>
          <w:lang w:val="en-GB"/>
        </w:rPr>
        <w:lastRenderedPageBreak/>
        <w:t xml:space="preserve">Encourage entrepreneurship as a means of creating more and better jobs, and contributing to the diversification of the economy.   </w:t>
      </w:r>
    </w:p>
    <w:p w:rsidR="001960BA" w:rsidRDefault="001960BA" w:rsidP="00FD1561">
      <w:pPr>
        <w:tabs>
          <w:tab w:val="left" w:pos="426"/>
        </w:tabs>
        <w:spacing w:after="180"/>
        <w:jc w:val="both"/>
        <w:rPr>
          <w:b/>
          <w:bCs/>
          <w:color w:val="000000"/>
          <w:spacing w:val="4"/>
          <w:lang w:val="en-GB"/>
        </w:rPr>
      </w:pPr>
    </w:p>
    <w:p w:rsidR="00FD1561" w:rsidRPr="007A7801" w:rsidRDefault="00FD1561" w:rsidP="00FD1561">
      <w:pPr>
        <w:tabs>
          <w:tab w:val="left" w:pos="426"/>
        </w:tabs>
        <w:spacing w:after="180"/>
        <w:jc w:val="both"/>
        <w:rPr>
          <w:color w:val="000000"/>
          <w:spacing w:val="4"/>
          <w:lang w:val="en-GB"/>
        </w:rPr>
      </w:pPr>
      <w:r w:rsidRPr="007A7801">
        <w:rPr>
          <w:b/>
          <w:bCs/>
          <w:color w:val="000000"/>
          <w:spacing w:val="4"/>
          <w:lang w:val="en-GB"/>
        </w:rPr>
        <w:t>Improve the education and training systems</w:t>
      </w:r>
    </w:p>
    <w:p w:rsidR="00FD1561" w:rsidRPr="007A7801" w:rsidRDefault="00FD1561" w:rsidP="00FD1561">
      <w:pPr>
        <w:pStyle w:val="ListParagraph"/>
        <w:tabs>
          <w:tab w:val="left" w:pos="426"/>
        </w:tabs>
        <w:spacing w:after="180"/>
        <w:ind w:left="0"/>
        <w:jc w:val="both"/>
        <w:rPr>
          <w:b/>
          <w:color w:val="000000"/>
          <w:spacing w:val="4"/>
          <w:lang w:val="en-GB"/>
        </w:rPr>
      </w:pPr>
      <w:r w:rsidRPr="007A7801">
        <w:rPr>
          <w:bCs/>
          <w:color w:val="000000"/>
          <w:spacing w:val="4"/>
          <w:lang w:val="en-GB"/>
        </w:rPr>
        <w:t>Restructure the education system to enable it to respond more effectively to the changing work environment, improve the attractiveness of technical education and reduce the number of early school leavers. Strengthen the link between the education and training systems with labour market needs and facilitate the adaptation of the labour force skills to the labour market needs, within the lifelong learning strategy, in order to match supply and demand more effectively (see also Chapter 5 “Education”).</w:t>
      </w:r>
    </w:p>
    <w:p w:rsidR="001960BA" w:rsidRDefault="001960BA" w:rsidP="00FD1561">
      <w:pPr>
        <w:pStyle w:val="ListParagraph"/>
        <w:tabs>
          <w:tab w:val="left" w:pos="426"/>
        </w:tabs>
        <w:spacing w:after="180"/>
        <w:ind w:left="0"/>
        <w:jc w:val="both"/>
        <w:rPr>
          <w:b/>
          <w:color w:val="000000"/>
          <w:spacing w:val="4"/>
          <w:lang w:val="en-GB"/>
        </w:rPr>
      </w:pPr>
    </w:p>
    <w:p w:rsidR="00FD1561" w:rsidRPr="007A7801" w:rsidRDefault="00FD1561" w:rsidP="00FD1561">
      <w:pPr>
        <w:pStyle w:val="ListParagraph"/>
        <w:tabs>
          <w:tab w:val="left" w:pos="426"/>
        </w:tabs>
        <w:spacing w:after="180"/>
        <w:ind w:left="0"/>
        <w:jc w:val="both"/>
        <w:rPr>
          <w:b/>
          <w:bCs/>
          <w:color w:val="000000"/>
          <w:spacing w:val="4"/>
          <w:lang w:val="en-GB"/>
        </w:rPr>
      </w:pPr>
      <w:r w:rsidRPr="007A7801">
        <w:rPr>
          <w:b/>
          <w:color w:val="000000"/>
          <w:spacing w:val="4"/>
          <w:lang w:val="en-GB"/>
        </w:rPr>
        <w:t>Make work more attractive</w:t>
      </w:r>
    </w:p>
    <w:p w:rsidR="00FD1561" w:rsidRPr="007A7801" w:rsidRDefault="00FD1561" w:rsidP="00FD1561">
      <w:pPr>
        <w:pStyle w:val="ListParagraph"/>
        <w:tabs>
          <w:tab w:val="left" w:pos="426"/>
        </w:tabs>
        <w:spacing w:after="180"/>
        <w:ind w:left="0"/>
        <w:jc w:val="both"/>
        <w:rPr>
          <w:color w:val="000000"/>
          <w:spacing w:val="4"/>
          <w:lang w:val="en-GB"/>
        </w:rPr>
      </w:pPr>
      <w:r w:rsidRPr="007A7801">
        <w:rPr>
          <w:color w:val="000000"/>
          <w:spacing w:val="4"/>
          <w:lang w:val="en-GB"/>
        </w:rPr>
        <w:t>Address all forms of discrimination in the labour market, and also the gender pay gap, through comprehensive measures for tackling, in an integrated way, social, occupational and educational causes that underlie this gap and relevant discrimination. Pay also attention to the working environment, including the improved operation of health and safety committees at the workplace.</w:t>
      </w:r>
    </w:p>
    <w:p w:rsidR="00FD1561" w:rsidRPr="007A7801" w:rsidRDefault="00FD1561" w:rsidP="00FD1561">
      <w:pPr>
        <w:pStyle w:val="ListParagraph"/>
        <w:tabs>
          <w:tab w:val="left" w:pos="426"/>
        </w:tabs>
        <w:spacing w:after="180"/>
        <w:ind w:left="0"/>
        <w:jc w:val="both"/>
        <w:rPr>
          <w:color w:val="000000"/>
          <w:spacing w:val="4"/>
          <w:lang w:val="en-GB"/>
        </w:rPr>
      </w:pPr>
      <w:r w:rsidRPr="007A7801">
        <w:rPr>
          <w:color w:val="000000"/>
          <w:spacing w:val="4"/>
          <w:lang w:val="en-GB"/>
        </w:rPr>
        <w:t xml:space="preserve"> </w:t>
      </w:r>
    </w:p>
    <w:p w:rsidR="00FD1561" w:rsidRPr="007A7801" w:rsidRDefault="00FD1561" w:rsidP="00FD1561">
      <w:pPr>
        <w:pStyle w:val="Heading2"/>
        <w:rPr>
          <w:lang w:val="en-GB"/>
        </w:rPr>
      </w:pPr>
      <w:bookmarkStart w:id="77" w:name="_Toc292454636"/>
      <w:r w:rsidRPr="007A7801">
        <w:rPr>
          <w:lang w:val="en-GB"/>
        </w:rPr>
        <w:t>KEY MEASURES TO REACH TARGET AND TACKLE BOTTLENECKS</w:t>
      </w:r>
      <w:bookmarkEnd w:id="77"/>
    </w:p>
    <w:p w:rsidR="00FD1561" w:rsidRPr="007A7801" w:rsidRDefault="00FD1561" w:rsidP="00FD1561">
      <w:pPr>
        <w:rPr>
          <w:lang w:val="en-GB"/>
        </w:rPr>
      </w:pPr>
    </w:p>
    <w:p w:rsidR="00FD1561" w:rsidRPr="007A7801" w:rsidRDefault="00E578AE" w:rsidP="00FD1561">
      <w:pPr>
        <w:jc w:val="both"/>
        <w:rPr>
          <w:b/>
          <w:bCs/>
          <w:spacing w:val="4"/>
          <w:u w:val="single"/>
          <w:lang w:val="en-GB"/>
        </w:rPr>
      </w:pPr>
      <w:r>
        <w:rPr>
          <w:b/>
          <w:bCs/>
          <w:spacing w:val="4"/>
          <w:u w:val="single"/>
          <w:lang w:val="en-GB"/>
        </w:rPr>
        <w:t>1.</w:t>
      </w:r>
      <w:r w:rsidRPr="007A7801">
        <w:rPr>
          <w:b/>
          <w:bCs/>
          <w:spacing w:val="4"/>
          <w:u w:val="single"/>
          <w:lang w:val="en-GB"/>
        </w:rPr>
        <w:t xml:space="preserve"> Increase</w:t>
      </w:r>
      <w:r w:rsidR="00FD1561" w:rsidRPr="007A7801">
        <w:rPr>
          <w:b/>
          <w:bCs/>
          <w:spacing w:val="4"/>
          <w:u w:val="single"/>
          <w:lang w:val="en-GB"/>
        </w:rPr>
        <w:t xml:space="preserve"> Labour Market Participation</w:t>
      </w:r>
    </w:p>
    <w:p w:rsidR="00FD1561" w:rsidRPr="007A7801" w:rsidRDefault="00FD1561" w:rsidP="00FD1561">
      <w:pPr>
        <w:jc w:val="both"/>
        <w:rPr>
          <w:b/>
          <w:bCs/>
          <w:spacing w:val="4"/>
          <w:u w:val="single"/>
          <w:lang w:val="en-GB"/>
        </w:rPr>
      </w:pPr>
    </w:p>
    <w:p w:rsidR="00FD1561" w:rsidRPr="007A7801" w:rsidRDefault="00FD1561" w:rsidP="00FD1561">
      <w:pPr>
        <w:jc w:val="both"/>
        <w:rPr>
          <w:bCs/>
          <w:spacing w:val="4"/>
          <w:lang w:val="en-GB"/>
        </w:rPr>
      </w:pPr>
      <w:r w:rsidRPr="007A7801">
        <w:rPr>
          <w:bCs/>
          <w:spacing w:val="4"/>
          <w:lang w:val="en-GB"/>
        </w:rPr>
        <w:t>The measures planned along this policy area, to be implemented between 2009 and 2014, have a total budget of €48,4 mln and the target for the number of beneficiaries is 9.500 persons. From the above mentioned amount €37,9 mln will be drawn from the European Social Fund (ESF). The measures mentioned above are categorised in two groups as shown below:</w:t>
      </w:r>
    </w:p>
    <w:p w:rsidR="00FD1561" w:rsidRPr="007A7801" w:rsidRDefault="00FD1561" w:rsidP="00FD1561">
      <w:pPr>
        <w:jc w:val="both"/>
        <w:rPr>
          <w:bCs/>
          <w:spacing w:val="4"/>
          <w:lang w:val="en-GB"/>
        </w:rPr>
      </w:pPr>
    </w:p>
    <w:p w:rsidR="00326D6D" w:rsidRDefault="00602DA7" w:rsidP="00FD1561">
      <w:pPr>
        <w:jc w:val="both"/>
        <w:rPr>
          <w:bCs/>
          <w:spacing w:val="4"/>
          <w:lang w:val="en-GB"/>
        </w:rPr>
        <w:sectPr w:rsidR="00326D6D" w:rsidSect="00326D6D">
          <w:headerReference w:type="default" r:id="rId45"/>
          <w:type w:val="continuous"/>
          <w:pgSz w:w="12240" w:h="15840"/>
          <w:pgMar w:top="1560" w:right="1440" w:bottom="1296" w:left="1440" w:header="720" w:footer="720" w:gutter="0"/>
          <w:cols w:space="720"/>
          <w:titlePg/>
          <w:docGrid w:linePitch="360"/>
        </w:sectPr>
      </w:pPr>
      <w:r w:rsidRPr="00602DA7">
        <w:rPr>
          <w:b/>
          <w:bCs/>
          <w:spacing w:val="4"/>
          <w:lang w:val="en-GB"/>
        </w:rPr>
        <w:t>Measures introduced in response to the recent economic recession, with a three-year time-frame implementation, 2009-2011</w:t>
      </w:r>
      <w:r w:rsidR="00FD1561" w:rsidRPr="007A7801">
        <w:rPr>
          <w:bCs/>
          <w:spacing w:val="4"/>
          <w:lang w:val="en-GB"/>
        </w:rPr>
        <w:t>. The aim of these measures is to facilitate the return of the unemployed back to employment. They include (i) training schemes, aiming mainly to raise the level of their transferable skills, (ii) schemes offering assistance and guidance to employers for individualised on the job training of recruited unemployed and (iii)</w:t>
      </w:r>
      <w:r w:rsidR="006E768D">
        <w:rPr>
          <w:bCs/>
          <w:spacing w:val="4"/>
          <w:lang w:val="en-GB"/>
        </w:rPr>
        <w:t xml:space="preserve"> </w:t>
      </w:r>
      <w:r w:rsidR="00FD1561" w:rsidRPr="007A7801">
        <w:rPr>
          <w:bCs/>
          <w:spacing w:val="4"/>
          <w:lang w:val="en-GB"/>
        </w:rPr>
        <w:t>subsidised</w:t>
      </w:r>
      <w:r w:rsidR="006E768D">
        <w:rPr>
          <w:bCs/>
          <w:spacing w:val="4"/>
          <w:lang w:val="en-GB"/>
        </w:rPr>
        <w:t xml:space="preserve"> </w:t>
      </w:r>
      <w:r w:rsidR="00FD1561" w:rsidRPr="007A7801">
        <w:rPr>
          <w:bCs/>
          <w:spacing w:val="4"/>
          <w:lang w:val="en-GB"/>
        </w:rPr>
        <w:t xml:space="preserve">employment schemes targeting again the unemployed. By the end of 2010 more than 4.250 unemployed persons had participated in the above schemes/measures. </w:t>
      </w:r>
    </w:p>
    <w:p w:rsidR="00FD1561" w:rsidRPr="007A7801" w:rsidRDefault="00805202" w:rsidP="00FD1561">
      <w:pPr>
        <w:jc w:val="both"/>
        <w:rPr>
          <w:bCs/>
          <w:spacing w:val="4"/>
          <w:lang w:val="en-GB"/>
        </w:rPr>
      </w:pPr>
      <w:r w:rsidRPr="00805202">
        <w:rPr>
          <w:b/>
          <w:bCs/>
          <w:spacing w:val="4"/>
          <w:lang w:val="en-GB"/>
        </w:rPr>
        <w:lastRenderedPageBreak/>
        <w:t>Other measures</w:t>
      </w:r>
      <w:r w:rsidR="00FD1561" w:rsidRPr="007A7801">
        <w:rPr>
          <w:bCs/>
          <w:spacing w:val="4"/>
          <w:lang w:val="en-GB"/>
        </w:rPr>
        <w:t xml:space="preserve"> planned within the context of the National Employment Strategy, not directly related to the recent recession, can be subdivided into subgroups such as:</w:t>
      </w:r>
    </w:p>
    <w:p w:rsidR="00FD1561" w:rsidRPr="00B80910" w:rsidRDefault="00FD1561" w:rsidP="00A073EF">
      <w:pPr>
        <w:pStyle w:val="ListParagraph"/>
        <w:numPr>
          <w:ilvl w:val="0"/>
          <w:numId w:val="65"/>
        </w:numPr>
        <w:spacing w:before="120"/>
        <w:ind w:left="284" w:hanging="284"/>
        <w:jc w:val="both"/>
        <w:rPr>
          <w:bCs/>
          <w:spacing w:val="4"/>
          <w:lang w:val="en-GB"/>
        </w:rPr>
      </w:pPr>
      <w:r w:rsidRPr="00B80910">
        <w:rPr>
          <w:bCs/>
          <w:spacing w:val="4"/>
          <w:lang w:val="en-GB"/>
        </w:rPr>
        <w:t>Training schemes targeting the inactive women and the unemployed (with priority to the long-term unemployed) for improving their employability by raising their skills level on horizontal/transferrable skills and acquiring work experience.</w:t>
      </w:r>
    </w:p>
    <w:p w:rsidR="00FD1561" w:rsidRPr="00B80910" w:rsidRDefault="00FD1561" w:rsidP="00A073EF">
      <w:pPr>
        <w:pStyle w:val="ListParagraph"/>
        <w:numPr>
          <w:ilvl w:val="0"/>
          <w:numId w:val="65"/>
        </w:numPr>
        <w:spacing w:before="120"/>
        <w:ind w:left="284" w:hanging="284"/>
        <w:jc w:val="both"/>
        <w:rPr>
          <w:bCs/>
          <w:spacing w:val="4"/>
          <w:lang w:val="en-GB"/>
        </w:rPr>
      </w:pPr>
      <w:r w:rsidRPr="00B80910">
        <w:rPr>
          <w:bCs/>
          <w:spacing w:val="4"/>
          <w:lang w:val="en-GB"/>
        </w:rPr>
        <w:lastRenderedPageBreak/>
        <w:t xml:space="preserve">In company/on the job training programmes targeting employed persons and organised by individual enterprises in order to satisfy their specialised needs. More than 44.000 employed people participate in these programmes every year.  </w:t>
      </w:r>
    </w:p>
    <w:p w:rsidR="00FD1561" w:rsidRPr="00B80910" w:rsidRDefault="006E768D" w:rsidP="00A073EF">
      <w:pPr>
        <w:pStyle w:val="ListParagraph"/>
        <w:numPr>
          <w:ilvl w:val="0"/>
          <w:numId w:val="65"/>
        </w:numPr>
        <w:spacing w:before="120"/>
        <w:ind w:left="284" w:hanging="284"/>
        <w:jc w:val="both"/>
        <w:rPr>
          <w:bCs/>
          <w:spacing w:val="4"/>
          <w:lang w:val="en-GB"/>
        </w:rPr>
      </w:pPr>
      <w:r>
        <w:rPr>
          <w:bCs/>
          <w:spacing w:val="4"/>
          <w:lang w:val="en-GB"/>
        </w:rPr>
        <w:t>A s</w:t>
      </w:r>
      <w:r w:rsidR="00FD1561" w:rsidRPr="00B80910">
        <w:rPr>
          <w:bCs/>
          <w:spacing w:val="4"/>
          <w:lang w:val="en-GB"/>
        </w:rPr>
        <w:t>cheme for the facilitation of employment and training of young tertiary graduates, which provides placement and on the job (in company) training of the specific target group.</w:t>
      </w:r>
    </w:p>
    <w:p w:rsidR="00FD1561" w:rsidRPr="00B80910" w:rsidRDefault="00FD1561" w:rsidP="00A073EF">
      <w:pPr>
        <w:pStyle w:val="ListParagraph"/>
        <w:numPr>
          <w:ilvl w:val="0"/>
          <w:numId w:val="65"/>
        </w:numPr>
        <w:spacing w:before="120"/>
        <w:ind w:left="284" w:hanging="284"/>
        <w:jc w:val="both"/>
        <w:rPr>
          <w:bCs/>
          <w:spacing w:val="4"/>
          <w:lang w:val="en-GB"/>
        </w:rPr>
      </w:pPr>
      <w:r w:rsidRPr="00B80910">
        <w:rPr>
          <w:bCs/>
          <w:spacing w:val="4"/>
          <w:lang w:val="en-GB"/>
        </w:rPr>
        <w:t>Subsidised employment schemes targeting disabled and vulnerable people, including the youth, the 50+ and the long</w:t>
      </w:r>
      <w:r w:rsidR="00607105">
        <w:rPr>
          <w:bCs/>
          <w:spacing w:val="4"/>
          <w:lang w:val="en-GB"/>
        </w:rPr>
        <w:t>-</w:t>
      </w:r>
      <w:r w:rsidRPr="00B80910">
        <w:rPr>
          <w:bCs/>
          <w:spacing w:val="4"/>
          <w:lang w:val="en-GB"/>
        </w:rPr>
        <w:t>term unemployed.</w:t>
      </w:r>
    </w:p>
    <w:p w:rsidR="00FD1561" w:rsidRPr="00B80910" w:rsidRDefault="00FD1561" w:rsidP="00A073EF">
      <w:pPr>
        <w:pStyle w:val="ListParagraph"/>
        <w:numPr>
          <w:ilvl w:val="0"/>
          <w:numId w:val="65"/>
        </w:numPr>
        <w:spacing w:before="120"/>
        <w:ind w:left="284" w:hanging="284"/>
        <w:jc w:val="both"/>
        <w:rPr>
          <w:bCs/>
          <w:spacing w:val="4"/>
          <w:lang w:val="en-GB"/>
        </w:rPr>
      </w:pPr>
      <w:r w:rsidRPr="00B80910">
        <w:rPr>
          <w:bCs/>
          <w:spacing w:val="4"/>
          <w:lang w:val="en-GB"/>
        </w:rPr>
        <w:t>Promotion of flexible forms of employment, as a means of attracting into the labour market those who choose to stay away from the labour market because normal working arrangements are an obstacle.</w:t>
      </w:r>
    </w:p>
    <w:p w:rsidR="00FD1561" w:rsidRPr="00B80910" w:rsidRDefault="00FD1561" w:rsidP="00A073EF">
      <w:pPr>
        <w:pStyle w:val="ListParagraph"/>
        <w:numPr>
          <w:ilvl w:val="0"/>
          <w:numId w:val="65"/>
        </w:numPr>
        <w:spacing w:before="120"/>
        <w:ind w:left="284" w:hanging="284"/>
        <w:jc w:val="both"/>
        <w:rPr>
          <w:bCs/>
          <w:spacing w:val="4"/>
          <w:lang w:val="en-GB"/>
        </w:rPr>
      </w:pPr>
      <w:r w:rsidRPr="00B80910">
        <w:rPr>
          <w:bCs/>
          <w:spacing w:val="4"/>
          <w:lang w:val="en-GB"/>
        </w:rPr>
        <w:t>Scheme to facilitate inactive women, who choose to stay away from the labour market because they are responsible for the care of children, disabled and elderly members of the family, to re-enter the market.</w:t>
      </w:r>
    </w:p>
    <w:p w:rsidR="00FD1561" w:rsidRPr="007A7801" w:rsidRDefault="00FD1561" w:rsidP="00FD1561">
      <w:pPr>
        <w:jc w:val="both"/>
        <w:rPr>
          <w:bCs/>
          <w:spacing w:val="4"/>
          <w:lang w:val="en-GB"/>
        </w:rPr>
      </w:pPr>
    </w:p>
    <w:p w:rsidR="00FD1561" w:rsidRPr="007A7801" w:rsidRDefault="00602DA7" w:rsidP="00FD1561">
      <w:pPr>
        <w:jc w:val="both"/>
        <w:rPr>
          <w:bCs/>
          <w:spacing w:val="4"/>
          <w:lang w:val="en-GB"/>
        </w:rPr>
      </w:pPr>
      <w:r w:rsidRPr="00602DA7">
        <w:rPr>
          <w:b/>
          <w:bCs/>
          <w:spacing w:val="4"/>
          <w:lang w:val="en-GB"/>
        </w:rPr>
        <w:t>Measures for further enhancement of the Public Employment Service</w:t>
      </w:r>
      <w:r w:rsidR="00FD1561" w:rsidRPr="007A7801">
        <w:rPr>
          <w:bCs/>
          <w:spacing w:val="4"/>
          <w:lang w:val="en-GB"/>
        </w:rPr>
        <w:t xml:space="preserve">, aiming to improve its capacity and the quality of services offered to job seekers and to employers.          </w:t>
      </w:r>
    </w:p>
    <w:p w:rsidR="009C76E0" w:rsidRDefault="009C76E0" w:rsidP="00B80910">
      <w:pPr>
        <w:jc w:val="both"/>
        <w:rPr>
          <w:b/>
          <w:bCs/>
          <w:spacing w:val="4"/>
          <w:u w:val="single"/>
          <w:lang w:val="en-GB"/>
        </w:rPr>
      </w:pPr>
    </w:p>
    <w:p w:rsidR="00166499" w:rsidRDefault="00166499" w:rsidP="00FD1561">
      <w:pPr>
        <w:jc w:val="both"/>
        <w:rPr>
          <w:b/>
          <w:color w:val="000000"/>
          <w:spacing w:val="4"/>
          <w:u w:val="single"/>
          <w:lang w:val="en-GB"/>
        </w:rPr>
        <w:sectPr w:rsidR="00166499" w:rsidSect="00326D6D">
          <w:type w:val="continuous"/>
          <w:pgSz w:w="12240" w:h="15840"/>
          <w:pgMar w:top="1560" w:right="1440" w:bottom="1296" w:left="1440" w:header="720" w:footer="720" w:gutter="0"/>
          <w:cols w:space="720"/>
          <w:titlePg/>
          <w:docGrid w:linePitch="360"/>
        </w:sectPr>
      </w:pPr>
    </w:p>
    <w:p w:rsidR="00FD1561" w:rsidRPr="007A7801" w:rsidRDefault="00E578AE" w:rsidP="00FD1561">
      <w:pPr>
        <w:jc w:val="both"/>
        <w:rPr>
          <w:b/>
          <w:color w:val="000000"/>
          <w:spacing w:val="4"/>
          <w:u w:val="single"/>
          <w:lang w:val="en-GB"/>
        </w:rPr>
      </w:pPr>
      <w:r>
        <w:rPr>
          <w:b/>
          <w:color w:val="000000"/>
          <w:spacing w:val="4"/>
          <w:u w:val="single"/>
          <w:lang w:val="en-GB"/>
        </w:rPr>
        <w:lastRenderedPageBreak/>
        <w:t>2.</w:t>
      </w:r>
      <w:r w:rsidRPr="007A7801">
        <w:rPr>
          <w:b/>
          <w:color w:val="000000"/>
          <w:spacing w:val="4"/>
          <w:u w:val="single"/>
          <w:lang w:val="en-GB"/>
        </w:rPr>
        <w:t xml:space="preserve"> Exploit</w:t>
      </w:r>
      <w:r w:rsidR="00FD1561" w:rsidRPr="007A7801">
        <w:rPr>
          <w:b/>
          <w:color w:val="000000"/>
          <w:spacing w:val="4"/>
          <w:u w:val="single"/>
          <w:lang w:val="en-GB"/>
        </w:rPr>
        <w:t xml:space="preserve"> job creation possibilities</w:t>
      </w:r>
    </w:p>
    <w:p w:rsidR="00FD1561" w:rsidRPr="007A7801" w:rsidRDefault="00FD1561" w:rsidP="00FD1561">
      <w:pPr>
        <w:jc w:val="both"/>
        <w:rPr>
          <w:color w:val="000000"/>
          <w:spacing w:val="4"/>
          <w:lang w:val="en-GB"/>
        </w:rPr>
      </w:pPr>
    </w:p>
    <w:p w:rsidR="00695001" w:rsidRDefault="00695001" w:rsidP="00FD1561">
      <w:pPr>
        <w:jc w:val="both"/>
        <w:rPr>
          <w:color w:val="000000"/>
          <w:spacing w:val="4"/>
          <w:lang w:val="en-GB"/>
        </w:rPr>
        <w:sectPr w:rsidR="00695001" w:rsidSect="00326D6D">
          <w:type w:val="continuous"/>
          <w:pgSz w:w="12240" w:h="15840"/>
          <w:pgMar w:top="1560" w:right="1440" w:bottom="1296" w:left="1440" w:header="720" w:footer="720" w:gutter="0"/>
          <w:cols w:space="720"/>
          <w:titlePg/>
          <w:docGrid w:linePitch="360"/>
        </w:sectPr>
      </w:pPr>
    </w:p>
    <w:p w:rsidR="00FD1561" w:rsidRPr="007A7801" w:rsidRDefault="00FD1561" w:rsidP="00FD1561">
      <w:pPr>
        <w:jc w:val="both"/>
        <w:rPr>
          <w:color w:val="000000"/>
          <w:spacing w:val="4"/>
          <w:lang w:val="en-GB"/>
        </w:rPr>
      </w:pPr>
      <w:r w:rsidRPr="007A7801">
        <w:rPr>
          <w:color w:val="000000"/>
          <w:spacing w:val="4"/>
          <w:lang w:val="en-GB"/>
        </w:rPr>
        <w:lastRenderedPageBreak/>
        <w:t>Measures foreseen under this policy area will be implemented until the year 2014 with a total budget of about €29 mln, out of which €19,5 mln are expected to be drawn from ESF while the expected outcome will be 1.000 employed persons to retain their jobs and additionally about 1.850 enterprises to benefit.</w:t>
      </w:r>
    </w:p>
    <w:p w:rsidR="00FD1561" w:rsidRPr="007A7801" w:rsidRDefault="00FD1561" w:rsidP="00FD1561">
      <w:pPr>
        <w:jc w:val="both"/>
        <w:rPr>
          <w:color w:val="000000"/>
          <w:spacing w:val="4"/>
          <w:lang w:val="en-GB"/>
        </w:rPr>
      </w:pPr>
    </w:p>
    <w:p w:rsidR="00FD1561" w:rsidRPr="007A7801" w:rsidRDefault="00FD1561" w:rsidP="00FD1561">
      <w:pPr>
        <w:jc w:val="both"/>
        <w:rPr>
          <w:b/>
          <w:bCs/>
          <w:spacing w:val="4"/>
          <w:u w:val="single"/>
          <w:lang w:val="en-GB"/>
        </w:rPr>
      </w:pPr>
      <w:r w:rsidRPr="007A7801">
        <w:rPr>
          <w:color w:val="000000"/>
          <w:spacing w:val="4"/>
          <w:lang w:val="en-GB"/>
        </w:rPr>
        <w:t xml:space="preserve">The measures include schemes for the enhancement of employment, schemes for the enhancement of women’s and youth entrepreneurship and schemes for the improvement of the competitiveness and the productivity of the enterprises mainly of the micro and the small and medium ones. Additionally and in order to facilitate the greening of the economy a study for anticipating the green skill needs of the economy has been conducted and concluded at the beginning of 2011. The main objective of the study is to provide forecasts on the employment needs in the green economy in Cyprus for the period 2010-2013. The study provides estimates for both the areas of economic activity and for the occupations associated to the green economy and is expected to be utilised by many public and private institutions and agencies dealing with the broad subject of human resources. In addition, this information will be a helpful tool for organisations and individuals dealing with matters of vocational guidance for young people.    </w:t>
      </w:r>
    </w:p>
    <w:p w:rsidR="00FD1561" w:rsidRPr="007A7801" w:rsidRDefault="00FD1561" w:rsidP="00FD1561">
      <w:pPr>
        <w:jc w:val="both"/>
        <w:rPr>
          <w:b/>
          <w:bCs/>
          <w:spacing w:val="4"/>
          <w:u w:val="single"/>
          <w:lang w:val="en-GB"/>
        </w:rPr>
      </w:pPr>
    </w:p>
    <w:p w:rsidR="00FD1561" w:rsidRPr="007A7801" w:rsidRDefault="00FD1561" w:rsidP="00FD1561">
      <w:pPr>
        <w:jc w:val="both"/>
        <w:rPr>
          <w:b/>
          <w:bCs/>
          <w:spacing w:val="4"/>
          <w:u w:val="single"/>
          <w:lang w:val="en-GB"/>
        </w:rPr>
      </w:pPr>
    </w:p>
    <w:p w:rsidR="00FD1561" w:rsidRPr="007A7801" w:rsidRDefault="00E578AE" w:rsidP="00FD1561">
      <w:pPr>
        <w:tabs>
          <w:tab w:val="left" w:pos="426"/>
        </w:tabs>
        <w:spacing w:after="180"/>
        <w:jc w:val="both"/>
        <w:rPr>
          <w:color w:val="000000"/>
          <w:spacing w:val="4"/>
          <w:u w:val="single"/>
          <w:lang w:val="en-GB"/>
        </w:rPr>
      </w:pPr>
      <w:r>
        <w:rPr>
          <w:b/>
          <w:bCs/>
          <w:color w:val="000000"/>
          <w:spacing w:val="4"/>
          <w:u w:val="single"/>
          <w:lang w:val="en-GB"/>
        </w:rPr>
        <w:t>3.</w:t>
      </w:r>
      <w:r w:rsidRPr="007A7801">
        <w:rPr>
          <w:b/>
          <w:bCs/>
          <w:color w:val="000000"/>
          <w:spacing w:val="4"/>
          <w:u w:val="single"/>
          <w:lang w:val="en-GB"/>
        </w:rPr>
        <w:t xml:space="preserve"> Improve</w:t>
      </w:r>
      <w:r w:rsidR="00FD1561" w:rsidRPr="007A7801">
        <w:rPr>
          <w:b/>
          <w:bCs/>
          <w:color w:val="000000"/>
          <w:spacing w:val="4"/>
          <w:u w:val="single"/>
          <w:lang w:val="en-GB"/>
        </w:rPr>
        <w:t xml:space="preserve"> the education and training systems </w:t>
      </w:r>
      <w:r w:rsidR="00FD1561" w:rsidRPr="007A7801">
        <w:rPr>
          <w:bCs/>
          <w:color w:val="000000"/>
          <w:spacing w:val="4"/>
          <w:lang w:val="en-GB"/>
        </w:rPr>
        <w:t xml:space="preserve">(see also Chapter 5 </w:t>
      </w:r>
      <w:r w:rsidR="009C76E0">
        <w:rPr>
          <w:bCs/>
          <w:color w:val="000000"/>
          <w:spacing w:val="4"/>
          <w:lang w:val="en-GB"/>
        </w:rPr>
        <w:t xml:space="preserve">– </w:t>
      </w:r>
      <w:r w:rsidR="00542547">
        <w:rPr>
          <w:bCs/>
          <w:color w:val="000000"/>
          <w:spacing w:val="4"/>
          <w:lang w:val="en-GB"/>
        </w:rPr>
        <w:t>“</w:t>
      </w:r>
      <w:r w:rsidR="00FD1561" w:rsidRPr="007A7801">
        <w:rPr>
          <w:bCs/>
          <w:color w:val="000000"/>
          <w:spacing w:val="4"/>
          <w:lang w:val="en-GB"/>
        </w:rPr>
        <w:t>Education</w:t>
      </w:r>
      <w:r w:rsidR="00542547">
        <w:rPr>
          <w:bCs/>
          <w:color w:val="000000"/>
          <w:spacing w:val="4"/>
          <w:lang w:val="en-GB"/>
        </w:rPr>
        <w:t>”</w:t>
      </w:r>
      <w:r w:rsidR="009C76E0">
        <w:rPr>
          <w:bCs/>
          <w:color w:val="000000"/>
          <w:spacing w:val="4"/>
          <w:lang w:val="en-GB"/>
        </w:rPr>
        <w:t>)</w:t>
      </w:r>
    </w:p>
    <w:p w:rsidR="00FD1561" w:rsidRPr="007A7801" w:rsidRDefault="00FD1561" w:rsidP="00FD1561">
      <w:pPr>
        <w:jc w:val="both"/>
        <w:rPr>
          <w:bCs/>
          <w:spacing w:val="4"/>
          <w:lang w:val="en-GB"/>
        </w:rPr>
      </w:pPr>
      <w:r w:rsidRPr="007A7801">
        <w:rPr>
          <w:bCs/>
          <w:spacing w:val="4"/>
          <w:lang w:val="en-GB"/>
        </w:rPr>
        <w:t>The measures planned to be implemented along this policy area can be summarised under four groups and are foreseen to be concluded by 2015.</w:t>
      </w:r>
    </w:p>
    <w:p w:rsidR="00FD1561" w:rsidRPr="007A7801" w:rsidRDefault="00FD1561" w:rsidP="00FD1561">
      <w:pPr>
        <w:jc w:val="both"/>
        <w:rPr>
          <w:bCs/>
          <w:spacing w:val="4"/>
          <w:lang w:val="en-GB"/>
        </w:rPr>
      </w:pPr>
    </w:p>
    <w:p w:rsidR="00FD1561" w:rsidRPr="007A7801" w:rsidRDefault="00FD1561" w:rsidP="001D09A7">
      <w:pPr>
        <w:pStyle w:val="ListParagraph"/>
        <w:numPr>
          <w:ilvl w:val="0"/>
          <w:numId w:val="7"/>
        </w:numPr>
        <w:ind w:left="357" w:hanging="357"/>
        <w:jc w:val="both"/>
        <w:rPr>
          <w:bCs/>
          <w:lang w:val="en-GB"/>
        </w:rPr>
      </w:pPr>
      <w:r w:rsidRPr="007A7801">
        <w:rPr>
          <w:bCs/>
          <w:lang w:val="en-GB"/>
        </w:rPr>
        <w:lastRenderedPageBreak/>
        <w:t>Restructuring of the education system, with the co-financing of ESF, which will include the following:</w:t>
      </w:r>
    </w:p>
    <w:p w:rsidR="00FD1561" w:rsidRPr="007A7801" w:rsidRDefault="00FD1561" w:rsidP="00A073EF">
      <w:pPr>
        <w:pStyle w:val="ListParagraph"/>
        <w:numPr>
          <w:ilvl w:val="1"/>
          <w:numId w:val="66"/>
        </w:numPr>
        <w:spacing w:before="160"/>
        <w:ind w:left="851" w:hanging="425"/>
        <w:jc w:val="both"/>
        <w:rPr>
          <w:bCs/>
          <w:spacing w:val="4"/>
          <w:lang w:val="en-GB"/>
        </w:rPr>
      </w:pPr>
      <w:r w:rsidRPr="007A7801">
        <w:rPr>
          <w:bCs/>
          <w:spacing w:val="4"/>
          <w:lang w:val="en-GB"/>
        </w:rPr>
        <w:t>Modernisation of the curriculum for all pre-primary up to lower secondary public schools for improving the openness and relevance of education and training systems.  By 2015, 10.000 educators will be trained on the implementation of the new curricu</w:t>
      </w:r>
      <w:r w:rsidR="0021652D">
        <w:rPr>
          <w:bCs/>
          <w:spacing w:val="4"/>
          <w:lang w:val="en-GB"/>
        </w:rPr>
        <w:t>lum covering all public schools</w:t>
      </w:r>
      <w:r w:rsidR="00373E85">
        <w:rPr>
          <w:bCs/>
          <w:spacing w:val="4"/>
          <w:lang w:val="en-GB"/>
        </w:rPr>
        <w:t>.</w:t>
      </w:r>
      <w:r w:rsidRPr="007A7801">
        <w:rPr>
          <w:bCs/>
          <w:spacing w:val="4"/>
          <w:lang w:val="en-GB"/>
        </w:rPr>
        <w:t xml:space="preserve"> </w:t>
      </w:r>
    </w:p>
    <w:p w:rsidR="00FD1561" w:rsidRPr="007A7801" w:rsidRDefault="00FD1561" w:rsidP="00A073EF">
      <w:pPr>
        <w:pStyle w:val="ListParagraph"/>
        <w:numPr>
          <w:ilvl w:val="1"/>
          <w:numId w:val="66"/>
        </w:numPr>
        <w:spacing w:before="160"/>
        <w:ind w:left="851" w:hanging="425"/>
        <w:jc w:val="both"/>
        <w:rPr>
          <w:bCs/>
          <w:spacing w:val="4"/>
          <w:lang w:val="en-GB"/>
        </w:rPr>
      </w:pPr>
      <w:r w:rsidRPr="007A7801">
        <w:rPr>
          <w:bCs/>
          <w:spacing w:val="4"/>
          <w:lang w:val="en-GB"/>
        </w:rPr>
        <w:t>The establishment and implementation of a training system within the context of lifelong learning, for addressing the educators’ and school leaders’ training needs</w:t>
      </w:r>
      <w:r w:rsidR="0021652D">
        <w:rPr>
          <w:bCs/>
          <w:spacing w:val="4"/>
          <w:lang w:val="en-GB"/>
        </w:rPr>
        <w:t xml:space="preserve"> throughout their entire career</w:t>
      </w:r>
      <w:r w:rsidR="00373E85">
        <w:rPr>
          <w:bCs/>
          <w:spacing w:val="4"/>
          <w:lang w:val="en-GB"/>
        </w:rPr>
        <w:t>.</w:t>
      </w:r>
      <w:r w:rsidRPr="007A7801">
        <w:rPr>
          <w:bCs/>
          <w:spacing w:val="4"/>
          <w:lang w:val="en-GB"/>
        </w:rPr>
        <w:t xml:space="preserve"> </w:t>
      </w:r>
    </w:p>
    <w:p w:rsidR="00FD1561" w:rsidRPr="007A7801" w:rsidRDefault="00FD1561" w:rsidP="00A073EF">
      <w:pPr>
        <w:pStyle w:val="ListParagraph"/>
        <w:numPr>
          <w:ilvl w:val="1"/>
          <w:numId w:val="66"/>
        </w:numPr>
        <w:spacing w:before="160"/>
        <w:ind w:left="851" w:hanging="425"/>
        <w:jc w:val="both"/>
        <w:rPr>
          <w:bCs/>
          <w:spacing w:val="4"/>
          <w:lang w:val="en-GB"/>
        </w:rPr>
      </w:pPr>
      <w:r w:rsidRPr="007A7801">
        <w:rPr>
          <w:bCs/>
          <w:spacing w:val="4"/>
          <w:lang w:val="en-GB"/>
        </w:rPr>
        <w:t>The facilitation of the integration of students at risk (including children of migrants, asylum seekers and refugees)</w:t>
      </w:r>
      <w:r w:rsidR="00373E85">
        <w:rPr>
          <w:bCs/>
          <w:spacing w:val="4"/>
          <w:lang w:val="en-GB"/>
        </w:rPr>
        <w:t>.</w:t>
      </w:r>
      <w:r w:rsidRPr="007A7801">
        <w:rPr>
          <w:bCs/>
          <w:spacing w:val="4"/>
          <w:lang w:val="en-GB"/>
        </w:rPr>
        <w:t xml:space="preserve"> </w:t>
      </w:r>
    </w:p>
    <w:p w:rsidR="00FD1561" w:rsidRPr="007A7801" w:rsidRDefault="00FD1561" w:rsidP="00A073EF">
      <w:pPr>
        <w:pStyle w:val="ListParagraph"/>
        <w:numPr>
          <w:ilvl w:val="1"/>
          <w:numId w:val="66"/>
        </w:numPr>
        <w:spacing w:before="160"/>
        <w:ind w:left="851" w:hanging="425"/>
        <w:jc w:val="both"/>
        <w:rPr>
          <w:bCs/>
          <w:spacing w:val="4"/>
          <w:lang w:val="en-GB"/>
        </w:rPr>
      </w:pPr>
      <w:r w:rsidRPr="007A7801">
        <w:rPr>
          <w:bCs/>
          <w:spacing w:val="4"/>
          <w:lang w:val="en-GB"/>
        </w:rPr>
        <w:t>The improvement of the attractiveness of technical and vocational education by developing a new curriculum for upper secondary and technical vocational schools and by establishing of post</w:t>
      </w:r>
      <w:r w:rsidR="00373E85">
        <w:rPr>
          <w:bCs/>
          <w:spacing w:val="4"/>
          <w:lang w:val="en-GB"/>
        </w:rPr>
        <w:t>-</w:t>
      </w:r>
      <w:r w:rsidRPr="007A7801">
        <w:rPr>
          <w:bCs/>
          <w:spacing w:val="4"/>
          <w:lang w:val="en-GB"/>
        </w:rPr>
        <w:t xml:space="preserve">secondary educational institutions for technical and vocational training, aiming to achieve effective linkage between education system and the labour market.  </w:t>
      </w:r>
    </w:p>
    <w:p w:rsidR="001960BA" w:rsidRDefault="001960BA" w:rsidP="001D09A7">
      <w:pPr>
        <w:pStyle w:val="ListParagraph"/>
        <w:numPr>
          <w:ilvl w:val="0"/>
          <w:numId w:val="7"/>
        </w:numPr>
        <w:spacing w:before="160"/>
        <w:ind w:left="340" w:hanging="340"/>
        <w:jc w:val="both"/>
        <w:rPr>
          <w:bCs/>
          <w:spacing w:val="4"/>
          <w:lang w:val="en-GB"/>
        </w:rPr>
        <w:sectPr w:rsidR="001960BA" w:rsidSect="00326D6D">
          <w:type w:val="continuous"/>
          <w:pgSz w:w="12240" w:h="15840"/>
          <w:pgMar w:top="1560" w:right="1440" w:bottom="1296" w:left="1440" w:header="720" w:footer="720" w:gutter="0"/>
          <w:cols w:space="720"/>
          <w:titlePg/>
          <w:docGrid w:linePitch="360"/>
        </w:sectPr>
      </w:pPr>
    </w:p>
    <w:p w:rsidR="00326D6D" w:rsidRDefault="00FD1561" w:rsidP="00373E85">
      <w:pPr>
        <w:pStyle w:val="ListParagraph"/>
        <w:numPr>
          <w:ilvl w:val="0"/>
          <w:numId w:val="7"/>
        </w:numPr>
        <w:ind w:left="340" w:hanging="340"/>
        <w:jc w:val="both"/>
        <w:rPr>
          <w:bCs/>
          <w:spacing w:val="4"/>
          <w:lang w:val="en-GB"/>
        </w:rPr>
        <w:sectPr w:rsidR="00326D6D" w:rsidSect="00326D6D">
          <w:type w:val="continuous"/>
          <w:pgSz w:w="12240" w:h="15840"/>
          <w:pgMar w:top="1560" w:right="1440" w:bottom="1296" w:left="1440" w:header="720" w:footer="720" w:gutter="0"/>
          <w:cols w:space="720"/>
          <w:titlePg/>
          <w:docGrid w:linePitch="360"/>
        </w:sectPr>
      </w:pPr>
      <w:r w:rsidRPr="007A7801">
        <w:rPr>
          <w:bCs/>
          <w:spacing w:val="4"/>
          <w:lang w:val="en-GB"/>
        </w:rPr>
        <w:lastRenderedPageBreak/>
        <w:t xml:space="preserve">Improvement of the training system with a total budget of €26,2 mln, out of which €20,2 mln are expected to be co-financed by the ESF. The measures are foreseen to be </w:t>
      </w:r>
    </w:p>
    <w:p w:rsidR="00731D68" w:rsidRDefault="00FD1561" w:rsidP="00695001">
      <w:pPr>
        <w:pStyle w:val="ListParagraph"/>
        <w:ind w:left="340"/>
        <w:jc w:val="both"/>
        <w:rPr>
          <w:bCs/>
          <w:spacing w:val="4"/>
          <w:lang w:val="en-GB"/>
        </w:rPr>
      </w:pPr>
      <w:r w:rsidRPr="007A7801">
        <w:rPr>
          <w:bCs/>
          <w:spacing w:val="4"/>
          <w:lang w:val="en-GB"/>
        </w:rPr>
        <w:lastRenderedPageBreak/>
        <w:t>concluded by 2015 and the expected outcome is that 7.500 individuals and 700 enterprises will benefit. These measures include the implementation of the second phase of the competency-based Vocational Qualifications System which has been developed (targeting 6</w:t>
      </w:r>
      <w:r w:rsidR="00373E85">
        <w:rPr>
          <w:bCs/>
          <w:spacing w:val="4"/>
          <w:lang w:val="en-GB"/>
        </w:rPr>
        <w:t>.</w:t>
      </w:r>
      <w:r w:rsidRPr="007A7801">
        <w:rPr>
          <w:bCs/>
          <w:spacing w:val="4"/>
          <w:lang w:val="en-GB"/>
        </w:rPr>
        <w:t>000 pe</w:t>
      </w:r>
      <w:r w:rsidR="00373E85">
        <w:rPr>
          <w:bCs/>
          <w:spacing w:val="4"/>
          <w:lang w:val="en-GB"/>
        </w:rPr>
        <w:t>rsons</w:t>
      </w:r>
      <w:r w:rsidRPr="007A7801">
        <w:rPr>
          <w:bCs/>
          <w:spacing w:val="4"/>
          <w:lang w:val="en-GB"/>
        </w:rPr>
        <w:t>), the enhancement of the training infrastructure of enterprises and training institutions, the certification of training providers, the promotion of innovation in training and the establishment and operation of a new/modern Apprenticeship Scheme which will absorb 90% of the above budget.</w:t>
      </w:r>
    </w:p>
    <w:p w:rsidR="00695001" w:rsidRDefault="00695001" w:rsidP="00695001">
      <w:pPr>
        <w:pStyle w:val="ListParagraph"/>
        <w:ind w:left="340"/>
        <w:jc w:val="both"/>
        <w:rPr>
          <w:bCs/>
          <w:spacing w:val="4"/>
          <w:lang w:val="en-GB"/>
        </w:rPr>
      </w:pPr>
    </w:p>
    <w:p w:rsidR="00FD1561" w:rsidRPr="007A7801" w:rsidRDefault="00FD1561" w:rsidP="00695001">
      <w:pPr>
        <w:pStyle w:val="ListParagraph"/>
        <w:numPr>
          <w:ilvl w:val="0"/>
          <w:numId w:val="7"/>
        </w:numPr>
        <w:ind w:left="340" w:hanging="340"/>
        <w:jc w:val="both"/>
        <w:rPr>
          <w:bCs/>
          <w:spacing w:val="4"/>
          <w:lang w:val="en-GB"/>
        </w:rPr>
      </w:pPr>
      <w:r w:rsidRPr="007A7801">
        <w:rPr>
          <w:bCs/>
          <w:spacing w:val="4"/>
          <w:lang w:val="en-GB"/>
        </w:rPr>
        <w:t xml:space="preserve">Knowledge of the anticipated needs of the economy in terms of employment and training needs through a series of annual and ad hoc studies and surveys, such as the surveys </w:t>
      </w:r>
      <w:r w:rsidR="00373E85">
        <w:rPr>
          <w:bCs/>
          <w:spacing w:val="4"/>
          <w:lang w:val="en-GB"/>
        </w:rPr>
        <w:t>for</w:t>
      </w:r>
      <w:r w:rsidRPr="007A7801">
        <w:rPr>
          <w:bCs/>
          <w:spacing w:val="4"/>
          <w:lang w:val="en-GB"/>
        </w:rPr>
        <w:t xml:space="preserve"> the identification of technical and vocational training needs of enterprises, the attractiveness of </w:t>
      </w:r>
      <w:r w:rsidR="008461E6">
        <w:rPr>
          <w:bCs/>
          <w:spacing w:val="4"/>
          <w:lang w:val="en-GB"/>
        </w:rPr>
        <w:t>Vocational Education Training (</w:t>
      </w:r>
      <w:r w:rsidRPr="007A7801">
        <w:rPr>
          <w:bCs/>
          <w:spacing w:val="4"/>
          <w:lang w:val="en-GB"/>
        </w:rPr>
        <w:t>VET</w:t>
      </w:r>
      <w:r w:rsidR="008461E6">
        <w:rPr>
          <w:bCs/>
          <w:spacing w:val="4"/>
          <w:lang w:val="en-GB"/>
        </w:rPr>
        <w:t>)</w:t>
      </w:r>
      <w:r w:rsidRPr="007A7801">
        <w:rPr>
          <w:bCs/>
          <w:spacing w:val="4"/>
          <w:lang w:val="en-GB"/>
        </w:rPr>
        <w:t xml:space="preserve"> in Cyprus, the study for the identification of the skill needs of the economy and the long</w:t>
      </w:r>
      <w:r w:rsidR="00607105">
        <w:rPr>
          <w:bCs/>
          <w:spacing w:val="4"/>
          <w:lang w:val="en-GB"/>
        </w:rPr>
        <w:t>-</w:t>
      </w:r>
      <w:r w:rsidRPr="007A7801">
        <w:rPr>
          <w:bCs/>
          <w:spacing w:val="4"/>
          <w:lang w:val="en-GB"/>
        </w:rPr>
        <w:t>term employment forecast.</w:t>
      </w:r>
    </w:p>
    <w:p w:rsidR="00FD1561" w:rsidRPr="007A7801" w:rsidRDefault="00FD1561" w:rsidP="00695001">
      <w:pPr>
        <w:pStyle w:val="ListParagraph"/>
        <w:ind w:left="340"/>
        <w:jc w:val="both"/>
        <w:rPr>
          <w:bCs/>
          <w:spacing w:val="4"/>
          <w:lang w:val="en-GB"/>
        </w:rPr>
      </w:pPr>
    </w:p>
    <w:p w:rsidR="00FD1561" w:rsidRPr="007A7801" w:rsidRDefault="00FD1561" w:rsidP="00695001">
      <w:pPr>
        <w:pStyle w:val="ListParagraph"/>
        <w:numPr>
          <w:ilvl w:val="0"/>
          <w:numId w:val="7"/>
        </w:numPr>
        <w:ind w:left="340" w:hanging="426"/>
        <w:jc w:val="both"/>
        <w:rPr>
          <w:b/>
          <w:bCs/>
          <w:spacing w:val="4"/>
          <w:u w:val="single"/>
          <w:lang w:val="en-GB"/>
        </w:rPr>
      </w:pPr>
      <w:r w:rsidRPr="007A7801">
        <w:rPr>
          <w:bCs/>
          <w:spacing w:val="4"/>
          <w:lang w:val="en-GB"/>
        </w:rPr>
        <w:t xml:space="preserve">Raise the skills levels and adapt the skills of the labour force to labour demand through training measures with an expenditure of €6,2 mln in 2011 and a target of 43.500 employed persons and newcomers and an additional €3,1 mln until 2015, out of which €2,5 mln will be co-financed by the ESF with a target of 2.800.    </w:t>
      </w:r>
    </w:p>
    <w:p w:rsidR="00FD1561" w:rsidRDefault="00FD1561" w:rsidP="0021652D">
      <w:pPr>
        <w:ind w:left="340"/>
        <w:jc w:val="both"/>
        <w:rPr>
          <w:b/>
          <w:bCs/>
          <w:spacing w:val="4"/>
          <w:u w:val="single"/>
          <w:lang w:val="en-GB"/>
        </w:rPr>
      </w:pPr>
    </w:p>
    <w:p w:rsidR="0021652D" w:rsidRPr="007A7801" w:rsidRDefault="0021652D" w:rsidP="0021652D">
      <w:pPr>
        <w:ind w:left="340"/>
        <w:jc w:val="both"/>
        <w:rPr>
          <w:b/>
          <w:bCs/>
          <w:spacing w:val="4"/>
          <w:u w:val="single"/>
          <w:lang w:val="en-GB"/>
        </w:rPr>
      </w:pPr>
    </w:p>
    <w:p w:rsidR="00FD1561" w:rsidRPr="007A7801" w:rsidRDefault="00E578AE" w:rsidP="00FD1561">
      <w:pPr>
        <w:jc w:val="both"/>
        <w:rPr>
          <w:b/>
          <w:bCs/>
          <w:spacing w:val="4"/>
          <w:u w:val="single"/>
          <w:lang w:val="en-GB"/>
        </w:rPr>
      </w:pPr>
      <w:r>
        <w:rPr>
          <w:b/>
          <w:bCs/>
          <w:spacing w:val="4"/>
          <w:u w:val="single"/>
          <w:lang w:val="en-GB"/>
        </w:rPr>
        <w:t>4.</w:t>
      </w:r>
      <w:r w:rsidRPr="007A7801">
        <w:rPr>
          <w:b/>
          <w:bCs/>
          <w:spacing w:val="4"/>
          <w:u w:val="single"/>
          <w:lang w:val="en-GB"/>
        </w:rPr>
        <w:t xml:space="preserve"> Improve</w:t>
      </w:r>
      <w:r w:rsidR="00FD1561" w:rsidRPr="007A7801">
        <w:rPr>
          <w:b/>
          <w:bCs/>
          <w:spacing w:val="4"/>
          <w:u w:val="single"/>
          <w:lang w:val="en-GB"/>
        </w:rPr>
        <w:t xml:space="preserve"> Attractiveness of Work</w:t>
      </w:r>
      <w:r w:rsidR="002167AC">
        <w:rPr>
          <w:b/>
          <w:bCs/>
          <w:spacing w:val="4"/>
          <w:u w:val="single"/>
          <w:lang w:val="en-GB"/>
        </w:rPr>
        <w:t xml:space="preserve"> </w:t>
      </w:r>
      <w:r w:rsidR="00FD1561" w:rsidRPr="007A7801">
        <w:rPr>
          <w:b/>
          <w:bCs/>
          <w:spacing w:val="4"/>
          <w:u w:val="single"/>
          <w:lang w:val="en-GB"/>
        </w:rPr>
        <w:t>/</w:t>
      </w:r>
      <w:r w:rsidR="002167AC">
        <w:rPr>
          <w:b/>
          <w:bCs/>
          <w:spacing w:val="4"/>
          <w:u w:val="single"/>
          <w:lang w:val="en-GB"/>
        </w:rPr>
        <w:t xml:space="preserve"> </w:t>
      </w:r>
      <w:r w:rsidR="00FD1561" w:rsidRPr="007A7801">
        <w:rPr>
          <w:b/>
          <w:bCs/>
          <w:spacing w:val="4"/>
          <w:u w:val="single"/>
          <w:lang w:val="en-GB"/>
        </w:rPr>
        <w:t>Gender Equality:</w:t>
      </w:r>
    </w:p>
    <w:p w:rsidR="00FD1561" w:rsidRPr="007A7801" w:rsidRDefault="00FD1561" w:rsidP="00FD1561">
      <w:pPr>
        <w:jc w:val="both"/>
        <w:rPr>
          <w:b/>
          <w:bCs/>
          <w:spacing w:val="4"/>
          <w:u w:val="single"/>
          <w:lang w:val="en-GB"/>
        </w:rPr>
      </w:pPr>
    </w:p>
    <w:p w:rsidR="00FD1561" w:rsidRPr="007A7801" w:rsidRDefault="00FD1561" w:rsidP="00FD1561">
      <w:pPr>
        <w:jc w:val="both"/>
        <w:rPr>
          <w:spacing w:val="4"/>
          <w:lang w:val="en-GB"/>
        </w:rPr>
      </w:pPr>
      <w:r w:rsidRPr="007A7801">
        <w:rPr>
          <w:lang w:val="en-GB"/>
        </w:rPr>
        <w:t xml:space="preserve">Reducing gender pay gap through the promotion of a broad mix of measures which include specialised training programmes for equal pay inspectors, </w:t>
      </w:r>
      <w:r w:rsidRPr="007A7801">
        <w:rPr>
          <w:spacing w:val="4"/>
          <w:lang w:val="en-GB"/>
        </w:rPr>
        <w:t xml:space="preserve">the establishment of a gender equality Certification Body, as well as measures for eliminating occupational and sectoral segregation, such as interventions in education issues, campaigns for raising awareness on </w:t>
      </w:r>
      <w:r w:rsidRPr="007A7801">
        <w:rPr>
          <w:spacing w:val="4"/>
          <w:lang w:val="en-GB"/>
        </w:rPr>
        <w:lastRenderedPageBreak/>
        <w:t>equal pay, training programmes for trade unions and employers associa</w:t>
      </w:r>
      <w:r w:rsidRPr="007A7801">
        <w:rPr>
          <w:spacing w:val="4"/>
          <w:lang w:val="en-GB"/>
        </w:rPr>
        <w:softHyphen/>
        <w:t xml:space="preserve">tions, and development of manuals, guides and codes of practice for managers and human resource professionals.  </w:t>
      </w:r>
    </w:p>
    <w:p w:rsidR="00FD1561" w:rsidRPr="007A7801" w:rsidRDefault="00FD1561" w:rsidP="00FD1561">
      <w:pPr>
        <w:jc w:val="both"/>
        <w:rPr>
          <w:spacing w:val="4"/>
          <w:lang w:val="en-GB"/>
        </w:rPr>
      </w:pPr>
    </w:p>
    <w:p w:rsidR="00FD1561" w:rsidRPr="007A7801" w:rsidRDefault="00FD1561" w:rsidP="00FD1561">
      <w:pPr>
        <w:jc w:val="both"/>
        <w:rPr>
          <w:spacing w:val="4"/>
          <w:lang w:val="en-GB"/>
        </w:rPr>
      </w:pPr>
      <w:r w:rsidRPr="007A7801">
        <w:rPr>
          <w:spacing w:val="4"/>
          <w:lang w:val="en-GB"/>
        </w:rPr>
        <w:t xml:space="preserve">The above activities </w:t>
      </w:r>
      <w:r w:rsidRPr="007A7801">
        <w:rPr>
          <w:bCs/>
          <w:spacing w:val="4"/>
          <w:lang w:val="en-GB"/>
        </w:rPr>
        <w:t>are laid down in</w:t>
      </w:r>
      <w:r w:rsidRPr="007A7801">
        <w:rPr>
          <w:b/>
          <w:bCs/>
          <w:spacing w:val="4"/>
          <w:lang w:val="en-GB"/>
        </w:rPr>
        <w:t xml:space="preserve"> </w:t>
      </w:r>
      <w:r w:rsidRPr="007A7801">
        <w:rPr>
          <w:bCs/>
          <w:spacing w:val="4"/>
          <w:lang w:val="en-GB"/>
        </w:rPr>
        <w:t>t</w:t>
      </w:r>
      <w:r w:rsidRPr="007A7801">
        <w:rPr>
          <w:spacing w:val="4"/>
          <w:lang w:val="en-GB"/>
        </w:rPr>
        <w:t xml:space="preserve">he National Action Plan for reducing </w:t>
      </w:r>
      <w:r w:rsidR="00542547">
        <w:rPr>
          <w:spacing w:val="4"/>
          <w:lang w:val="en-GB"/>
        </w:rPr>
        <w:t>g</w:t>
      </w:r>
      <w:r w:rsidRPr="007A7801">
        <w:rPr>
          <w:spacing w:val="4"/>
          <w:lang w:val="en-GB"/>
        </w:rPr>
        <w:t xml:space="preserve">ender </w:t>
      </w:r>
      <w:r w:rsidR="00542547">
        <w:rPr>
          <w:spacing w:val="4"/>
          <w:lang w:val="en-GB"/>
        </w:rPr>
        <w:t>p</w:t>
      </w:r>
      <w:r w:rsidRPr="007A7801">
        <w:rPr>
          <w:spacing w:val="4"/>
          <w:lang w:val="en-GB"/>
        </w:rPr>
        <w:t xml:space="preserve">ay </w:t>
      </w:r>
      <w:r w:rsidR="00542547">
        <w:rPr>
          <w:spacing w:val="4"/>
          <w:lang w:val="en-GB"/>
        </w:rPr>
        <w:t>g</w:t>
      </w:r>
      <w:r w:rsidRPr="007A7801">
        <w:rPr>
          <w:spacing w:val="4"/>
          <w:lang w:val="en-GB"/>
        </w:rPr>
        <w:t xml:space="preserve">ap covering the period 2010-2015 with a budget of €3,5 mln (co-financed by the ESF).  The set target is to reduce by 2015 the gender pay gap by 5 pp, down to 18% from 23% where it stood in 2009.  </w:t>
      </w:r>
    </w:p>
    <w:p w:rsidR="00AC17AF" w:rsidRDefault="00AC17AF" w:rsidP="00AC17AF">
      <w:pPr>
        <w:tabs>
          <w:tab w:val="left" w:pos="3056"/>
          <w:tab w:val="center" w:pos="7353"/>
        </w:tabs>
        <w:jc w:val="center"/>
        <w:rPr>
          <w:lang w:val="en-GB"/>
        </w:rPr>
      </w:pPr>
    </w:p>
    <w:p w:rsidR="00F0627B" w:rsidRPr="007A7801" w:rsidRDefault="00E578AE" w:rsidP="00F0627B">
      <w:pPr>
        <w:jc w:val="both"/>
        <w:rPr>
          <w:b/>
          <w:bCs/>
          <w:spacing w:val="4"/>
          <w:u w:val="single"/>
          <w:lang w:val="en-GB"/>
        </w:rPr>
      </w:pPr>
      <w:r>
        <w:rPr>
          <w:b/>
          <w:bCs/>
          <w:spacing w:val="4"/>
          <w:u w:val="single"/>
          <w:lang w:val="en-GB"/>
        </w:rPr>
        <w:t xml:space="preserve">5. </w:t>
      </w:r>
      <w:r w:rsidR="00F0627B">
        <w:rPr>
          <w:b/>
          <w:bCs/>
          <w:spacing w:val="4"/>
          <w:u w:val="single"/>
          <w:lang w:val="en-GB"/>
        </w:rPr>
        <w:t>Immigration policies</w:t>
      </w:r>
    </w:p>
    <w:p w:rsidR="00F0627B" w:rsidRDefault="00F0627B" w:rsidP="00F0627B">
      <w:pPr>
        <w:pStyle w:val="BodyText"/>
        <w:jc w:val="both"/>
      </w:pPr>
    </w:p>
    <w:p w:rsidR="00F17721" w:rsidRDefault="00F0627B" w:rsidP="00F17721">
      <w:pPr>
        <w:pStyle w:val="BodyText"/>
        <w:spacing w:after="0"/>
        <w:jc w:val="both"/>
      </w:pPr>
      <w:r w:rsidRPr="007A7801">
        <w:t xml:space="preserve">Implementation of the Immigration Strategy which has been formulated aiming to regulate legal immigration on the basis of the National Employment Strategy and the labour market needs in general, to integrate legal immigrants into the society under conditions of increased social cohesion, to combat irregular immigration and illegal and undeclared employment, to provide international protection to </w:t>
      </w:r>
      <w:r>
        <w:t xml:space="preserve">people </w:t>
      </w:r>
      <w:r w:rsidRPr="007A7801">
        <w:t xml:space="preserve"> in need and at the same time combat the abuse of the national asylum system, to combat trafficking and to guarantee human rights and dignity for all members of society and fight racism and xenophobia.  </w:t>
      </w:r>
    </w:p>
    <w:p w:rsidR="00F0627B" w:rsidRPr="007A7801" w:rsidRDefault="00F0627B" w:rsidP="00542547">
      <w:pPr>
        <w:jc w:val="both"/>
        <w:rPr>
          <w:bCs/>
          <w:spacing w:val="4"/>
          <w:lang w:val="en-GB"/>
        </w:rPr>
      </w:pPr>
    </w:p>
    <w:p w:rsidR="00F0627B" w:rsidRPr="007A7801" w:rsidRDefault="00F0627B" w:rsidP="00542547">
      <w:pPr>
        <w:jc w:val="both"/>
        <w:rPr>
          <w:bCs/>
          <w:spacing w:val="4"/>
          <w:lang w:val="en-GB"/>
        </w:rPr>
      </w:pPr>
      <w:r w:rsidRPr="007A7801">
        <w:rPr>
          <w:bCs/>
          <w:spacing w:val="4"/>
          <w:lang w:val="en-GB"/>
        </w:rPr>
        <w:t xml:space="preserve">Implementation of the action plan for the integration of third country nationals, adopted in 2010 on the basis of the abovementioned strategy, which includes actions in a number of sectors of everyday life, such as education, vocational training, learning of the Greek language, health, information and more.   </w:t>
      </w:r>
    </w:p>
    <w:p w:rsidR="00F0627B" w:rsidRPr="007A7801" w:rsidRDefault="00F0627B" w:rsidP="00542547">
      <w:pPr>
        <w:jc w:val="both"/>
        <w:rPr>
          <w:bCs/>
          <w:spacing w:val="4"/>
          <w:lang w:val="en-GB"/>
        </w:rPr>
      </w:pPr>
    </w:p>
    <w:p w:rsidR="00F0627B" w:rsidRPr="007A7801" w:rsidRDefault="00F0627B" w:rsidP="00542547">
      <w:pPr>
        <w:jc w:val="both"/>
        <w:rPr>
          <w:bCs/>
          <w:spacing w:val="4"/>
          <w:lang w:val="en-GB"/>
        </w:rPr>
      </w:pPr>
      <w:r w:rsidRPr="007A7801">
        <w:rPr>
          <w:bCs/>
          <w:spacing w:val="4"/>
          <w:lang w:val="en-GB"/>
        </w:rPr>
        <w:t xml:space="preserve">In its effort to implement the measures and actions dictated by the above strategy, the country will make use of the European Solidarity Funds, expecting to draw annually from them the amount of €8,5 mln. </w:t>
      </w:r>
    </w:p>
    <w:p w:rsidR="00F0627B" w:rsidRDefault="00F0627B" w:rsidP="00542547">
      <w:pPr>
        <w:jc w:val="both"/>
        <w:rPr>
          <w:b/>
          <w:color w:val="000000"/>
          <w:spacing w:val="4"/>
          <w:u w:val="single"/>
          <w:lang w:val="en-GB"/>
        </w:rPr>
        <w:sectPr w:rsidR="00F0627B" w:rsidSect="00326D6D">
          <w:type w:val="continuous"/>
          <w:pgSz w:w="12240" w:h="15840"/>
          <w:pgMar w:top="1560" w:right="1440" w:bottom="1296" w:left="1440" w:header="720" w:footer="720" w:gutter="0"/>
          <w:cols w:space="720"/>
          <w:titlePg/>
          <w:docGrid w:linePitch="360"/>
        </w:sectPr>
      </w:pPr>
    </w:p>
    <w:p w:rsidR="00F0627B" w:rsidRDefault="00F0627B" w:rsidP="00542547">
      <w:pPr>
        <w:jc w:val="both"/>
        <w:rPr>
          <w:b/>
          <w:color w:val="000000"/>
          <w:spacing w:val="4"/>
          <w:u w:val="single"/>
          <w:lang w:val="en-GB"/>
        </w:rPr>
        <w:sectPr w:rsidR="00F0627B" w:rsidSect="00326D6D">
          <w:type w:val="continuous"/>
          <w:pgSz w:w="12240" w:h="15840"/>
          <w:pgMar w:top="1560" w:right="1440" w:bottom="1296" w:left="1440" w:header="720" w:footer="720" w:gutter="0"/>
          <w:cols w:space="720"/>
          <w:titlePg/>
          <w:docGrid w:linePitch="360"/>
        </w:sectPr>
      </w:pPr>
    </w:p>
    <w:p w:rsidR="00475AA4" w:rsidRDefault="00475AA4">
      <w:pPr>
        <w:tabs>
          <w:tab w:val="left" w:pos="3056"/>
          <w:tab w:val="center" w:pos="7353"/>
        </w:tabs>
        <w:jc w:val="center"/>
        <w:rPr>
          <w:lang w:val="en-GB"/>
        </w:rPr>
      </w:pPr>
    </w:p>
    <w:p w:rsidR="00F0627B" w:rsidRPr="007A7801" w:rsidRDefault="00F0627B" w:rsidP="00AC17AF">
      <w:pPr>
        <w:tabs>
          <w:tab w:val="left" w:pos="3056"/>
          <w:tab w:val="center" w:pos="7353"/>
        </w:tabs>
        <w:jc w:val="center"/>
        <w:rPr>
          <w:lang w:val="en-GB"/>
        </w:rPr>
        <w:sectPr w:rsidR="00F0627B" w:rsidRPr="007A7801" w:rsidSect="00326D6D">
          <w:type w:val="continuous"/>
          <w:pgSz w:w="12240" w:h="15840"/>
          <w:pgMar w:top="1560" w:right="1440" w:bottom="1296" w:left="1440" w:header="720" w:footer="720" w:gutter="0"/>
          <w:cols w:space="720"/>
          <w:titlePg/>
          <w:docGrid w:linePitch="360"/>
        </w:sectPr>
      </w:pPr>
    </w:p>
    <w:p w:rsidR="00AC17AF" w:rsidRPr="00897430" w:rsidRDefault="009F3F8F" w:rsidP="007A7801">
      <w:pPr>
        <w:tabs>
          <w:tab w:val="center" w:pos="7353"/>
        </w:tabs>
        <w:ind w:right="-908" w:hanging="993"/>
        <w:rPr>
          <w:i/>
          <w:lang w:val="en-GB"/>
        </w:rPr>
      </w:pPr>
      <w:r>
        <w:rPr>
          <w:b/>
          <w:i/>
          <w:sz w:val="22"/>
          <w:szCs w:val="22"/>
          <w:lang w:val="en-GB"/>
        </w:rPr>
        <w:lastRenderedPageBreak/>
        <w:t>Table 3</w:t>
      </w:r>
      <w:r w:rsidR="007A7801" w:rsidRPr="00897430">
        <w:rPr>
          <w:b/>
          <w:i/>
          <w:sz w:val="22"/>
          <w:szCs w:val="22"/>
          <w:lang w:val="en-GB"/>
        </w:rPr>
        <w:t xml:space="preserve">: </w:t>
      </w:r>
      <w:r w:rsidR="00AC17AF" w:rsidRPr="00897430">
        <w:rPr>
          <w:b/>
          <w:i/>
          <w:sz w:val="22"/>
          <w:szCs w:val="22"/>
          <w:lang w:val="en-GB"/>
        </w:rPr>
        <w:t>ACTIONS UNDERTAKEN UNDER THE ADOPTED MEASURES FOR ACHIEVING THE TARGETS</w:t>
      </w:r>
      <w:r w:rsidR="007A7801" w:rsidRPr="00897430">
        <w:rPr>
          <w:b/>
          <w:i/>
          <w:sz w:val="22"/>
          <w:szCs w:val="22"/>
          <w:lang w:val="en-GB"/>
        </w:rPr>
        <w:t xml:space="preserve"> </w:t>
      </w:r>
      <w:r w:rsidR="00AC17AF" w:rsidRPr="00897430">
        <w:rPr>
          <w:b/>
          <w:i/>
          <w:sz w:val="22"/>
          <w:szCs w:val="22"/>
          <w:lang w:val="en-GB"/>
        </w:rPr>
        <w:t>AND TACKLING THE BOTTLENECKS IN THE LABOUR MARKET</w:t>
      </w:r>
    </w:p>
    <w:p w:rsidR="00AC17AF" w:rsidRPr="007A7801" w:rsidRDefault="00AC17AF" w:rsidP="00AC17AF">
      <w:pPr>
        <w:jc w:val="center"/>
        <w:rPr>
          <w:lang w:val="en-GB"/>
        </w:rPr>
      </w:pP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666"/>
        <w:gridCol w:w="1418"/>
        <w:gridCol w:w="1327"/>
        <w:gridCol w:w="1418"/>
      </w:tblGrid>
      <w:tr w:rsidR="00AC17AF" w:rsidRPr="007A7801" w:rsidTr="00100308">
        <w:trPr>
          <w:cantSplit/>
          <w:tblHeader/>
          <w:jc w:val="center"/>
        </w:trPr>
        <w:tc>
          <w:tcPr>
            <w:tcW w:w="1945" w:type="dxa"/>
            <w:tcBorders>
              <w:bottom w:val="single" w:sz="4" w:space="0" w:color="auto"/>
            </w:tcBorders>
            <w:shd w:val="clear" w:color="auto" w:fill="EEECE1"/>
            <w:vAlign w:val="center"/>
          </w:tcPr>
          <w:p w:rsidR="00AC17AF" w:rsidRPr="007A7801" w:rsidRDefault="00AC17AF" w:rsidP="00AC17AF">
            <w:pPr>
              <w:jc w:val="center"/>
              <w:rPr>
                <w:b/>
                <w:sz w:val="20"/>
                <w:szCs w:val="20"/>
                <w:lang w:val="en-GB"/>
              </w:rPr>
            </w:pPr>
            <w:r w:rsidRPr="007A7801">
              <w:rPr>
                <w:b/>
                <w:sz w:val="20"/>
                <w:szCs w:val="20"/>
                <w:lang w:val="en-GB"/>
              </w:rPr>
              <w:t>Name of measure</w:t>
            </w:r>
          </w:p>
        </w:tc>
        <w:tc>
          <w:tcPr>
            <w:tcW w:w="1445" w:type="dxa"/>
            <w:tcBorders>
              <w:bottom w:val="single" w:sz="4" w:space="0" w:color="auto"/>
            </w:tcBorders>
            <w:shd w:val="clear" w:color="auto" w:fill="EEECE1"/>
            <w:vAlign w:val="center"/>
          </w:tcPr>
          <w:p w:rsidR="00AC17AF" w:rsidRPr="007A7801" w:rsidRDefault="00AC17AF" w:rsidP="00AC17AF">
            <w:pPr>
              <w:jc w:val="center"/>
              <w:rPr>
                <w:b/>
                <w:sz w:val="20"/>
                <w:szCs w:val="20"/>
                <w:lang w:val="en-GB"/>
              </w:rPr>
            </w:pPr>
            <w:r w:rsidRPr="007A7801">
              <w:rPr>
                <w:b/>
                <w:sz w:val="20"/>
                <w:szCs w:val="20"/>
              </w:rPr>
              <w:t>Policy</w:t>
            </w:r>
          </w:p>
          <w:p w:rsidR="00AC17AF" w:rsidRPr="007A7801" w:rsidRDefault="00AC17AF" w:rsidP="00AC17AF">
            <w:pPr>
              <w:jc w:val="center"/>
              <w:rPr>
                <w:b/>
                <w:sz w:val="20"/>
                <w:szCs w:val="20"/>
                <w:lang w:val="el-GR"/>
              </w:rPr>
            </w:pPr>
            <w:r w:rsidRPr="007A7801">
              <w:rPr>
                <w:b/>
                <w:sz w:val="20"/>
                <w:szCs w:val="20"/>
              </w:rPr>
              <w:t>Area</w:t>
            </w:r>
          </w:p>
        </w:tc>
        <w:tc>
          <w:tcPr>
            <w:tcW w:w="1249" w:type="dxa"/>
            <w:tcBorders>
              <w:bottom w:val="single" w:sz="4" w:space="0" w:color="auto"/>
            </w:tcBorders>
            <w:shd w:val="clear" w:color="auto" w:fill="EEECE1"/>
            <w:vAlign w:val="center"/>
          </w:tcPr>
          <w:p w:rsidR="00AC17AF" w:rsidRPr="007A7801" w:rsidRDefault="00AC17AF" w:rsidP="00AC17AF">
            <w:pPr>
              <w:jc w:val="center"/>
              <w:rPr>
                <w:b/>
                <w:sz w:val="20"/>
                <w:szCs w:val="20"/>
                <w:lang w:val="en-GB"/>
              </w:rPr>
            </w:pPr>
            <w:r w:rsidRPr="007A7801">
              <w:rPr>
                <w:b/>
                <w:sz w:val="20"/>
                <w:szCs w:val="20"/>
                <w:lang w:val="en-GB"/>
              </w:rPr>
              <w:t>Competent Authority</w:t>
            </w:r>
          </w:p>
        </w:tc>
        <w:tc>
          <w:tcPr>
            <w:tcW w:w="4280" w:type="dxa"/>
            <w:tcBorders>
              <w:bottom w:val="single" w:sz="4" w:space="0" w:color="auto"/>
            </w:tcBorders>
            <w:shd w:val="clear" w:color="auto" w:fill="EEECE1"/>
            <w:vAlign w:val="center"/>
          </w:tcPr>
          <w:p w:rsidR="00AC17AF" w:rsidRPr="007A7801" w:rsidRDefault="00AC17AF" w:rsidP="00AC17AF">
            <w:pPr>
              <w:jc w:val="center"/>
              <w:rPr>
                <w:b/>
                <w:sz w:val="20"/>
                <w:szCs w:val="20"/>
                <w:lang w:val="en-GB"/>
              </w:rPr>
            </w:pPr>
            <w:r w:rsidRPr="007A7801">
              <w:rPr>
                <w:b/>
                <w:sz w:val="20"/>
                <w:szCs w:val="20"/>
                <w:lang w:val="en-GB"/>
              </w:rPr>
              <w:t>Description</w:t>
            </w:r>
          </w:p>
        </w:tc>
        <w:tc>
          <w:tcPr>
            <w:tcW w:w="1666" w:type="dxa"/>
            <w:tcBorders>
              <w:bottom w:val="single" w:sz="4" w:space="0" w:color="auto"/>
            </w:tcBorders>
            <w:shd w:val="clear" w:color="auto" w:fill="EEECE1"/>
            <w:vAlign w:val="center"/>
          </w:tcPr>
          <w:p w:rsidR="00AC17AF" w:rsidRPr="007A7801" w:rsidRDefault="00AC17AF" w:rsidP="00AC17AF">
            <w:pPr>
              <w:pStyle w:val="a"/>
              <w:ind w:left="0"/>
              <w:jc w:val="center"/>
              <w:rPr>
                <w:rFonts w:ascii="Times New Roman" w:hAnsi="Times New Roman"/>
                <w:b/>
                <w:sz w:val="20"/>
                <w:szCs w:val="20"/>
              </w:rPr>
            </w:pPr>
            <w:r w:rsidRPr="007A7801">
              <w:rPr>
                <w:rFonts w:ascii="Times New Roman" w:hAnsi="Times New Roman"/>
                <w:b/>
                <w:sz w:val="20"/>
                <w:szCs w:val="20"/>
                <w:lang w:val="en-GB"/>
              </w:rPr>
              <w:t>Implementation Period</w:t>
            </w:r>
          </w:p>
        </w:tc>
        <w:tc>
          <w:tcPr>
            <w:tcW w:w="1418" w:type="dxa"/>
            <w:tcBorders>
              <w:bottom w:val="single" w:sz="4" w:space="0" w:color="auto"/>
            </w:tcBorders>
            <w:shd w:val="clear" w:color="auto" w:fill="EEECE1"/>
            <w:vAlign w:val="center"/>
          </w:tcPr>
          <w:p w:rsidR="00AC17AF" w:rsidRPr="007A7801" w:rsidRDefault="00AC17AF" w:rsidP="00AC17AF">
            <w:pPr>
              <w:pStyle w:val="a"/>
              <w:ind w:left="0"/>
              <w:jc w:val="center"/>
              <w:rPr>
                <w:rFonts w:ascii="Times New Roman" w:hAnsi="Times New Roman"/>
                <w:b/>
                <w:sz w:val="20"/>
                <w:szCs w:val="20"/>
                <w:lang w:val="el-GR"/>
              </w:rPr>
            </w:pPr>
            <w:r w:rsidRPr="007A7801">
              <w:rPr>
                <w:rFonts w:ascii="Times New Roman" w:hAnsi="Times New Roman"/>
                <w:b/>
                <w:sz w:val="20"/>
                <w:szCs w:val="20"/>
                <w:lang w:val="en-GB"/>
              </w:rPr>
              <w:t>Budget - ESF Contribution</w:t>
            </w:r>
          </w:p>
        </w:tc>
        <w:tc>
          <w:tcPr>
            <w:tcW w:w="1327" w:type="dxa"/>
            <w:tcBorders>
              <w:bottom w:val="single" w:sz="4" w:space="0" w:color="auto"/>
            </w:tcBorders>
            <w:shd w:val="clear" w:color="auto" w:fill="EEECE1"/>
            <w:vAlign w:val="center"/>
          </w:tcPr>
          <w:p w:rsidR="00AC17AF" w:rsidRPr="007A7801" w:rsidRDefault="00AC17AF" w:rsidP="00AC17AF">
            <w:pPr>
              <w:pStyle w:val="a"/>
              <w:ind w:left="0"/>
              <w:jc w:val="center"/>
              <w:rPr>
                <w:rFonts w:ascii="Times New Roman" w:hAnsi="Times New Roman"/>
                <w:b/>
                <w:sz w:val="20"/>
                <w:szCs w:val="20"/>
                <w:lang w:val="el-GR"/>
              </w:rPr>
            </w:pPr>
            <w:r w:rsidRPr="007A7801">
              <w:rPr>
                <w:rFonts w:ascii="Times New Roman" w:hAnsi="Times New Roman"/>
                <w:b/>
                <w:sz w:val="20"/>
                <w:szCs w:val="20"/>
                <w:lang w:val="en-GB"/>
              </w:rPr>
              <w:t>Internal monitoring system</w:t>
            </w:r>
          </w:p>
        </w:tc>
        <w:tc>
          <w:tcPr>
            <w:tcW w:w="1418" w:type="dxa"/>
            <w:tcBorders>
              <w:bottom w:val="single" w:sz="4" w:space="0" w:color="auto"/>
            </w:tcBorders>
            <w:shd w:val="clear" w:color="auto" w:fill="EEECE1"/>
            <w:vAlign w:val="center"/>
          </w:tcPr>
          <w:p w:rsidR="00AC17AF" w:rsidRPr="007A7801" w:rsidRDefault="00AC17AF" w:rsidP="00AC17AF">
            <w:pPr>
              <w:jc w:val="center"/>
              <w:rPr>
                <w:b/>
                <w:sz w:val="20"/>
                <w:szCs w:val="20"/>
                <w:lang w:val="en-GB"/>
              </w:rPr>
            </w:pPr>
            <w:r w:rsidRPr="007A7801">
              <w:rPr>
                <w:b/>
                <w:sz w:val="20"/>
                <w:szCs w:val="20"/>
                <w:lang w:val="en-GB"/>
              </w:rPr>
              <w:t>Quantitative Target</w:t>
            </w:r>
          </w:p>
        </w:tc>
      </w:tr>
      <w:tr w:rsidR="00AC17AF" w:rsidRPr="007A7801" w:rsidTr="00100308">
        <w:trPr>
          <w:cantSplit/>
          <w:trHeight w:val="503"/>
          <w:jc w:val="center"/>
        </w:trPr>
        <w:tc>
          <w:tcPr>
            <w:tcW w:w="14748" w:type="dxa"/>
            <w:gridSpan w:val="8"/>
            <w:shd w:val="clear" w:color="auto" w:fill="D9D9D9"/>
            <w:vAlign w:val="center"/>
          </w:tcPr>
          <w:p w:rsidR="00AC17AF" w:rsidRPr="007A7801" w:rsidRDefault="00AC17AF" w:rsidP="00AC17AF">
            <w:pPr>
              <w:jc w:val="center"/>
              <w:rPr>
                <w:b/>
                <w:sz w:val="20"/>
                <w:szCs w:val="20"/>
              </w:rPr>
            </w:pPr>
            <w:r w:rsidRPr="007A7801">
              <w:rPr>
                <w:b/>
                <w:sz w:val="20"/>
                <w:szCs w:val="20"/>
                <w:lang w:val="en-GB"/>
              </w:rPr>
              <w:t>1</w:t>
            </w:r>
            <w:r w:rsidR="00F86D8D">
              <w:rPr>
                <w:b/>
                <w:sz w:val="20"/>
                <w:szCs w:val="20"/>
                <w:lang w:val="en-GB"/>
              </w:rPr>
              <w:t>.</w:t>
            </w:r>
            <w:r w:rsidRPr="007A7801">
              <w:rPr>
                <w:b/>
                <w:sz w:val="20"/>
                <w:szCs w:val="20"/>
                <w:lang w:val="en-GB"/>
              </w:rPr>
              <w:t xml:space="preserve"> Increase Labour Market Participation</w:t>
            </w:r>
          </w:p>
        </w:tc>
      </w:tr>
      <w:tr w:rsidR="00AC17AF" w:rsidRPr="007A7801" w:rsidTr="00100308">
        <w:trPr>
          <w:cantSplit/>
          <w:jc w:val="center"/>
        </w:trPr>
        <w:tc>
          <w:tcPr>
            <w:tcW w:w="1945" w:type="dxa"/>
          </w:tcPr>
          <w:p w:rsidR="00AC17AF" w:rsidRPr="007A7801" w:rsidRDefault="00AC17AF" w:rsidP="00AC17AF">
            <w:pPr>
              <w:pStyle w:val="ListParagraph"/>
              <w:ind w:left="0"/>
              <w:rPr>
                <w:b/>
                <w:sz w:val="20"/>
                <w:szCs w:val="20"/>
                <w:lang w:val="en-GB"/>
              </w:rPr>
            </w:pPr>
            <w:r w:rsidRPr="007A7801">
              <w:rPr>
                <w:b/>
                <w:sz w:val="20"/>
                <w:szCs w:val="20"/>
                <w:lang w:val="en-GB"/>
              </w:rPr>
              <w:t xml:space="preserve">Scheme </w:t>
            </w:r>
            <w:r w:rsidRPr="007A7801">
              <w:rPr>
                <w:b/>
                <w:bCs/>
                <w:iCs/>
                <w:sz w:val="20"/>
                <w:szCs w:val="20"/>
                <w:lang w:val="en-GB"/>
              </w:rPr>
              <w:t xml:space="preserve">for the improvement of the employability of economically inactive women </w:t>
            </w:r>
          </w:p>
          <w:p w:rsidR="00AC17AF" w:rsidRPr="007A7801" w:rsidRDefault="00AC17AF" w:rsidP="00402B2E">
            <w:pPr>
              <w:rPr>
                <w:b/>
                <w:sz w:val="20"/>
                <w:szCs w:val="20"/>
                <w:lang w:val="en-GB"/>
              </w:rPr>
            </w:pPr>
          </w:p>
        </w:tc>
        <w:tc>
          <w:tcPr>
            <w:tcW w:w="1445" w:type="dxa"/>
          </w:tcPr>
          <w:p w:rsidR="00AC17AF" w:rsidRPr="007A7801" w:rsidRDefault="00AC17AF" w:rsidP="00AC17AF">
            <w:pPr>
              <w:jc w:val="center"/>
              <w:rPr>
                <w:sz w:val="20"/>
                <w:szCs w:val="20"/>
              </w:rPr>
            </w:pPr>
            <w:r w:rsidRPr="007A7801">
              <w:rPr>
                <w:sz w:val="20"/>
                <w:szCs w:val="20"/>
                <w:lang w:val="en-GB"/>
              </w:rPr>
              <w:t>Increase labour market participation</w:t>
            </w:r>
          </w:p>
        </w:tc>
        <w:tc>
          <w:tcPr>
            <w:tcW w:w="1249" w:type="dxa"/>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Pr>
          <w:p w:rsidR="00AC17AF" w:rsidRPr="007A7801" w:rsidRDefault="00AC17AF" w:rsidP="00AC17AF">
            <w:pPr>
              <w:rPr>
                <w:sz w:val="20"/>
                <w:szCs w:val="20"/>
              </w:rPr>
            </w:pPr>
            <w:r w:rsidRPr="007A7801">
              <w:rPr>
                <w:bCs/>
                <w:sz w:val="20"/>
                <w:szCs w:val="20"/>
                <w:lang w:val="en-GB"/>
              </w:rPr>
              <w:t>The scheme aims at the improvement of the employability of the economically inactive women through offering opportunities for participation in training activities and work experience. The scheme offers opportunities for participation in training programmes on information technology, English language and secretarial skills</w:t>
            </w:r>
            <w:r w:rsidR="008461E6">
              <w:rPr>
                <w:bCs/>
                <w:sz w:val="20"/>
                <w:szCs w:val="20"/>
                <w:lang w:val="en-GB"/>
              </w:rPr>
              <w:t>,</w:t>
            </w:r>
            <w:r w:rsidRPr="007A7801">
              <w:rPr>
                <w:bCs/>
                <w:sz w:val="20"/>
                <w:szCs w:val="20"/>
                <w:lang w:val="en-GB"/>
              </w:rPr>
              <w:t xml:space="preserve"> as well as work experience programmes in enterprises of 8-10 weeks duration.</w:t>
            </w:r>
          </w:p>
        </w:tc>
        <w:tc>
          <w:tcPr>
            <w:tcW w:w="1666" w:type="dxa"/>
          </w:tcPr>
          <w:p w:rsidR="00AC17AF" w:rsidRPr="007A7801" w:rsidRDefault="00AC17AF" w:rsidP="00AC17AF">
            <w:pPr>
              <w:jc w:val="center"/>
              <w:rPr>
                <w:sz w:val="20"/>
                <w:szCs w:val="20"/>
                <w:lang w:val="en-GB"/>
              </w:rPr>
            </w:pPr>
            <w:r w:rsidRPr="007A7801">
              <w:rPr>
                <w:bCs/>
                <w:sz w:val="20"/>
                <w:szCs w:val="20"/>
                <w:lang w:val="en-GB"/>
              </w:rPr>
              <w:t>2010</w:t>
            </w:r>
            <w:r w:rsidRPr="007A7801">
              <w:rPr>
                <w:bCs/>
                <w:iCs/>
                <w:sz w:val="20"/>
                <w:szCs w:val="20"/>
                <w:lang w:val="en-GB"/>
              </w:rPr>
              <w:t xml:space="preserve"> – </w:t>
            </w:r>
            <w:r w:rsidRPr="007A7801">
              <w:rPr>
                <w:bCs/>
                <w:sz w:val="20"/>
                <w:szCs w:val="20"/>
                <w:lang w:val="en-GB"/>
              </w:rPr>
              <w:t>2014</w:t>
            </w:r>
          </w:p>
        </w:tc>
        <w:tc>
          <w:tcPr>
            <w:tcW w:w="1418" w:type="dxa"/>
          </w:tcPr>
          <w:p w:rsidR="00AC17AF" w:rsidRPr="007A7801" w:rsidRDefault="00AC17AF" w:rsidP="00AC17AF">
            <w:pPr>
              <w:jc w:val="center"/>
              <w:rPr>
                <w:sz w:val="20"/>
                <w:szCs w:val="20"/>
                <w:lang w:val="en-GB"/>
              </w:rPr>
            </w:pPr>
            <w:r w:rsidRPr="007A7801">
              <w:rPr>
                <w:sz w:val="20"/>
                <w:szCs w:val="20"/>
                <w:lang w:val="en-GB"/>
              </w:rPr>
              <w:t>€4.000.000</w:t>
            </w:r>
          </w:p>
          <w:p w:rsidR="00AC17AF" w:rsidRPr="007A7801" w:rsidRDefault="00AC17AF" w:rsidP="00AC17AF">
            <w:pPr>
              <w:jc w:val="center"/>
              <w:rPr>
                <w:sz w:val="20"/>
                <w:szCs w:val="20"/>
                <w:lang w:val="en-GB"/>
              </w:rPr>
            </w:pPr>
            <w:r w:rsidRPr="007A7801">
              <w:rPr>
                <w:sz w:val="20"/>
                <w:szCs w:val="20"/>
                <w:lang w:val="en-GB"/>
              </w:rPr>
              <w:t>Co-financed by  ESF (70%) and HRDA (30%) as National contribution</w:t>
            </w:r>
          </w:p>
        </w:tc>
        <w:tc>
          <w:tcPr>
            <w:tcW w:w="1327" w:type="dxa"/>
          </w:tcPr>
          <w:p w:rsidR="00AC17AF" w:rsidRPr="007A7801" w:rsidRDefault="00AC17AF" w:rsidP="00AC17AF">
            <w:pPr>
              <w:jc w:val="center"/>
              <w:rPr>
                <w:sz w:val="20"/>
                <w:szCs w:val="20"/>
                <w:lang w:val="en-GB"/>
              </w:rPr>
            </w:pPr>
          </w:p>
        </w:tc>
        <w:tc>
          <w:tcPr>
            <w:tcW w:w="1418" w:type="dxa"/>
          </w:tcPr>
          <w:p w:rsidR="00AC17AF" w:rsidRPr="007A7801" w:rsidRDefault="00AC17AF" w:rsidP="00AC17AF">
            <w:pPr>
              <w:jc w:val="center"/>
              <w:rPr>
                <w:sz w:val="20"/>
                <w:szCs w:val="20"/>
              </w:rPr>
            </w:pPr>
            <w:r w:rsidRPr="007A7801">
              <w:rPr>
                <w:sz w:val="20"/>
                <w:szCs w:val="20"/>
                <w:lang w:val="en-GB"/>
              </w:rPr>
              <w:t>1.500 women</w:t>
            </w:r>
          </w:p>
        </w:tc>
      </w:tr>
      <w:tr w:rsidR="00AC17AF" w:rsidRPr="007A7801" w:rsidTr="00100308">
        <w:trPr>
          <w:cantSplit/>
          <w:jc w:val="center"/>
        </w:trPr>
        <w:tc>
          <w:tcPr>
            <w:tcW w:w="1945" w:type="dxa"/>
          </w:tcPr>
          <w:p w:rsidR="00AC17AF" w:rsidRPr="007A7801" w:rsidRDefault="00AC17AF" w:rsidP="00AC17AF">
            <w:pPr>
              <w:rPr>
                <w:b/>
                <w:bCs/>
                <w:iCs/>
                <w:sz w:val="20"/>
                <w:szCs w:val="20"/>
                <w:lang w:val="en-GB"/>
              </w:rPr>
            </w:pPr>
            <w:r w:rsidRPr="007A7801">
              <w:rPr>
                <w:b/>
                <w:bCs/>
                <w:iCs/>
                <w:sz w:val="20"/>
                <w:szCs w:val="20"/>
                <w:lang w:val="en-GB"/>
              </w:rPr>
              <w:t>Scheme for the improvement of the employability of the unemployed</w:t>
            </w:r>
          </w:p>
          <w:p w:rsidR="00AC17AF" w:rsidRPr="007A7801" w:rsidRDefault="00AC17AF" w:rsidP="00AC17AF">
            <w:pPr>
              <w:rPr>
                <w:b/>
                <w:sz w:val="20"/>
                <w:szCs w:val="20"/>
                <w:lang w:val="en-GB"/>
              </w:rPr>
            </w:pPr>
          </w:p>
        </w:tc>
        <w:tc>
          <w:tcPr>
            <w:tcW w:w="1445" w:type="dxa"/>
          </w:tcPr>
          <w:p w:rsidR="00AC17AF" w:rsidRPr="007A7801" w:rsidRDefault="00AC17AF" w:rsidP="00AC17AF">
            <w:pPr>
              <w:pStyle w:val="ListParagraph"/>
              <w:ind w:left="72"/>
              <w:jc w:val="center"/>
              <w:rPr>
                <w:sz w:val="20"/>
                <w:szCs w:val="20"/>
                <w:lang w:val="en-GB"/>
              </w:rPr>
            </w:pPr>
            <w:r w:rsidRPr="007A7801">
              <w:rPr>
                <w:sz w:val="20"/>
                <w:szCs w:val="20"/>
                <w:lang w:val="en-GB"/>
              </w:rPr>
              <w:t>Increase labour market participation</w:t>
            </w:r>
          </w:p>
          <w:p w:rsidR="00AC17AF" w:rsidRPr="007A7801" w:rsidRDefault="00AC17AF" w:rsidP="00AC17AF">
            <w:pPr>
              <w:jc w:val="center"/>
              <w:rPr>
                <w:sz w:val="20"/>
                <w:szCs w:val="20"/>
                <w:lang w:val="en-GB"/>
              </w:rPr>
            </w:pPr>
          </w:p>
        </w:tc>
        <w:tc>
          <w:tcPr>
            <w:tcW w:w="1249" w:type="dxa"/>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Pr>
          <w:p w:rsidR="00AC17AF" w:rsidRPr="007A7801" w:rsidRDefault="00AC17AF" w:rsidP="00AC17AF">
            <w:pPr>
              <w:rPr>
                <w:sz w:val="20"/>
                <w:szCs w:val="20"/>
              </w:rPr>
            </w:pPr>
            <w:r w:rsidRPr="007A7801">
              <w:rPr>
                <w:bCs/>
                <w:sz w:val="20"/>
                <w:szCs w:val="20"/>
                <w:lang w:val="en-GB"/>
              </w:rPr>
              <w:t>The scheme aims at the improvement of the employability of the unemployed through offering opportunities for participation in training activities and work experience. The scheme offers opportunities for participation in training programmes on information technology, English language and secretarial skills</w:t>
            </w:r>
            <w:r w:rsidR="008461E6">
              <w:rPr>
                <w:bCs/>
                <w:sz w:val="20"/>
                <w:szCs w:val="20"/>
                <w:lang w:val="en-GB"/>
              </w:rPr>
              <w:t>,</w:t>
            </w:r>
            <w:r w:rsidRPr="007A7801">
              <w:rPr>
                <w:bCs/>
                <w:sz w:val="20"/>
                <w:szCs w:val="20"/>
                <w:lang w:val="en-GB"/>
              </w:rPr>
              <w:t xml:space="preserve"> as well as work experience programmes in enterprises of 8-10 weeks duration.</w:t>
            </w:r>
          </w:p>
        </w:tc>
        <w:tc>
          <w:tcPr>
            <w:tcW w:w="1666" w:type="dxa"/>
          </w:tcPr>
          <w:p w:rsidR="00AC17AF" w:rsidRPr="007A7801" w:rsidRDefault="00AC17AF" w:rsidP="00AC17AF">
            <w:pPr>
              <w:jc w:val="center"/>
              <w:rPr>
                <w:sz w:val="20"/>
                <w:szCs w:val="20"/>
                <w:lang w:val="en-GB"/>
              </w:rPr>
            </w:pPr>
            <w:r w:rsidRPr="007A7801">
              <w:rPr>
                <w:bCs/>
                <w:sz w:val="20"/>
                <w:szCs w:val="20"/>
                <w:lang w:val="en-GB"/>
              </w:rPr>
              <w:t>2010</w:t>
            </w:r>
            <w:r w:rsidRPr="007A7801">
              <w:rPr>
                <w:bCs/>
                <w:iCs/>
                <w:sz w:val="20"/>
                <w:szCs w:val="20"/>
                <w:lang w:val="en-GB"/>
              </w:rPr>
              <w:t xml:space="preserve"> – </w:t>
            </w:r>
            <w:r w:rsidRPr="007A7801">
              <w:rPr>
                <w:bCs/>
                <w:sz w:val="20"/>
                <w:szCs w:val="20"/>
                <w:lang w:val="en-GB"/>
              </w:rPr>
              <w:t>2014</w:t>
            </w:r>
          </w:p>
        </w:tc>
        <w:tc>
          <w:tcPr>
            <w:tcW w:w="1418" w:type="dxa"/>
          </w:tcPr>
          <w:p w:rsidR="00AC17AF" w:rsidRPr="007A7801" w:rsidRDefault="00AC17AF" w:rsidP="00AC17AF">
            <w:pPr>
              <w:jc w:val="center"/>
              <w:rPr>
                <w:sz w:val="20"/>
                <w:szCs w:val="20"/>
                <w:lang w:val="en-GB"/>
              </w:rPr>
            </w:pPr>
            <w:r w:rsidRPr="007A7801">
              <w:rPr>
                <w:sz w:val="20"/>
                <w:szCs w:val="20"/>
                <w:lang w:val="en-GB"/>
              </w:rPr>
              <w:t>€8.000.000</w:t>
            </w:r>
          </w:p>
          <w:p w:rsidR="00AC17AF" w:rsidRPr="007A7801" w:rsidRDefault="00AC17AF" w:rsidP="00AC17AF">
            <w:pPr>
              <w:jc w:val="center"/>
              <w:rPr>
                <w:sz w:val="20"/>
                <w:szCs w:val="20"/>
                <w:lang w:val="en-GB"/>
              </w:rPr>
            </w:pPr>
            <w:r w:rsidRPr="007A7801">
              <w:rPr>
                <w:sz w:val="20"/>
                <w:szCs w:val="20"/>
                <w:lang w:val="en-GB"/>
              </w:rPr>
              <w:t>Co-financed by  ESF (70%) and HRDA (30%) as National contribution</w:t>
            </w:r>
          </w:p>
        </w:tc>
        <w:tc>
          <w:tcPr>
            <w:tcW w:w="1327" w:type="dxa"/>
          </w:tcPr>
          <w:p w:rsidR="00AC17AF" w:rsidRPr="007A7801" w:rsidRDefault="00AC17AF" w:rsidP="00AC17AF">
            <w:pPr>
              <w:jc w:val="center"/>
              <w:rPr>
                <w:sz w:val="20"/>
                <w:szCs w:val="20"/>
              </w:rPr>
            </w:pPr>
          </w:p>
        </w:tc>
        <w:tc>
          <w:tcPr>
            <w:tcW w:w="1418" w:type="dxa"/>
          </w:tcPr>
          <w:p w:rsidR="00AC17AF" w:rsidRPr="007A7801" w:rsidRDefault="00AC17AF" w:rsidP="00AC17AF">
            <w:pPr>
              <w:jc w:val="center"/>
              <w:rPr>
                <w:sz w:val="20"/>
                <w:szCs w:val="20"/>
              </w:rPr>
            </w:pPr>
            <w:r w:rsidRPr="007A7801">
              <w:rPr>
                <w:bCs/>
                <w:sz w:val="20"/>
                <w:szCs w:val="20"/>
                <w:lang w:val="en-GB"/>
              </w:rPr>
              <w:t>2.200 unemployed</w:t>
            </w:r>
          </w:p>
        </w:tc>
      </w:tr>
      <w:tr w:rsidR="00AC17AF" w:rsidRPr="007A7801" w:rsidTr="00100308">
        <w:trPr>
          <w:cantSplit/>
          <w:jc w:val="center"/>
        </w:trPr>
        <w:tc>
          <w:tcPr>
            <w:tcW w:w="1945" w:type="dxa"/>
          </w:tcPr>
          <w:p w:rsidR="00AC17AF" w:rsidRPr="007A7801" w:rsidRDefault="00AC17AF" w:rsidP="00AC17AF">
            <w:pPr>
              <w:rPr>
                <w:b/>
                <w:sz w:val="20"/>
                <w:szCs w:val="20"/>
                <w:lang w:val="en-GB"/>
              </w:rPr>
            </w:pPr>
            <w:r w:rsidRPr="007A7801">
              <w:rPr>
                <w:b/>
                <w:bCs/>
                <w:sz w:val="20"/>
                <w:szCs w:val="20"/>
                <w:lang w:val="en-GB"/>
              </w:rPr>
              <w:t>Job placement and training of unemployed tertiary education young graduates</w:t>
            </w:r>
          </w:p>
        </w:tc>
        <w:tc>
          <w:tcPr>
            <w:tcW w:w="1445" w:type="dxa"/>
          </w:tcPr>
          <w:p w:rsidR="00AC17AF" w:rsidRPr="007A7801" w:rsidRDefault="00AC17AF" w:rsidP="00AC17AF">
            <w:pPr>
              <w:jc w:val="center"/>
              <w:rPr>
                <w:sz w:val="20"/>
                <w:szCs w:val="20"/>
              </w:rPr>
            </w:pPr>
            <w:r w:rsidRPr="007A7801">
              <w:rPr>
                <w:sz w:val="20"/>
                <w:szCs w:val="20"/>
                <w:lang w:val="en-GB"/>
              </w:rPr>
              <w:t>Increase labour market participation</w:t>
            </w:r>
          </w:p>
        </w:tc>
        <w:tc>
          <w:tcPr>
            <w:tcW w:w="1249" w:type="dxa"/>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Pr>
          <w:p w:rsidR="00AC17AF" w:rsidRPr="007A7801" w:rsidRDefault="00AC17AF" w:rsidP="00AC17AF">
            <w:pPr>
              <w:pStyle w:val="BodyText2"/>
              <w:spacing w:after="0" w:line="240" w:lineRule="auto"/>
              <w:rPr>
                <w:sz w:val="20"/>
                <w:szCs w:val="20"/>
              </w:rPr>
            </w:pPr>
            <w:r w:rsidRPr="007A7801">
              <w:rPr>
                <w:sz w:val="20"/>
                <w:szCs w:val="20"/>
              </w:rPr>
              <w:t>This scheme aims at strengthening the management capacity of enterprises and organi</w:t>
            </w:r>
            <w:r w:rsidR="008461E6">
              <w:rPr>
                <w:sz w:val="20"/>
                <w:szCs w:val="20"/>
              </w:rPr>
              <w:t>s</w:t>
            </w:r>
            <w:r w:rsidRPr="007A7801">
              <w:rPr>
                <w:sz w:val="20"/>
                <w:szCs w:val="20"/>
              </w:rPr>
              <w:t>ations through the employment and training of young university and other tertiary education graduates. The measure provides incentives to enterprises to provide employment, practical training and work experience to young graduates. HRDA provides subsidies to employers for the delivery of in-house training programmes to young graduates (6 or 12 months duration). The in-house training of graduates is enhanced by the participation in other training courses, aiming at speciali</w:t>
            </w:r>
            <w:r w:rsidR="008461E6">
              <w:rPr>
                <w:sz w:val="20"/>
                <w:szCs w:val="20"/>
              </w:rPr>
              <w:t>s</w:t>
            </w:r>
            <w:r w:rsidRPr="007A7801">
              <w:rPr>
                <w:sz w:val="20"/>
                <w:szCs w:val="20"/>
              </w:rPr>
              <w:t>ing and fulfilling their knowledge.</w:t>
            </w:r>
          </w:p>
        </w:tc>
        <w:tc>
          <w:tcPr>
            <w:tcW w:w="1666" w:type="dxa"/>
          </w:tcPr>
          <w:p w:rsidR="00AC17AF" w:rsidRPr="007A7801" w:rsidRDefault="00AC17AF" w:rsidP="00AC17AF">
            <w:pPr>
              <w:jc w:val="center"/>
              <w:rPr>
                <w:sz w:val="20"/>
                <w:szCs w:val="20"/>
              </w:rPr>
            </w:pPr>
            <w:r w:rsidRPr="007A7801">
              <w:rPr>
                <w:sz w:val="20"/>
                <w:szCs w:val="20"/>
              </w:rPr>
              <w:t>On going</w:t>
            </w:r>
          </w:p>
        </w:tc>
        <w:tc>
          <w:tcPr>
            <w:tcW w:w="1418" w:type="dxa"/>
          </w:tcPr>
          <w:p w:rsidR="00AC17AF" w:rsidRPr="007A7801" w:rsidRDefault="00AC17AF" w:rsidP="00AC17AF">
            <w:pPr>
              <w:jc w:val="center"/>
              <w:rPr>
                <w:sz w:val="20"/>
                <w:szCs w:val="20"/>
              </w:rPr>
            </w:pPr>
            <w:r w:rsidRPr="007A7801">
              <w:rPr>
                <w:sz w:val="20"/>
                <w:szCs w:val="20"/>
                <w:lang w:val="en-GB"/>
              </w:rPr>
              <w:t>€5.100.000 for 2011</w:t>
            </w:r>
          </w:p>
        </w:tc>
        <w:tc>
          <w:tcPr>
            <w:tcW w:w="1327" w:type="dxa"/>
          </w:tcPr>
          <w:p w:rsidR="00AC17AF" w:rsidRPr="007A7801" w:rsidRDefault="00AC17AF" w:rsidP="00AC17AF">
            <w:pPr>
              <w:jc w:val="center"/>
              <w:rPr>
                <w:sz w:val="20"/>
                <w:szCs w:val="20"/>
              </w:rPr>
            </w:pPr>
          </w:p>
        </w:tc>
        <w:tc>
          <w:tcPr>
            <w:tcW w:w="1418" w:type="dxa"/>
          </w:tcPr>
          <w:p w:rsidR="00AC17AF" w:rsidRPr="007A7801" w:rsidRDefault="00AC17AF" w:rsidP="00AC17AF">
            <w:pPr>
              <w:jc w:val="center"/>
              <w:rPr>
                <w:sz w:val="20"/>
                <w:szCs w:val="20"/>
              </w:rPr>
            </w:pPr>
            <w:r w:rsidRPr="007A7801">
              <w:rPr>
                <w:sz w:val="20"/>
                <w:szCs w:val="20"/>
              </w:rPr>
              <w:t>600  persons in 2011</w:t>
            </w:r>
          </w:p>
        </w:tc>
      </w:tr>
    </w:tbl>
    <w:p w:rsidR="00326D6D" w:rsidRDefault="00326D6D" w:rsidP="00AC17AF">
      <w:pPr>
        <w:rPr>
          <w:b/>
          <w:bCs/>
          <w:iCs/>
          <w:sz w:val="20"/>
          <w:szCs w:val="20"/>
          <w:lang w:val="en-GB"/>
        </w:rPr>
        <w:sectPr w:rsidR="00326D6D" w:rsidSect="00AC17AF">
          <w:headerReference w:type="default" r:id="rId46"/>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417"/>
        <w:gridCol w:w="1456"/>
      </w:tblGrid>
      <w:tr w:rsidR="00AC17AF" w:rsidRPr="007A7801" w:rsidTr="00100308">
        <w:trPr>
          <w:cantSplit/>
          <w:jc w:val="center"/>
        </w:trPr>
        <w:tc>
          <w:tcPr>
            <w:tcW w:w="1945" w:type="dxa"/>
          </w:tcPr>
          <w:p w:rsidR="00AC17AF" w:rsidRPr="007A7801" w:rsidRDefault="00AC17AF" w:rsidP="00AC17AF">
            <w:pPr>
              <w:rPr>
                <w:b/>
                <w:bCs/>
                <w:iCs/>
                <w:sz w:val="20"/>
                <w:szCs w:val="20"/>
                <w:lang w:val="en-GB"/>
              </w:rPr>
            </w:pPr>
            <w:r w:rsidRPr="007A7801">
              <w:rPr>
                <w:b/>
                <w:bCs/>
                <w:iCs/>
                <w:sz w:val="20"/>
                <w:szCs w:val="20"/>
                <w:lang w:val="en-GB"/>
              </w:rPr>
              <w:lastRenderedPageBreak/>
              <w:t>Training programmes for upgrading the skills of unemployed pe</w:t>
            </w:r>
            <w:r w:rsidR="008461E6">
              <w:rPr>
                <w:b/>
                <w:bCs/>
                <w:iCs/>
                <w:sz w:val="20"/>
                <w:szCs w:val="20"/>
                <w:lang w:val="en-GB"/>
              </w:rPr>
              <w:t>ople</w:t>
            </w:r>
          </w:p>
          <w:p w:rsidR="00AC17AF" w:rsidRPr="007A7801" w:rsidRDefault="00AC17AF" w:rsidP="00AC17AF">
            <w:pPr>
              <w:rPr>
                <w:b/>
                <w:bCs/>
                <w:sz w:val="20"/>
                <w:szCs w:val="20"/>
                <w:lang w:val="en-GB"/>
              </w:rPr>
            </w:pPr>
            <w:r w:rsidRPr="007A7801">
              <w:rPr>
                <w:b/>
                <w:bCs/>
                <w:sz w:val="20"/>
                <w:szCs w:val="20"/>
                <w:lang w:val="en-GB"/>
              </w:rPr>
              <w:t>(Measure in response to the crisis)</w:t>
            </w:r>
          </w:p>
        </w:tc>
        <w:tc>
          <w:tcPr>
            <w:tcW w:w="1445" w:type="dxa"/>
          </w:tcPr>
          <w:p w:rsidR="00AC17AF" w:rsidRPr="007A7801" w:rsidRDefault="00AC17AF" w:rsidP="00AC17AF">
            <w:pPr>
              <w:jc w:val="center"/>
              <w:rPr>
                <w:sz w:val="20"/>
                <w:szCs w:val="20"/>
                <w:lang w:val="en-GB"/>
              </w:rPr>
            </w:pPr>
            <w:r w:rsidRPr="007A7801">
              <w:rPr>
                <w:sz w:val="20"/>
                <w:szCs w:val="20"/>
                <w:lang w:val="en-GB"/>
              </w:rPr>
              <w:t>Increase labour market participation</w:t>
            </w:r>
          </w:p>
        </w:tc>
        <w:tc>
          <w:tcPr>
            <w:tcW w:w="1249" w:type="dxa"/>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Pr>
          <w:p w:rsidR="00AC17AF" w:rsidRPr="007A7801" w:rsidRDefault="00AC17AF" w:rsidP="00AC17AF">
            <w:pPr>
              <w:rPr>
                <w:sz w:val="20"/>
                <w:szCs w:val="20"/>
              </w:rPr>
            </w:pPr>
            <w:r w:rsidRPr="007A7801">
              <w:rPr>
                <w:sz w:val="20"/>
                <w:szCs w:val="20"/>
                <w:lang w:val="en-GB"/>
              </w:rPr>
              <w:t xml:space="preserve">The HRDA, in partnership with the Public Employment Service, the Cyprus Productivity Centre and the Higher Hotel Institute, organises, as from May 2009, upgrading training programmes for unemployed </w:t>
            </w:r>
            <w:r w:rsidR="008461E6">
              <w:rPr>
                <w:sz w:val="20"/>
                <w:szCs w:val="20"/>
                <w:lang w:val="en-GB"/>
              </w:rPr>
              <w:t>people</w:t>
            </w:r>
            <w:r w:rsidRPr="007A7801">
              <w:rPr>
                <w:sz w:val="20"/>
                <w:szCs w:val="20"/>
                <w:lang w:val="en-GB"/>
              </w:rPr>
              <w:t>. These programmes cover important horizontal skills, which help people to return to productive employment. They are offered free of charge to unemployed pe</w:t>
            </w:r>
            <w:r w:rsidR="008461E6">
              <w:rPr>
                <w:sz w:val="20"/>
                <w:szCs w:val="20"/>
                <w:lang w:val="en-GB"/>
              </w:rPr>
              <w:t>ople</w:t>
            </w:r>
            <w:r w:rsidRPr="007A7801">
              <w:rPr>
                <w:sz w:val="20"/>
                <w:szCs w:val="20"/>
                <w:lang w:val="en-GB"/>
              </w:rPr>
              <w:t>. For the duration of these programmes participants are entitled to training allowances from the HRDA.</w:t>
            </w:r>
          </w:p>
        </w:tc>
        <w:tc>
          <w:tcPr>
            <w:tcW w:w="1808" w:type="dxa"/>
          </w:tcPr>
          <w:p w:rsidR="00AC17AF" w:rsidRPr="007A7801" w:rsidRDefault="00AC17AF" w:rsidP="00AC17AF">
            <w:pPr>
              <w:jc w:val="center"/>
              <w:rPr>
                <w:sz w:val="20"/>
                <w:szCs w:val="20"/>
              </w:rPr>
            </w:pPr>
            <w:r w:rsidRPr="007A7801">
              <w:rPr>
                <w:sz w:val="20"/>
                <w:szCs w:val="20"/>
              </w:rPr>
              <w:t>2009-2011</w:t>
            </w:r>
          </w:p>
        </w:tc>
        <w:tc>
          <w:tcPr>
            <w:tcW w:w="1276" w:type="dxa"/>
          </w:tcPr>
          <w:p w:rsidR="00AC17AF" w:rsidRPr="007A7801" w:rsidRDefault="00AC17AF" w:rsidP="00AC17AF">
            <w:pPr>
              <w:jc w:val="center"/>
              <w:rPr>
                <w:sz w:val="20"/>
                <w:szCs w:val="20"/>
                <w:lang w:val="en-GB"/>
              </w:rPr>
            </w:pPr>
            <w:r w:rsidRPr="007A7801">
              <w:rPr>
                <w:sz w:val="20"/>
                <w:szCs w:val="20"/>
                <w:lang w:val="en-GB"/>
              </w:rPr>
              <w:t>€1.000.000 for 2011</w:t>
            </w:r>
          </w:p>
        </w:tc>
        <w:tc>
          <w:tcPr>
            <w:tcW w:w="1417" w:type="dxa"/>
          </w:tcPr>
          <w:p w:rsidR="00AC17AF" w:rsidRPr="007A7801" w:rsidRDefault="00AC17AF" w:rsidP="00AC17AF">
            <w:pPr>
              <w:jc w:val="center"/>
              <w:rPr>
                <w:sz w:val="20"/>
                <w:szCs w:val="20"/>
              </w:rPr>
            </w:pPr>
          </w:p>
        </w:tc>
        <w:tc>
          <w:tcPr>
            <w:tcW w:w="1456" w:type="dxa"/>
          </w:tcPr>
          <w:p w:rsidR="00AC17AF" w:rsidRPr="007A7801" w:rsidRDefault="00AC17AF" w:rsidP="00AC17AF">
            <w:pPr>
              <w:jc w:val="center"/>
              <w:rPr>
                <w:sz w:val="20"/>
                <w:szCs w:val="20"/>
              </w:rPr>
            </w:pPr>
            <w:r w:rsidRPr="007A7801">
              <w:rPr>
                <w:sz w:val="20"/>
                <w:szCs w:val="20"/>
              </w:rPr>
              <w:t>1.000 persons in 2011</w:t>
            </w:r>
          </w:p>
        </w:tc>
      </w:tr>
      <w:tr w:rsidR="00AC17AF" w:rsidRPr="007A7801" w:rsidTr="00100308">
        <w:trPr>
          <w:cantSplit/>
          <w:jc w:val="center"/>
        </w:trPr>
        <w:tc>
          <w:tcPr>
            <w:tcW w:w="1945" w:type="dxa"/>
          </w:tcPr>
          <w:p w:rsidR="00AC17AF" w:rsidRPr="007A7801" w:rsidRDefault="00AC17AF" w:rsidP="00AC17AF">
            <w:pPr>
              <w:rPr>
                <w:b/>
                <w:sz w:val="20"/>
                <w:szCs w:val="20"/>
                <w:lang w:val="en-GB"/>
              </w:rPr>
            </w:pPr>
            <w:r w:rsidRPr="007A7801">
              <w:rPr>
                <w:b/>
                <w:sz w:val="20"/>
                <w:szCs w:val="20"/>
                <w:lang w:val="en-GB"/>
              </w:rPr>
              <w:t xml:space="preserve">Job placement and training of unemployed Cypriots and EU nationals to fill vacancies and / or replace labour from third countries </w:t>
            </w:r>
            <w:r w:rsidRPr="007A7801">
              <w:rPr>
                <w:b/>
                <w:bCs/>
                <w:iCs/>
                <w:sz w:val="20"/>
                <w:szCs w:val="20"/>
                <w:lang w:val="en-GB"/>
              </w:rPr>
              <w:t>(Measure in response to the crisis)</w:t>
            </w:r>
          </w:p>
        </w:tc>
        <w:tc>
          <w:tcPr>
            <w:tcW w:w="1445" w:type="dxa"/>
          </w:tcPr>
          <w:p w:rsidR="00AC17AF" w:rsidRPr="007A7801" w:rsidRDefault="00AC17AF" w:rsidP="00AC17AF">
            <w:pPr>
              <w:jc w:val="center"/>
              <w:rPr>
                <w:sz w:val="20"/>
                <w:szCs w:val="20"/>
                <w:lang w:val="en-GB"/>
              </w:rPr>
            </w:pPr>
            <w:r w:rsidRPr="007A7801">
              <w:rPr>
                <w:sz w:val="20"/>
                <w:szCs w:val="20"/>
                <w:lang w:val="en-GB"/>
              </w:rPr>
              <w:t>Increase labour market participation</w:t>
            </w:r>
          </w:p>
          <w:p w:rsidR="00AC17AF" w:rsidRPr="007A7801" w:rsidRDefault="00AC17AF" w:rsidP="00AC17AF">
            <w:pPr>
              <w:jc w:val="center"/>
              <w:rPr>
                <w:sz w:val="20"/>
                <w:szCs w:val="20"/>
              </w:rPr>
            </w:pPr>
          </w:p>
        </w:tc>
        <w:tc>
          <w:tcPr>
            <w:tcW w:w="1249" w:type="dxa"/>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Pr>
          <w:p w:rsidR="00AC17AF" w:rsidRPr="007A7801" w:rsidRDefault="00AC17AF" w:rsidP="00AC17AF">
            <w:pPr>
              <w:pStyle w:val="BodyText2"/>
              <w:spacing w:after="0" w:line="240" w:lineRule="auto"/>
              <w:rPr>
                <w:sz w:val="20"/>
                <w:szCs w:val="20"/>
              </w:rPr>
            </w:pPr>
            <w:r w:rsidRPr="007A7801">
              <w:rPr>
                <w:iCs/>
                <w:sz w:val="20"/>
                <w:szCs w:val="20"/>
              </w:rPr>
              <w:t xml:space="preserve">The aim of this scheme </w:t>
            </w:r>
            <w:r w:rsidRPr="007A7801">
              <w:rPr>
                <w:sz w:val="20"/>
                <w:szCs w:val="20"/>
              </w:rPr>
              <w:t>is to minimise the effects of the crisis</w:t>
            </w:r>
            <w:r w:rsidRPr="007A7801">
              <w:rPr>
                <w:iCs/>
                <w:sz w:val="20"/>
                <w:szCs w:val="20"/>
              </w:rPr>
              <w:t>. It provides incentives to employers in the form of subsidy and guidance for the employment and individualised training of unemployed p</w:t>
            </w:r>
            <w:r w:rsidR="008461E6">
              <w:rPr>
                <w:iCs/>
                <w:sz w:val="20"/>
                <w:szCs w:val="20"/>
              </w:rPr>
              <w:t>eople</w:t>
            </w:r>
            <w:r w:rsidRPr="007A7801">
              <w:rPr>
                <w:iCs/>
                <w:sz w:val="20"/>
                <w:szCs w:val="20"/>
              </w:rPr>
              <w:t xml:space="preserve">, in order to fill vacancies or to replace labour from non-EU countries with Cypriot or other EU nationals. </w:t>
            </w:r>
          </w:p>
          <w:p w:rsidR="00AC17AF" w:rsidRPr="007A7801" w:rsidRDefault="00AC17AF" w:rsidP="00AC17AF">
            <w:pPr>
              <w:rPr>
                <w:sz w:val="20"/>
                <w:szCs w:val="20"/>
              </w:rPr>
            </w:pPr>
          </w:p>
        </w:tc>
        <w:tc>
          <w:tcPr>
            <w:tcW w:w="1808" w:type="dxa"/>
          </w:tcPr>
          <w:p w:rsidR="00AC17AF" w:rsidRPr="007A7801" w:rsidRDefault="00AC17AF" w:rsidP="00AC17AF">
            <w:pPr>
              <w:jc w:val="center"/>
              <w:rPr>
                <w:sz w:val="20"/>
                <w:szCs w:val="20"/>
                <w:lang w:val="en-GB"/>
              </w:rPr>
            </w:pPr>
            <w:r w:rsidRPr="007A7801">
              <w:rPr>
                <w:sz w:val="20"/>
                <w:szCs w:val="20"/>
                <w:lang w:val="en-GB"/>
              </w:rPr>
              <w:t>2009 – 2011</w:t>
            </w:r>
          </w:p>
        </w:tc>
        <w:tc>
          <w:tcPr>
            <w:tcW w:w="1276" w:type="dxa"/>
          </w:tcPr>
          <w:p w:rsidR="00AC17AF" w:rsidRPr="007A7801" w:rsidRDefault="00AC17AF" w:rsidP="00AC17AF">
            <w:pPr>
              <w:jc w:val="center"/>
              <w:rPr>
                <w:sz w:val="20"/>
                <w:szCs w:val="20"/>
                <w:lang w:val="en-GB"/>
              </w:rPr>
            </w:pPr>
            <w:r w:rsidRPr="007A7801">
              <w:rPr>
                <w:sz w:val="20"/>
                <w:szCs w:val="20"/>
                <w:lang w:val="en-GB"/>
              </w:rPr>
              <w:t>€4.500.000</w:t>
            </w:r>
          </w:p>
        </w:tc>
        <w:tc>
          <w:tcPr>
            <w:tcW w:w="1417" w:type="dxa"/>
          </w:tcPr>
          <w:p w:rsidR="00AC17AF" w:rsidRPr="007A7801" w:rsidRDefault="00AC17AF" w:rsidP="00AC17AF">
            <w:pPr>
              <w:jc w:val="center"/>
              <w:rPr>
                <w:sz w:val="20"/>
                <w:szCs w:val="20"/>
              </w:rPr>
            </w:pPr>
          </w:p>
        </w:tc>
        <w:tc>
          <w:tcPr>
            <w:tcW w:w="1456" w:type="dxa"/>
          </w:tcPr>
          <w:p w:rsidR="00AC17AF" w:rsidRPr="007A7801" w:rsidRDefault="00AC17AF" w:rsidP="00AC17AF">
            <w:pPr>
              <w:jc w:val="center"/>
              <w:rPr>
                <w:sz w:val="20"/>
                <w:szCs w:val="20"/>
              </w:rPr>
            </w:pPr>
            <w:r w:rsidRPr="007A7801">
              <w:rPr>
                <w:sz w:val="20"/>
                <w:szCs w:val="20"/>
              </w:rPr>
              <w:t>1.000 persons in 2011.</w:t>
            </w:r>
          </w:p>
        </w:tc>
      </w:tr>
      <w:tr w:rsidR="00AC17AF" w:rsidRPr="007A7801" w:rsidTr="00100308">
        <w:trPr>
          <w:cantSplit/>
          <w:jc w:val="center"/>
        </w:trPr>
        <w:tc>
          <w:tcPr>
            <w:tcW w:w="1945" w:type="dxa"/>
          </w:tcPr>
          <w:p w:rsidR="00AC17AF" w:rsidRPr="007A7801" w:rsidRDefault="00AC17AF" w:rsidP="00AC17AF">
            <w:pPr>
              <w:rPr>
                <w:b/>
                <w:sz w:val="20"/>
                <w:szCs w:val="20"/>
                <w:lang w:val="en-GB"/>
              </w:rPr>
            </w:pPr>
            <w:r w:rsidRPr="007A7801">
              <w:rPr>
                <w:b/>
                <w:sz w:val="20"/>
                <w:szCs w:val="20"/>
              </w:rPr>
              <w:t xml:space="preserve">Scheme providing incentives for employment of the unemployed in the private sector (Measure in response to the crisis) </w:t>
            </w:r>
          </w:p>
        </w:tc>
        <w:tc>
          <w:tcPr>
            <w:tcW w:w="1445" w:type="dxa"/>
          </w:tcPr>
          <w:p w:rsidR="00AC17AF" w:rsidRPr="007A7801" w:rsidRDefault="00AC17AF" w:rsidP="00AC17AF">
            <w:pPr>
              <w:jc w:val="center"/>
              <w:rPr>
                <w:sz w:val="20"/>
                <w:szCs w:val="20"/>
              </w:rPr>
            </w:pPr>
            <w:r w:rsidRPr="007A7801">
              <w:rPr>
                <w:sz w:val="20"/>
                <w:szCs w:val="20"/>
              </w:rPr>
              <w:t>Increase labour market participation</w:t>
            </w:r>
          </w:p>
        </w:tc>
        <w:tc>
          <w:tcPr>
            <w:tcW w:w="1249" w:type="dxa"/>
          </w:tcPr>
          <w:p w:rsidR="00AC17AF" w:rsidRPr="007A7801" w:rsidRDefault="00AC17AF" w:rsidP="00AC17AF">
            <w:pPr>
              <w:jc w:val="center"/>
              <w:rPr>
                <w:sz w:val="20"/>
                <w:szCs w:val="20"/>
                <w:lang w:val="en-GB"/>
              </w:rPr>
            </w:pPr>
            <w:r w:rsidRPr="007A7801">
              <w:rPr>
                <w:sz w:val="20"/>
                <w:szCs w:val="20"/>
                <w:lang w:val="en-GB"/>
              </w:rPr>
              <w:t>Department of Labour</w:t>
            </w:r>
          </w:p>
        </w:tc>
        <w:tc>
          <w:tcPr>
            <w:tcW w:w="4280" w:type="dxa"/>
          </w:tcPr>
          <w:p w:rsidR="00AC17AF" w:rsidRPr="007A7801" w:rsidRDefault="00AC17AF" w:rsidP="00AC17AF">
            <w:pPr>
              <w:rPr>
                <w:sz w:val="20"/>
                <w:szCs w:val="20"/>
                <w:lang w:val="en-GB"/>
              </w:rPr>
            </w:pPr>
            <w:r w:rsidRPr="007A7801">
              <w:rPr>
                <w:sz w:val="20"/>
                <w:szCs w:val="20"/>
              </w:rPr>
              <w:t>Financial aid of 60% of the yearly wage cost with maximum amount of €7.200 per person per semester is provided. The subsidy is granted only for the first 6 months of employment</w:t>
            </w:r>
          </w:p>
        </w:tc>
        <w:tc>
          <w:tcPr>
            <w:tcW w:w="1808" w:type="dxa"/>
          </w:tcPr>
          <w:p w:rsidR="00AC17AF" w:rsidRPr="007A7801" w:rsidRDefault="00AC17AF" w:rsidP="00AC17AF">
            <w:pPr>
              <w:jc w:val="center"/>
              <w:rPr>
                <w:sz w:val="20"/>
                <w:szCs w:val="20"/>
              </w:rPr>
            </w:pPr>
            <w:r w:rsidRPr="007A7801">
              <w:rPr>
                <w:sz w:val="20"/>
                <w:szCs w:val="20"/>
              </w:rPr>
              <w:t>27/11/2009  - 31/08/2011</w:t>
            </w:r>
          </w:p>
        </w:tc>
        <w:tc>
          <w:tcPr>
            <w:tcW w:w="1276" w:type="dxa"/>
          </w:tcPr>
          <w:p w:rsidR="00AC17AF" w:rsidRPr="007A7801" w:rsidRDefault="00AC17AF" w:rsidP="00AC17AF">
            <w:pPr>
              <w:jc w:val="center"/>
              <w:rPr>
                <w:sz w:val="20"/>
                <w:szCs w:val="20"/>
              </w:rPr>
            </w:pPr>
            <w:r w:rsidRPr="007A7801">
              <w:rPr>
                <w:sz w:val="20"/>
                <w:szCs w:val="20"/>
              </w:rPr>
              <w:t>€6.000.000</w:t>
            </w:r>
          </w:p>
          <w:p w:rsidR="00AC17AF" w:rsidRPr="007A7801" w:rsidRDefault="00AC17AF" w:rsidP="00AC17AF">
            <w:pPr>
              <w:jc w:val="center"/>
              <w:rPr>
                <w:b/>
                <w:sz w:val="20"/>
                <w:szCs w:val="20"/>
              </w:rPr>
            </w:pPr>
            <w:r w:rsidRPr="007A7801">
              <w:rPr>
                <w:sz w:val="20"/>
                <w:szCs w:val="20"/>
                <w:lang w:val="en-GB"/>
              </w:rPr>
              <w:t>Co-financed by ESF (70%) and the Cyprus Government (30%)</w:t>
            </w:r>
          </w:p>
        </w:tc>
        <w:tc>
          <w:tcPr>
            <w:tcW w:w="1417" w:type="dxa"/>
          </w:tcPr>
          <w:p w:rsidR="00AC17AF" w:rsidRPr="007A7801" w:rsidRDefault="00AC17AF" w:rsidP="00AC17AF">
            <w:pPr>
              <w:jc w:val="center"/>
              <w:rPr>
                <w:sz w:val="20"/>
                <w:szCs w:val="20"/>
              </w:rPr>
            </w:pPr>
          </w:p>
        </w:tc>
        <w:tc>
          <w:tcPr>
            <w:tcW w:w="1456" w:type="dxa"/>
          </w:tcPr>
          <w:p w:rsidR="00AC17AF" w:rsidRPr="007A7801" w:rsidRDefault="00AC17AF" w:rsidP="00AC17AF">
            <w:pPr>
              <w:jc w:val="center"/>
              <w:rPr>
                <w:sz w:val="20"/>
                <w:szCs w:val="20"/>
              </w:rPr>
            </w:pPr>
            <w:r w:rsidRPr="007A7801">
              <w:rPr>
                <w:sz w:val="20"/>
                <w:szCs w:val="20"/>
              </w:rPr>
              <w:t>1.200 unemployed</w:t>
            </w:r>
          </w:p>
        </w:tc>
      </w:tr>
      <w:tr w:rsidR="00AC17AF" w:rsidRPr="007A7801" w:rsidTr="00100308">
        <w:trPr>
          <w:cantSplit/>
          <w:jc w:val="center"/>
        </w:trPr>
        <w:tc>
          <w:tcPr>
            <w:tcW w:w="1945" w:type="dxa"/>
          </w:tcPr>
          <w:p w:rsidR="00AC17AF" w:rsidRPr="007A7801" w:rsidRDefault="00AC17AF" w:rsidP="00AC17AF">
            <w:pPr>
              <w:rPr>
                <w:b/>
                <w:sz w:val="20"/>
                <w:szCs w:val="20"/>
              </w:rPr>
            </w:pPr>
            <w:r w:rsidRPr="007A7801">
              <w:rPr>
                <w:b/>
                <w:sz w:val="20"/>
                <w:szCs w:val="20"/>
              </w:rPr>
              <w:t>Scheme providing incentives for hiring individuals with disabilities in the private sector and Local Authorities</w:t>
            </w:r>
          </w:p>
        </w:tc>
        <w:tc>
          <w:tcPr>
            <w:tcW w:w="1445" w:type="dxa"/>
          </w:tcPr>
          <w:p w:rsidR="00AC17AF" w:rsidRPr="007A7801" w:rsidRDefault="00AC17AF" w:rsidP="00AC17AF">
            <w:pPr>
              <w:jc w:val="center"/>
              <w:rPr>
                <w:sz w:val="20"/>
                <w:szCs w:val="20"/>
              </w:rPr>
            </w:pPr>
            <w:r w:rsidRPr="007A7801">
              <w:rPr>
                <w:sz w:val="20"/>
                <w:szCs w:val="20"/>
              </w:rPr>
              <w:t>Increase labour market participation</w:t>
            </w:r>
          </w:p>
        </w:tc>
        <w:tc>
          <w:tcPr>
            <w:tcW w:w="1249" w:type="dxa"/>
          </w:tcPr>
          <w:p w:rsidR="00AC17AF" w:rsidRPr="007A7801" w:rsidRDefault="00AC17AF" w:rsidP="00AC17AF">
            <w:pPr>
              <w:jc w:val="center"/>
              <w:rPr>
                <w:sz w:val="20"/>
                <w:szCs w:val="20"/>
                <w:lang w:val="en-GB"/>
              </w:rPr>
            </w:pPr>
            <w:r w:rsidRPr="007A7801">
              <w:rPr>
                <w:sz w:val="20"/>
                <w:szCs w:val="20"/>
                <w:lang w:val="en-GB"/>
              </w:rPr>
              <w:t>Department of Labour</w:t>
            </w:r>
          </w:p>
        </w:tc>
        <w:tc>
          <w:tcPr>
            <w:tcW w:w="4280" w:type="dxa"/>
          </w:tcPr>
          <w:p w:rsidR="00AC17AF" w:rsidRPr="007A7801" w:rsidRDefault="00AC17AF" w:rsidP="00AC17AF">
            <w:pPr>
              <w:rPr>
                <w:sz w:val="20"/>
                <w:szCs w:val="20"/>
              </w:rPr>
            </w:pPr>
            <w:r w:rsidRPr="007A7801">
              <w:rPr>
                <w:sz w:val="20"/>
                <w:szCs w:val="20"/>
              </w:rPr>
              <w:t>Financial aid of 75% of the annual wage cost with a maximum amount of €15.000 per person per year is provided for the first 24 months of employment.</w:t>
            </w:r>
            <w:r w:rsidRPr="007A7801">
              <w:rPr>
                <w:b/>
                <w:sz w:val="20"/>
                <w:szCs w:val="20"/>
              </w:rPr>
              <w:t xml:space="preserve"> </w:t>
            </w:r>
            <w:r w:rsidRPr="007A7801">
              <w:rPr>
                <w:sz w:val="20"/>
                <w:szCs w:val="20"/>
              </w:rPr>
              <w:t>Additionally, financial aid up to 25% of the eligible costs with a maximum amount of €5.000 per person, for adapting premises, adapting or acquiring equipment, or acquiring and validating software for use by disabled workers, where the beneficiary provides sheltered employment, the costs of constructing, installing or expanding the establishment concerned, and any costs of administration and transport which result directly from the employment of disabled workers</w:t>
            </w:r>
          </w:p>
        </w:tc>
        <w:tc>
          <w:tcPr>
            <w:tcW w:w="1808" w:type="dxa"/>
          </w:tcPr>
          <w:p w:rsidR="00AC17AF" w:rsidRPr="007A7801" w:rsidRDefault="00AC17AF" w:rsidP="00AC17AF">
            <w:pPr>
              <w:jc w:val="center"/>
              <w:rPr>
                <w:sz w:val="20"/>
                <w:szCs w:val="20"/>
              </w:rPr>
            </w:pPr>
            <w:r w:rsidRPr="007A7801">
              <w:rPr>
                <w:sz w:val="20"/>
                <w:szCs w:val="20"/>
              </w:rPr>
              <w:t>29/09/2009 - 30/06/2014</w:t>
            </w:r>
          </w:p>
        </w:tc>
        <w:tc>
          <w:tcPr>
            <w:tcW w:w="1276" w:type="dxa"/>
          </w:tcPr>
          <w:p w:rsidR="00AC17AF" w:rsidRPr="007A7801" w:rsidRDefault="00AC17AF" w:rsidP="00AC17AF">
            <w:pPr>
              <w:jc w:val="center"/>
              <w:rPr>
                <w:sz w:val="20"/>
                <w:szCs w:val="20"/>
              </w:rPr>
            </w:pPr>
            <w:r w:rsidRPr="007A7801">
              <w:rPr>
                <w:sz w:val="20"/>
                <w:szCs w:val="20"/>
              </w:rPr>
              <w:t>€1.000.000</w:t>
            </w:r>
          </w:p>
          <w:p w:rsidR="00AC17AF" w:rsidRPr="007A7801" w:rsidRDefault="00AC17AF" w:rsidP="00AC17AF">
            <w:pPr>
              <w:jc w:val="center"/>
              <w:rPr>
                <w:sz w:val="20"/>
                <w:szCs w:val="20"/>
              </w:rPr>
            </w:pPr>
            <w:r w:rsidRPr="007A7801">
              <w:rPr>
                <w:sz w:val="20"/>
                <w:szCs w:val="20"/>
                <w:lang w:val="en-GB"/>
              </w:rPr>
              <w:t>Co-financed by ESF (70%) and the Cyprus Government (30%)</w:t>
            </w:r>
          </w:p>
          <w:p w:rsidR="00AC17AF" w:rsidRPr="007A7801" w:rsidRDefault="00AC17AF" w:rsidP="00AC17AF">
            <w:pPr>
              <w:jc w:val="center"/>
              <w:rPr>
                <w:sz w:val="20"/>
                <w:szCs w:val="20"/>
              </w:rPr>
            </w:pPr>
          </w:p>
        </w:tc>
        <w:tc>
          <w:tcPr>
            <w:tcW w:w="1417" w:type="dxa"/>
          </w:tcPr>
          <w:p w:rsidR="00AC17AF" w:rsidRPr="007A7801" w:rsidRDefault="00AC17AF" w:rsidP="00AC17AF">
            <w:pPr>
              <w:jc w:val="center"/>
              <w:rPr>
                <w:sz w:val="20"/>
                <w:szCs w:val="20"/>
              </w:rPr>
            </w:pPr>
          </w:p>
        </w:tc>
        <w:tc>
          <w:tcPr>
            <w:tcW w:w="1456" w:type="dxa"/>
          </w:tcPr>
          <w:p w:rsidR="00AC17AF" w:rsidRPr="007A7801" w:rsidRDefault="00AC17AF" w:rsidP="00AC17AF">
            <w:pPr>
              <w:jc w:val="center"/>
              <w:rPr>
                <w:sz w:val="20"/>
                <w:szCs w:val="20"/>
              </w:rPr>
            </w:pPr>
            <w:r w:rsidRPr="007A7801">
              <w:rPr>
                <w:sz w:val="20"/>
                <w:szCs w:val="20"/>
              </w:rPr>
              <w:t>120 unemployed with disabilities</w:t>
            </w:r>
          </w:p>
        </w:tc>
      </w:tr>
    </w:tbl>
    <w:p w:rsidR="00326D6D" w:rsidRDefault="00326D6D" w:rsidP="00AC17AF">
      <w:pPr>
        <w:rPr>
          <w:b/>
          <w:sz w:val="20"/>
          <w:szCs w:val="20"/>
        </w:rPr>
        <w:sectPr w:rsidR="00326D6D" w:rsidSect="00326D6D">
          <w:type w:val="continuous"/>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417"/>
        <w:gridCol w:w="1456"/>
      </w:tblGrid>
      <w:tr w:rsidR="00AC17AF" w:rsidRPr="007A7801" w:rsidTr="00100308">
        <w:trPr>
          <w:cantSplit/>
          <w:jc w:val="center"/>
        </w:trPr>
        <w:tc>
          <w:tcPr>
            <w:tcW w:w="1945" w:type="dxa"/>
          </w:tcPr>
          <w:p w:rsidR="00AC17AF" w:rsidRPr="007A7801" w:rsidRDefault="00AC17AF" w:rsidP="00AC17AF">
            <w:pPr>
              <w:rPr>
                <w:b/>
                <w:sz w:val="20"/>
                <w:szCs w:val="20"/>
              </w:rPr>
            </w:pPr>
            <w:r w:rsidRPr="007A7801">
              <w:rPr>
                <w:b/>
                <w:sz w:val="20"/>
                <w:szCs w:val="20"/>
              </w:rPr>
              <w:lastRenderedPageBreak/>
              <w:t>Scheme providing incentives for hiring disadvantaged individuals in the private sector and Local Authorities</w:t>
            </w:r>
          </w:p>
        </w:tc>
        <w:tc>
          <w:tcPr>
            <w:tcW w:w="1445" w:type="dxa"/>
          </w:tcPr>
          <w:p w:rsidR="00AC17AF" w:rsidRPr="007A7801" w:rsidRDefault="00AC17AF" w:rsidP="00AC17AF">
            <w:pPr>
              <w:jc w:val="center"/>
              <w:rPr>
                <w:sz w:val="20"/>
                <w:szCs w:val="20"/>
              </w:rPr>
            </w:pPr>
            <w:r w:rsidRPr="007A7801">
              <w:rPr>
                <w:sz w:val="20"/>
                <w:szCs w:val="20"/>
              </w:rPr>
              <w:t>Increase labour market participation</w:t>
            </w:r>
          </w:p>
        </w:tc>
        <w:tc>
          <w:tcPr>
            <w:tcW w:w="1249" w:type="dxa"/>
          </w:tcPr>
          <w:p w:rsidR="00AC17AF" w:rsidRPr="007A7801" w:rsidRDefault="00AC17AF" w:rsidP="00AC17AF">
            <w:pPr>
              <w:jc w:val="center"/>
              <w:rPr>
                <w:sz w:val="20"/>
                <w:szCs w:val="20"/>
                <w:lang w:val="en-GB"/>
              </w:rPr>
            </w:pPr>
            <w:r w:rsidRPr="007A7801">
              <w:rPr>
                <w:sz w:val="20"/>
                <w:szCs w:val="20"/>
                <w:lang w:val="en-GB"/>
              </w:rPr>
              <w:t>Department of Labour</w:t>
            </w:r>
          </w:p>
        </w:tc>
        <w:tc>
          <w:tcPr>
            <w:tcW w:w="4280" w:type="dxa"/>
          </w:tcPr>
          <w:p w:rsidR="00AC17AF" w:rsidRPr="007A7801" w:rsidRDefault="00AC17AF" w:rsidP="00AC17AF">
            <w:pPr>
              <w:rPr>
                <w:sz w:val="20"/>
                <w:szCs w:val="20"/>
              </w:rPr>
            </w:pPr>
            <w:r w:rsidRPr="007A7801">
              <w:rPr>
                <w:sz w:val="20"/>
                <w:szCs w:val="20"/>
              </w:rPr>
              <w:t>Financial aid of 65% of the annual wage cost with a maximum amount of €13.000 per person per year is provided for the first 12 months of employment. Additionally an allowance for transportation costs to and from the workplace will be offered to employees</w:t>
            </w:r>
          </w:p>
        </w:tc>
        <w:tc>
          <w:tcPr>
            <w:tcW w:w="1808" w:type="dxa"/>
          </w:tcPr>
          <w:p w:rsidR="00AC17AF" w:rsidRPr="007A7801" w:rsidRDefault="00AC17AF" w:rsidP="00AC17AF">
            <w:pPr>
              <w:jc w:val="center"/>
              <w:rPr>
                <w:sz w:val="20"/>
                <w:szCs w:val="20"/>
              </w:rPr>
            </w:pPr>
            <w:r w:rsidRPr="007A7801">
              <w:rPr>
                <w:sz w:val="20"/>
                <w:szCs w:val="20"/>
              </w:rPr>
              <w:t>19/03/2010 - 30/06/2014</w:t>
            </w:r>
          </w:p>
        </w:tc>
        <w:tc>
          <w:tcPr>
            <w:tcW w:w="1276" w:type="dxa"/>
          </w:tcPr>
          <w:p w:rsidR="00AC17AF" w:rsidRPr="007A7801" w:rsidRDefault="00AC17AF" w:rsidP="00AC17AF">
            <w:pPr>
              <w:jc w:val="center"/>
              <w:rPr>
                <w:sz w:val="20"/>
                <w:szCs w:val="20"/>
              </w:rPr>
            </w:pPr>
            <w:r w:rsidRPr="007A7801">
              <w:rPr>
                <w:sz w:val="20"/>
                <w:szCs w:val="20"/>
              </w:rPr>
              <w:t>€9.000.000</w:t>
            </w:r>
          </w:p>
          <w:p w:rsidR="00AC17AF" w:rsidRPr="007A7801" w:rsidRDefault="00AC17AF" w:rsidP="00AC17AF">
            <w:pPr>
              <w:jc w:val="center"/>
              <w:rPr>
                <w:sz w:val="20"/>
                <w:szCs w:val="20"/>
              </w:rPr>
            </w:pPr>
            <w:r w:rsidRPr="007A7801">
              <w:rPr>
                <w:sz w:val="20"/>
                <w:szCs w:val="20"/>
                <w:lang w:val="en-GB"/>
              </w:rPr>
              <w:t>Co-financed by ESF (70%) and the Cyprus Government (30%)</w:t>
            </w:r>
          </w:p>
        </w:tc>
        <w:tc>
          <w:tcPr>
            <w:tcW w:w="1417" w:type="dxa"/>
          </w:tcPr>
          <w:p w:rsidR="00AC17AF" w:rsidRPr="007A7801" w:rsidRDefault="00AC17AF" w:rsidP="00AC17AF">
            <w:pPr>
              <w:jc w:val="center"/>
              <w:rPr>
                <w:sz w:val="20"/>
                <w:szCs w:val="20"/>
              </w:rPr>
            </w:pPr>
          </w:p>
        </w:tc>
        <w:tc>
          <w:tcPr>
            <w:tcW w:w="1456" w:type="dxa"/>
          </w:tcPr>
          <w:p w:rsidR="00AC17AF" w:rsidRPr="007A7801" w:rsidRDefault="00AC17AF" w:rsidP="00AC17AF">
            <w:pPr>
              <w:jc w:val="center"/>
              <w:rPr>
                <w:sz w:val="20"/>
                <w:szCs w:val="20"/>
              </w:rPr>
            </w:pPr>
            <w:r w:rsidRPr="007A7801">
              <w:rPr>
                <w:sz w:val="20"/>
                <w:szCs w:val="20"/>
              </w:rPr>
              <w:t>750 disadvantaged unemployed</w:t>
            </w:r>
          </w:p>
        </w:tc>
      </w:tr>
      <w:tr w:rsidR="00AC17AF" w:rsidRPr="007A7801" w:rsidTr="00100308">
        <w:trPr>
          <w:cantSplit/>
          <w:jc w:val="center"/>
        </w:trPr>
        <w:tc>
          <w:tcPr>
            <w:tcW w:w="1945" w:type="dxa"/>
          </w:tcPr>
          <w:p w:rsidR="00AC17AF" w:rsidRPr="007A7801" w:rsidRDefault="00AC17AF" w:rsidP="00AC17AF">
            <w:pPr>
              <w:rPr>
                <w:b/>
                <w:sz w:val="20"/>
                <w:szCs w:val="20"/>
              </w:rPr>
            </w:pPr>
            <w:r w:rsidRPr="007A7801">
              <w:rPr>
                <w:b/>
                <w:sz w:val="20"/>
                <w:szCs w:val="20"/>
                <w:lang w:val="en-GB"/>
              </w:rPr>
              <w:t>Incentives Scheme for attracting people in the labour market through flexible forms of employment</w:t>
            </w:r>
          </w:p>
        </w:tc>
        <w:tc>
          <w:tcPr>
            <w:tcW w:w="1445" w:type="dxa"/>
          </w:tcPr>
          <w:p w:rsidR="00AC17AF" w:rsidRPr="007A7801" w:rsidRDefault="00AC17AF" w:rsidP="00AC17AF">
            <w:pPr>
              <w:jc w:val="center"/>
              <w:rPr>
                <w:sz w:val="20"/>
                <w:szCs w:val="20"/>
              </w:rPr>
            </w:pPr>
            <w:r w:rsidRPr="007A7801">
              <w:rPr>
                <w:sz w:val="20"/>
                <w:szCs w:val="20"/>
              </w:rPr>
              <w:t>Increasing labour market participation,</w:t>
            </w:r>
          </w:p>
          <w:p w:rsidR="00AC17AF" w:rsidRPr="007A7801" w:rsidRDefault="00AC17AF" w:rsidP="00AC17AF">
            <w:pPr>
              <w:jc w:val="center"/>
              <w:rPr>
                <w:sz w:val="20"/>
                <w:szCs w:val="20"/>
              </w:rPr>
            </w:pPr>
            <w:r w:rsidRPr="007A7801">
              <w:rPr>
                <w:sz w:val="20"/>
                <w:szCs w:val="20"/>
              </w:rPr>
              <w:t>(Reconciliation of work and family life)</w:t>
            </w:r>
          </w:p>
        </w:tc>
        <w:tc>
          <w:tcPr>
            <w:tcW w:w="1249" w:type="dxa"/>
          </w:tcPr>
          <w:p w:rsidR="00AC17AF" w:rsidRPr="007A7801" w:rsidRDefault="00AC17AF" w:rsidP="00AC17AF">
            <w:pPr>
              <w:jc w:val="center"/>
              <w:rPr>
                <w:sz w:val="20"/>
                <w:szCs w:val="20"/>
                <w:lang w:val="en-GB"/>
              </w:rPr>
            </w:pPr>
            <w:r w:rsidRPr="007A7801">
              <w:rPr>
                <w:sz w:val="20"/>
                <w:szCs w:val="20"/>
                <w:lang w:val="en-GB"/>
              </w:rPr>
              <w:t>Cyprus Productivity Centre</w:t>
            </w:r>
          </w:p>
          <w:p w:rsidR="00AC17AF" w:rsidRPr="007A7801" w:rsidRDefault="00AC17AF" w:rsidP="00AC17AF">
            <w:pPr>
              <w:jc w:val="center"/>
              <w:rPr>
                <w:sz w:val="20"/>
                <w:szCs w:val="20"/>
                <w:lang w:val="en-GB"/>
              </w:rPr>
            </w:pPr>
            <w:r w:rsidRPr="007A7801">
              <w:rPr>
                <w:sz w:val="20"/>
                <w:szCs w:val="20"/>
                <w:lang w:val="en-GB"/>
              </w:rPr>
              <w:t>(CPC)</w:t>
            </w:r>
          </w:p>
        </w:tc>
        <w:tc>
          <w:tcPr>
            <w:tcW w:w="4280" w:type="dxa"/>
          </w:tcPr>
          <w:p w:rsidR="00AC17AF" w:rsidRPr="007A7801" w:rsidRDefault="00AC17AF" w:rsidP="008461E6">
            <w:pPr>
              <w:rPr>
                <w:sz w:val="20"/>
                <w:szCs w:val="20"/>
              </w:rPr>
            </w:pPr>
            <w:r w:rsidRPr="007A7801">
              <w:rPr>
                <w:sz w:val="20"/>
                <w:szCs w:val="20"/>
                <w:lang w:val="en-GB"/>
              </w:rPr>
              <w:t xml:space="preserve">Subsidy scheme for the promotion of flexible forms of employment, for attracting and assisting economically inactive and unemployed </w:t>
            </w:r>
            <w:r w:rsidR="008461E6">
              <w:rPr>
                <w:sz w:val="20"/>
                <w:szCs w:val="20"/>
                <w:lang w:val="en-GB"/>
              </w:rPr>
              <w:t>people</w:t>
            </w:r>
            <w:r w:rsidR="00F86D8D">
              <w:rPr>
                <w:sz w:val="20"/>
                <w:szCs w:val="20"/>
                <w:lang w:val="en-GB"/>
              </w:rPr>
              <w:t xml:space="preserve"> </w:t>
            </w:r>
            <w:r w:rsidRPr="007A7801">
              <w:rPr>
                <w:sz w:val="20"/>
                <w:szCs w:val="20"/>
                <w:lang w:val="en-GB"/>
              </w:rPr>
              <w:t>who need flexibility for family reasons to enter and remain in the labour market.</w:t>
            </w:r>
          </w:p>
        </w:tc>
        <w:tc>
          <w:tcPr>
            <w:tcW w:w="1808" w:type="dxa"/>
          </w:tcPr>
          <w:p w:rsidR="00AC17AF" w:rsidRPr="007A7801" w:rsidRDefault="00AC17AF" w:rsidP="00AC17AF">
            <w:pPr>
              <w:jc w:val="center"/>
              <w:rPr>
                <w:sz w:val="20"/>
                <w:szCs w:val="20"/>
              </w:rPr>
            </w:pPr>
            <w:r w:rsidRPr="007A7801">
              <w:rPr>
                <w:sz w:val="20"/>
                <w:szCs w:val="20"/>
              </w:rPr>
              <w:t>May 2010 – April 2014</w:t>
            </w:r>
          </w:p>
        </w:tc>
        <w:tc>
          <w:tcPr>
            <w:tcW w:w="1276" w:type="dxa"/>
          </w:tcPr>
          <w:p w:rsidR="00AC17AF" w:rsidRPr="007A7801" w:rsidRDefault="00AC17AF" w:rsidP="00AC17AF">
            <w:pPr>
              <w:jc w:val="center"/>
              <w:rPr>
                <w:sz w:val="20"/>
                <w:szCs w:val="20"/>
              </w:rPr>
            </w:pPr>
            <w:r w:rsidRPr="007A7801">
              <w:rPr>
                <w:sz w:val="20"/>
                <w:szCs w:val="20"/>
              </w:rPr>
              <w:t>€3.000.000</w:t>
            </w:r>
          </w:p>
          <w:p w:rsidR="00AC17AF" w:rsidRPr="007A7801" w:rsidRDefault="00AC17AF" w:rsidP="00AC17AF">
            <w:pPr>
              <w:jc w:val="center"/>
              <w:rPr>
                <w:sz w:val="20"/>
                <w:szCs w:val="20"/>
              </w:rPr>
            </w:pPr>
            <w:r w:rsidRPr="007A7801">
              <w:rPr>
                <w:sz w:val="20"/>
                <w:szCs w:val="20"/>
                <w:lang w:val="en-GB"/>
              </w:rPr>
              <w:t>Co-financed by ESF (70%) and the Cyprus Government (30%)</w:t>
            </w:r>
          </w:p>
        </w:tc>
        <w:tc>
          <w:tcPr>
            <w:tcW w:w="1417" w:type="dxa"/>
          </w:tcPr>
          <w:p w:rsidR="00AC17AF" w:rsidRPr="007A7801" w:rsidRDefault="00AC17AF" w:rsidP="00AC17AF">
            <w:pPr>
              <w:jc w:val="center"/>
              <w:rPr>
                <w:sz w:val="20"/>
                <w:szCs w:val="20"/>
              </w:rPr>
            </w:pPr>
            <w:r w:rsidRPr="007A7801">
              <w:rPr>
                <w:sz w:val="20"/>
                <w:szCs w:val="20"/>
              </w:rPr>
              <w:t>Developed according to ESF rules, approved by the ESF Unit of the Min. of Labour &amp; Social Insurance and described in the Scheme´s Implementation Guidelines.</w:t>
            </w:r>
          </w:p>
        </w:tc>
        <w:tc>
          <w:tcPr>
            <w:tcW w:w="1456" w:type="dxa"/>
          </w:tcPr>
          <w:p w:rsidR="00AC17AF" w:rsidRPr="007A7801" w:rsidRDefault="00AC17AF" w:rsidP="00AC17AF">
            <w:pPr>
              <w:jc w:val="center"/>
              <w:rPr>
                <w:sz w:val="20"/>
                <w:szCs w:val="20"/>
              </w:rPr>
            </w:pPr>
            <w:r w:rsidRPr="007A7801">
              <w:rPr>
                <w:sz w:val="20"/>
                <w:szCs w:val="20"/>
              </w:rPr>
              <w:t>500 individuals to be employed in approx. 350 companies</w:t>
            </w:r>
          </w:p>
        </w:tc>
      </w:tr>
    </w:tbl>
    <w:p w:rsidR="00326D6D" w:rsidRDefault="00326D6D" w:rsidP="00AC17AF">
      <w:pPr>
        <w:rPr>
          <w:b/>
          <w:bCs/>
          <w:sz w:val="20"/>
          <w:szCs w:val="20"/>
        </w:rPr>
        <w:sectPr w:rsidR="00326D6D" w:rsidSect="00326D6D">
          <w:type w:val="continuous"/>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417"/>
        <w:gridCol w:w="1456"/>
      </w:tblGrid>
      <w:tr w:rsidR="00AC17AF" w:rsidRPr="007A7801" w:rsidTr="000B4E9F">
        <w:trPr>
          <w:cantSplit/>
          <w:jc w:val="center"/>
        </w:trPr>
        <w:tc>
          <w:tcPr>
            <w:tcW w:w="1945" w:type="dxa"/>
          </w:tcPr>
          <w:p w:rsidR="00AC17AF" w:rsidRPr="007A7801" w:rsidRDefault="00AC17AF" w:rsidP="00AC17AF">
            <w:pPr>
              <w:rPr>
                <w:b/>
                <w:bCs/>
                <w:sz w:val="20"/>
                <w:szCs w:val="20"/>
              </w:rPr>
            </w:pPr>
            <w:r w:rsidRPr="007A7801">
              <w:rPr>
                <w:b/>
                <w:bCs/>
                <w:sz w:val="20"/>
                <w:szCs w:val="20"/>
              </w:rPr>
              <w:lastRenderedPageBreak/>
              <w:t>Provision of services for covering social care within the framework of family and employment reconciliation</w:t>
            </w:r>
          </w:p>
        </w:tc>
        <w:tc>
          <w:tcPr>
            <w:tcW w:w="1445" w:type="dxa"/>
          </w:tcPr>
          <w:p w:rsidR="00AC17AF" w:rsidRPr="007A7801" w:rsidRDefault="00AC17AF" w:rsidP="00AC17AF">
            <w:pPr>
              <w:jc w:val="center"/>
              <w:rPr>
                <w:sz w:val="20"/>
                <w:szCs w:val="20"/>
              </w:rPr>
            </w:pPr>
            <w:r w:rsidRPr="007A7801">
              <w:rPr>
                <w:sz w:val="20"/>
                <w:szCs w:val="20"/>
              </w:rPr>
              <w:t>Increase labour market participation, (Reconciliation of work and family life)</w:t>
            </w:r>
          </w:p>
          <w:p w:rsidR="00AC17AF" w:rsidRPr="007A7801" w:rsidRDefault="00AC17AF" w:rsidP="00AC17AF">
            <w:pPr>
              <w:jc w:val="center"/>
              <w:rPr>
                <w:sz w:val="20"/>
                <w:szCs w:val="20"/>
              </w:rPr>
            </w:pPr>
          </w:p>
        </w:tc>
        <w:tc>
          <w:tcPr>
            <w:tcW w:w="1249" w:type="dxa"/>
          </w:tcPr>
          <w:p w:rsidR="00AC17AF" w:rsidRPr="007A7801" w:rsidRDefault="00AC17AF" w:rsidP="00AC17AF">
            <w:pPr>
              <w:jc w:val="center"/>
              <w:rPr>
                <w:sz w:val="20"/>
                <w:szCs w:val="20"/>
              </w:rPr>
            </w:pPr>
            <w:r w:rsidRPr="007A7801">
              <w:rPr>
                <w:sz w:val="20"/>
                <w:szCs w:val="20"/>
              </w:rPr>
              <w:t>Social Welfare Services</w:t>
            </w:r>
          </w:p>
          <w:p w:rsidR="00AC17AF" w:rsidRPr="007A7801" w:rsidRDefault="00AC17AF" w:rsidP="00AC17AF">
            <w:pPr>
              <w:jc w:val="center"/>
              <w:rPr>
                <w:sz w:val="20"/>
                <w:szCs w:val="20"/>
              </w:rPr>
            </w:pPr>
            <w:r w:rsidRPr="007A7801">
              <w:rPr>
                <w:sz w:val="20"/>
                <w:szCs w:val="20"/>
              </w:rPr>
              <w:t>(SWS)</w:t>
            </w:r>
          </w:p>
        </w:tc>
        <w:tc>
          <w:tcPr>
            <w:tcW w:w="4280" w:type="dxa"/>
          </w:tcPr>
          <w:p w:rsidR="00AC17AF" w:rsidRPr="007A7801" w:rsidRDefault="00AC17AF" w:rsidP="00AC17AF">
            <w:pPr>
              <w:rPr>
                <w:sz w:val="20"/>
                <w:szCs w:val="20"/>
              </w:rPr>
            </w:pPr>
            <w:r w:rsidRPr="007A7801">
              <w:rPr>
                <w:sz w:val="20"/>
                <w:szCs w:val="20"/>
              </w:rPr>
              <w:t>As a part of work-life balance policies geared towards raising employment rates the SWS have targeted the group of unemployed women who are responsible for children under the age of 4</w:t>
            </w:r>
            <w:r w:rsidRPr="007A7801">
              <w:rPr>
                <w:position w:val="6"/>
                <w:sz w:val="16"/>
                <w:szCs w:val="20"/>
              </w:rPr>
              <w:t>8/12</w:t>
            </w:r>
            <w:r w:rsidRPr="007A7801">
              <w:rPr>
                <w:sz w:val="20"/>
                <w:szCs w:val="20"/>
              </w:rPr>
              <w:t xml:space="preserve">, elderly and disabled people. In order for these women to enter the labour market the SWS will finance part of the cost of the daily care provided for those mentioned above.  </w:t>
            </w:r>
          </w:p>
        </w:tc>
        <w:tc>
          <w:tcPr>
            <w:tcW w:w="1808" w:type="dxa"/>
          </w:tcPr>
          <w:p w:rsidR="00AC17AF" w:rsidRPr="007A7801" w:rsidRDefault="00AC17AF" w:rsidP="00AC17AF">
            <w:pPr>
              <w:jc w:val="center"/>
              <w:rPr>
                <w:sz w:val="20"/>
                <w:szCs w:val="20"/>
              </w:rPr>
            </w:pPr>
            <w:r w:rsidRPr="007A7801">
              <w:rPr>
                <w:sz w:val="20"/>
                <w:szCs w:val="20"/>
              </w:rPr>
              <w:t>February 2011- September 2015</w:t>
            </w:r>
          </w:p>
        </w:tc>
        <w:tc>
          <w:tcPr>
            <w:tcW w:w="1276" w:type="dxa"/>
          </w:tcPr>
          <w:p w:rsidR="00AC17AF" w:rsidRPr="007A7801" w:rsidRDefault="00AC17AF" w:rsidP="00AC17AF">
            <w:pPr>
              <w:jc w:val="center"/>
              <w:rPr>
                <w:rFonts w:eastAsia="Arial Unicode MS"/>
                <w:sz w:val="20"/>
                <w:szCs w:val="20"/>
              </w:rPr>
            </w:pPr>
            <w:r w:rsidRPr="007A7801">
              <w:rPr>
                <w:rFonts w:eastAsia="Arial Unicode MS"/>
                <w:sz w:val="20"/>
                <w:szCs w:val="20"/>
              </w:rPr>
              <w:t>€3.679.700 Co-financed by ESF (70%) and the Cyprus Government (30%)</w:t>
            </w:r>
          </w:p>
        </w:tc>
        <w:tc>
          <w:tcPr>
            <w:tcW w:w="1417" w:type="dxa"/>
          </w:tcPr>
          <w:p w:rsidR="00AC17AF" w:rsidRPr="007A7801" w:rsidRDefault="00AC17AF" w:rsidP="00AC17AF">
            <w:pPr>
              <w:jc w:val="center"/>
              <w:rPr>
                <w:sz w:val="20"/>
                <w:szCs w:val="20"/>
              </w:rPr>
            </w:pPr>
            <w:r w:rsidRPr="007A7801">
              <w:rPr>
                <w:sz w:val="20"/>
                <w:szCs w:val="20"/>
              </w:rPr>
              <w:t>There will be an ex-post evaluation by an independent expert of the impact of the Programme and there will be an internal on-going monitoring (as regards the targets and budgeting) by a Monitoring Committee.</w:t>
            </w:r>
          </w:p>
        </w:tc>
        <w:tc>
          <w:tcPr>
            <w:tcW w:w="1456" w:type="dxa"/>
          </w:tcPr>
          <w:p w:rsidR="00AC17AF" w:rsidRPr="007A7801" w:rsidRDefault="00AC17AF" w:rsidP="00AC17AF">
            <w:pPr>
              <w:jc w:val="center"/>
              <w:rPr>
                <w:sz w:val="20"/>
                <w:szCs w:val="20"/>
              </w:rPr>
            </w:pPr>
            <w:r w:rsidRPr="007A7801">
              <w:rPr>
                <w:sz w:val="20"/>
                <w:szCs w:val="20"/>
              </w:rPr>
              <w:t>1.200 women</w:t>
            </w:r>
          </w:p>
        </w:tc>
      </w:tr>
    </w:tbl>
    <w:p w:rsidR="008B5FDA" w:rsidRDefault="008B5FDA" w:rsidP="00AC17AF">
      <w:pPr>
        <w:rPr>
          <w:b/>
          <w:sz w:val="20"/>
          <w:szCs w:val="20"/>
        </w:rPr>
        <w:sectPr w:rsidR="008B5FDA" w:rsidSect="00326D6D">
          <w:type w:val="continuous"/>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417"/>
        <w:gridCol w:w="1456"/>
      </w:tblGrid>
      <w:tr w:rsidR="00AC17AF" w:rsidRPr="007A7801" w:rsidTr="000B4E9F">
        <w:trPr>
          <w:cantSplit/>
          <w:jc w:val="center"/>
        </w:trPr>
        <w:tc>
          <w:tcPr>
            <w:tcW w:w="1945" w:type="dxa"/>
          </w:tcPr>
          <w:p w:rsidR="00AC17AF" w:rsidRPr="007A7801" w:rsidRDefault="00AC17AF" w:rsidP="00AC17AF">
            <w:pPr>
              <w:rPr>
                <w:b/>
                <w:sz w:val="20"/>
                <w:szCs w:val="20"/>
              </w:rPr>
            </w:pPr>
            <w:r w:rsidRPr="007A7801">
              <w:rPr>
                <w:b/>
                <w:sz w:val="20"/>
                <w:szCs w:val="20"/>
              </w:rPr>
              <w:lastRenderedPageBreak/>
              <w:t>Further enhancement and moderni</w:t>
            </w:r>
            <w:r w:rsidR="00F27ECD">
              <w:rPr>
                <w:b/>
                <w:sz w:val="20"/>
                <w:szCs w:val="20"/>
              </w:rPr>
              <w:t>s</w:t>
            </w:r>
            <w:r w:rsidRPr="007A7801">
              <w:rPr>
                <w:b/>
                <w:sz w:val="20"/>
                <w:szCs w:val="20"/>
              </w:rPr>
              <w:t>ation of Public Employment Services</w:t>
            </w:r>
            <w:r w:rsidR="00F27ECD">
              <w:rPr>
                <w:b/>
                <w:sz w:val="20"/>
                <w:szCs w:val="20"/>
              </w:rPr>
              <w:t xml:space="preserve"> (PES)</w:t>
            </w:r>
          </w:p>
        </w:tc>
        <w:tc>
          <w:tcPr>
            <w:tcW w:w="1445" w:type="dxa"/>
          </w:tcPr>
          <w:p w:rsidR="00AC17AF" w:rsidRPr="007A7801" w:rsidRDefault="00AC17AF" w:rsidP="00AC17AF">
            <w:pPr>
              <w:jc w:val="center"/>
              <w:rPr>
                <w:sz w:val="20"/>
                <w:szCs w:val="20"/>
              </w:rPr>
            </w:pPr>
            <w:r w:rsidRPr="007A7801">
              <w:rPr>
                <w:sz w:val="20"/>
                <w:szCs w:val="20"/>
              </w:rPr>
              <w:t>Increase Labour Market Participation</w:t>
            </w:r>
          </w:p>
          <w:p w:rsidR="00AC17AF" w:rsidRPr="007A7801" w:rsidRDefault="00AC17AF" w:rsidP="00AC17AF">
            <w:pPr>
              <w:jc w:val="center"/>
              <w:rPr>
                <w:sz w:val="20"/>
                <w:szCs w:val="20"/>
              </w:rPr>
            </w:pPr>
            <w:r w:rsidRPr="007A7801">
              <w:rPr>
                <w:sz w:val="20"/>
                <w:szCs w:val="20"/>
              </w:rPr>
              <w:t>(ALMP)</w:t>
            </w:r>
          </w:p>
        </w:tc>
        <w:tc>
          <w:tcPr>
            <w:tcW w:w="1249" w:type="dxa"/>
          </w:tcPr>
          <w:p w:rsidR="00AC17AF" w:rsidRPr="007A7801" w:rsidRDefault="00AC17AF" w:rsidP="00AC17AF">
            <w:pPr>
              <w:jc w:val="center"/>
              <w:rPr>
                <w:sz w:val="20"/>
                <w:szCs w:val="20"/>
                <w:lang w:val="en-GB"/>
              </w:rPr>
            </w:pPr>
            <w:r w:rsidRPr="007A7801">
              <w:rPr>
                <w:sz w:val="20"/>
                <w:szCs w:val="20"/>
                <w:lang w:val="en-GB"/>
              </w:rPr>
              <w:t>Department of Labour</w:t>
            </w:r>
          </w:p>
        </w:tc>
        <w:tc>
          <w:tcPr>
            <w:tcW w:w="4280" w:type="dxa"/>
          </w:tcPr>
          <w:p w:rsidR="00AC17AF" w:rsidRDefault="00AC17AF" w:rsidP="00AC17AF">
            <w:pPr>
              <w:rPr>
                <w:sz w:val="20"/>
                <w:szCs w:val="20"/>
                <w:lang w:val="en-GB"/>
              </w:rPr>
            </w:pPr>
            <w:r w:rsidRPr="007A7801">
              <w:rPr>
                <w:sz w:val="20"/>
                <w:szCs w:val="20"/>
                <w:lang w:val="en-GB"/>
              </w:rPr>
              <w:t>Within the framework of this measure, implemented by the Department of Labour, actions will be promoted towards: strengthening PES administrative and technical capacity, improving the monitoring of developments in the labour market, upgrading the quality of services provided by private employment agencies and further geographical expansion of the PES network. Furthermore, it includes actions to strengthen the individualised guidance services offered by PES to unemployed as a response to the negative impact of the economic crisis.</w:t>
            </w:r>
          </w:p>
          <w:p w:rsidR="0021652D" w:rsidRDefault="0021652D" w:rsidP="00AC17AF">
            <w:pPr>
              <w:rPr>
                <w:sz w:val="20"/>
                <w:szCs w:val="20"/>
                <w:lang w:val="en-GB"/>
              </w:rPr>
            </w:pPr>
          </w:p>
          <w:p w:rsidR="0021652D" w:rsidRPr="007A7801" w:rsidRDefault="0021652D" w:rsidP="00AC17AF">
            <w:pPr>
              <w:rPr>
                <w:sz w:val="20"/>
                <w:szCs w:val="20"/>
                <w:lang w:val="en-GB"/>
              </w:rPr>
            </w:pPr>
          </w:p>
        </w:tc>
        <w:tc>
          <w:tcPr>
            <w:tcW w:w="1808" w:type="dxa"/>
          </w:tcPr>
          <w:p w:rsidR="00AC17AF" w:rsidRPr="007A7801" w:rsidRDefault="00AC17AF" w:rsidP="00AC17AF">
            <w:pPr>
              <w:jc w:val="center"/>
              <w:rPr>
                <w:sz w:val="20"/>
                <w:szCs w:val="20"/>
              </w:rPr>
            </w:pPr>
            <w:r w:rsidRPr="007A7801">
              <w:rPr>
                <w:sz w:val="20"/>
                <w:szCs w:val="20"/>
              </w:rPr>
              <w:t>2010 - 2015</w:t>
            </w:r>
          </w:p>
        </w:tc>
        <w:tc>
          <w:tcPr>
            <w:tcW w:w="1276" w:type="dxa"/>
          </w:tcPr>
          <w:p w:rsidR="00AC17AF" w:rsidRPr="007A7801" w:rsidRDefault="00AC17AF" w:rsidP="00AC17AF">
            <w:pPr>
              <w:jc w:val="center"/>
              <w:rPr>
                <w:rFonts w:eastAsia="Arial Unicode MS"/>
                <w:sz w:val="20"/>
                <w:szCs w:val="20"/>
              </w:rPr>
            </w:pPr>
            <w:r w:rsidRPr="007A7801">
              <w:rPr>
                <w:rFonts w:eastAsia="Arial Unicode MS"/>
                <w:sz w:val="20"/>
                <w:szCs w:val="20"/>
              </w:rPr>
              <w:t>€6.900.000 Co-financed by ESF (75%) and the Cyprus Government (25%)</w:t>
            </w:r>
          </w:p>
        </w:tc>
        <w:tc>
          <w:tcPr>
            <w:tcW w:w="1417" w:type="dxa"/>
          </w:tcPr>
          <w:p w:rsidR="00AC17AF" w:rsidRPr="007A7801" w:rsidRDefault="00AC17AF" w:rsidP="00AC17AF">
            <w:pPr>
              <w:jc w:val="center"/>
              <w:rPr>
                <w:sz w:val="20"/>
                <w:szCs w:val="20"/>
              </w:rPr>
            </w:pPr>
            <w:r w:rsidRPr="007A7801">
              <w:rPr>
                <w:sz w:val="20"/>
                <w:szCs w:val="20"/>
              </w:rPr>
              <w:t>The project will be monitored and evaluated through the mechanisms foreseen by ESF</w:t>
            </w:r>
          </w:p>
        </w:tc>
        <w:tc>
          <w:tcPr>
            <w:tcW w:w="1456" w:type="dxa"/>
          </w:tcPr>
          <w:p w:rsidR="00AC17AF" w:rsidRDefault="00AC17AF"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C46D30" w:rsidRDefault="00C46D30" w:rsidP="00AC17AF">
            <w:pPr>
              <w:jc w:val="center"/>
              <w:rPr>
                <w:sz w:val="20"/>
                <w:szCs w:val="20"/>
              </w:rPr>
            </w:pPr>
          </w:p>
          <w:p w:rsidR="009813B8" w:rsidRDefault="009813B8" w:rsidP="00AC17AF">
            <w:pPr>
              <w:jc w:val="center"/>
              <w:rPr>
                <w:sz w:val="20"/>
                <w:szCs w:val="20"/>
              </w:rPr>
            </w:pPr>
          </w:p>
          <w:p w:rsidR="009813B8" w:rsidRDefault="009813B8" w:rsidP="00AC17AF">
            <w:pPr>
              <w:jc w:val="center"/>
              <w:rPr>
                <w:sz w:val="20"/>
                <w:szCs w:val="20"/>
              </w:rPr>
            </w:pPr>
          </w:p>
          <w:p w:rsidR="009813B8" w:rsidRDefault="009813B8" w:rsidP="00AC17AF">
            <w:pPr>
              <w:jc w:val="center"/>
              <w:rPr>
                <w:sz w:val="20"/>
                <w:szCs w:val="20"/>
              </w:rPr>
            </w:pPr>
          </w:p>
          <w:p w:rsidR="009813B8" w:rsidRDefault="009813B8" w:rsidP="00AC17AF">
            <w:pPr>
              <w:jc w:val="center"/>
              <w:rPr>
                <w:sz w:val="20"/>
                <w:szCs w:val="20"/>
              </w:rPr>
            </w:pPr>
          </w:p>
          <w:p w:rsidR="009813B8" w:rsidRDefault="009813B8" w:rsidP="00AC17AF">
            <w:pPr>
              <w:jc w:val="center"/>
              <w:rPr>
                <w:sz w:val="20"/>
                <w:szCs w:val="20"/>
              </w:rPr>
            </w:pPr>
          </w:p>
          <w:p w:rsidR="009813B8" w:rsidRPr="007A7801" w:rsidRDefault="009813B8" w:rsidP="00AC17AF">
            <w:pPr>
              <w:jc w:val="center"/>
              <w:rPr>
                <w:sz w:val="20"/>
                <w:szCs w:val="20"/>
              </w:rPr>
            </w:pPr>
          </w:p>
        </w:tc>
      </w:tr>
    </w:tbl>
    <w:p w:rsidR="00C46D30" w:rsidRDefault="00C46D30" w:rsidP="00AC17AF">
      <w:pPr>
        <w:jc w:val="center"/>
        <w:rPr>
          <w:b/>
          <w:sz w:val="22"/>
          <w:szCs w:val="22"/>
          <w:lang w:val="en-GB"/>
        </w:rPr>
        <w:sectPr w:rsidR="00C46D30" w:rsidSect="00326D6D">
          <w:type w:val="continuous"/>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4876"/>
      </w:tblGrid>
      <w:tr w:rsidR="00AC17AF" w:rsidRPr="007A7801" w:rsidTr="006C2BEE">
        <w:trPr>
          <w:cantSplit/>
          <w:trHeight w:val="454"/>
          <w:jc w:val="center"/>
        </w:trPr>
        <w:tc>
          <w:tcPr>
            <w:tcW w:w="14876" w:type="dxa"/>
            <w:shd w:val="clear" w:color="auto" w:fill="D9D9D9"/>
            <w:vAlign w:val="center"/>
          </w:tcPr>
          <w:p w:rsidR="00AC17AF" w:rsidRPr="007A7801" w:rsidRDefault="00AC17AF" w:rsidP="00AC17AF">
            <w:pPr>
              <w:jc w:val="center"/>
              <w:rPr>
                <w:b/>
                <w:sz w:val="22"/>
                <w:szCs w:val="22"/>
                <w:highlight w:val="lightGray"/>
              </w:rPr>
            </w:pPr>
            <w:r w:rsidRPr="007A7801">
              <w:rPr>
                <w:b/>
                <w:sz w:val="22"/>
                <w:szCs w:val="22"/>
                <w:lang w:val="en-GB"/>
              </w:rPr>
              <w:lastRenderedPageBreak/>
              <w:t>2</w:t>
            </w:r>
            <w:r w:rsidR="00F86D8D">
              <w:rPr>
                <w:b/>
                <w:sz w:val="22"/>
                <w:szCs w:val="22"/>
                <w:lang w:val="en-GB"/>
              </w:rPr>
              <w:t>.</w:t>
            </w:r>
            <w:r w:rsidRPr="007A7801">
              <w:rPr>
                <w:b/>
                <w:sz w:val="22"/>
                <w:szCs w:val="22"/>
                <w:lang w:val="en-GB"/>
              </w:rPr>
              <w:t xml:space="preserve"> Exploitation of Job Creation</w:t>
            </w:r>
          </w:p>
        </w:tc>
      </w:tr>
    </w:tbl>
    <w:p w:rsidR="00326D6D" w:rsidRDefault="00326D6D" w:rsidP="00AC17AF">
      <w:pPr>
        <w:rPr>
          <w:b/>
          <w:bCs/>
          <w:sz w:val="20"/>
          <w:szCs w:val="20"/>
          <w:lang w:val="en-GB"/>
        </w:rPr>
        <w:sectPr w:rsidR="00326D6D" w:rsidSect="00326D6D">
          <w:type w:val="continuous"/>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417"/>
        <w:gridCol w:w="1456"/>
      </w:tblGrid>
      <w:tr w:rsidR="00AC17AF" w:rsidRPr="007A7801" w:rsidTr="000B4E9F">
        <w:trPr>
          <w:cantSplit/>
          <w:jc w:val="center"/>
        </w:trPr>
        <w:tc>
          <w:tcPr>
            <w:tcW w:w="1945" w:type="dxa"/>
          </w:tcPr>
          <w:p w:rsidR="00AC17AF" w:rsidRPr="007A7801" w:rsidRDefault="00AC17AF" w:rsidP="00AC17AF">
            <w:pPr>
              <w:rPr>
                <w:b/>
                <w:sz w:val="20"/>
                <w:szCs w:val="20"/>
                <w:lang w:val="en-GB"/>
              </w:rPr>
            </w:pPr>
            <w:r w:rsidRPr="007A7801">
              <w:rPr>
                <w:b/>
                <w:bCs/>
                <w:sz w:val="20"/>
                <w:szCs w:val="20"/>
                <w:lang w:val="en-GB"/>
              </w:rPr>
              <w:lastRenderedPageBreak/>
              <w:t>In-company / On-the-job training programmes (Measure in response to the crisis)</w:t>
            </w:r>
          </w:p>
        </w:tc>
        <w:tc>
          <w:tcPr>
            <w:tcW w:w="1445" w:type="dxa"/>
          </w:tcPr>
          <w:p w:rsidR="00AC17AF" w:rsidRPr="007A7801" w:rsidRDefault="00AC17AF" w:rsidP="00AC17AF">
            <w:pPr>
              <w:jc w:val="center"/>
              <w:rPr>
                <w:sz w:val="20"/>
                <w:szCs w:val="20"/>
              </w:rPr>
            </w:pPr>
            <w:r w:rsidRPr="007A7801">
              <w:rPr>
                <w:sz w:val="20"/>
                <w:szCs w:val="20"/>
              </w:rPr>
              <w:t>Enhancing labour market flexibility and security, combating segmentation- stepping up social dialogue.</w:t>
            </w:r>
          </w:p>
        </w:tc>
        <w:tc>
          <w:tcPr>
            <w:tcW w:w="1249" w:type="dxa"/>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Pr>
          <w:p w:rsidR="00AC17AF" w:rsidRPr="007A7801" w:rsidRDefault="00AC17AF" w:rsidP="00AC17AF">
            <w:pPr>
              <w:rPr>
                <w:sz w:val="20"/>
                <w:szCs w:val="20"/>
                <w:lang w:val="en-GB"/>
              </w:rPr>
            </w:pPr>
            <w:r w:rsidRPr="007A7801">
              <w:rPr>
                <w:sz w:val="20"/>
                <w:szCs w:val="20"/>
                <w:lang w:val="en-GB"/>
              </w:rPr>
              <w:t xml:space="preserve">Under this measure the HRDA helps employers to retain their employees instead of laying them off, by utilising their idle time through training. In particular, the HRDA helps employers to design and implement training programmes that meet their specialised needs and subsidises their eligible costs, including the wages of the participants for the duration of the training. The promotion of these in-house training programmes has been suitably adjusted to focus on the sectors of the economy which are mostly affected by the economic recession and where the possibility of employee lay-offs was imminent. Such sectors are Hotel and Catering, Retail Trade and Construction. </w:t>
            </w:r>
          </w:p>
        </w:tc>
        <w:tc>
          <w:tcPr>
            <w:tcW w:w="1808" w:type="dxa"/>
          </w:tcPr>
          <w:p w:rsidR="00AC17AF" w:rsidRPr="007A7801" w:rsidRDefault="00AC17AF" w:rsidP="00AC17AF">
            <w:pPr>
              <w:jc w:val="center"/>
              <w:rPr>
                <w:sz w:val="20"/>
                <w:szCs w:val="20"/>
              </w:rPr>
            </w:pPr>
            <w:r w:rsidRPr="007A7801">
              <w:rPr>
                <w:sz w:val="20"/>
                <w:szCs w:val="20"/>
              </w:rPr>
              <w:t>On going</w:t>
            </w:r>
          </w:p>
        </w:tc>
        <w:tc>
          <w:tcPr>
            <w:tcW w:w="1276" w:type="dxa"/>
          </w:tcPr>
          <w:p w:rsidR="00AC17AF" w:rsidRPr="007A7801" w:rsidRDefault="00AC17AF" w:rsidP="00AC17AF">
            <w:pPr>
              <w:jc w:val="center"/>
              <w:rPr>
                <w:sz w:val="20"/>
                <w:szCs w:val="20"/>
              </w:rPr>
            </w:pPr>
            <w:r w:rsidRPr="007A7801">
              <w:rPr>
                <w:sz w:val="20"/>
                <w:szCs w:val="20"/>
                <w:lang w:val="en-GB"/>
              </w:rPr>
              <w:t>€5.220.000 for 2011</w:t>
            </w:r>
          </w:p>
        </w:tc>
        <w:tc>
          <w:tcPr>
            <w:tcW w:w="1417" w:type="dxa"/>
          </w:tcPr>
          <w:p w:rsidR="00AC17AF" w:rsidRPr="007A7801" w:rsidRDefault="00AC17AF" w:rsidP="00AC17AF">
            <w:pPr>
              <w:jc w:val="center"/>
              <w:rPr>
                <w:sz w:val="20"/>
                <w:szCs w:val="20"/>
              </w:rPr>
            </w:pPr>
          </w:p>
        </w:tc>
        <w:tc>
          <w:tcPr>
            <w:tcW w:w="1456" w:type="dxa"/>
          </w:tcPr>
          <w:p w:rsidR="00AC17AF" w:rsidRPr="007A7801" w:rsidRDefault="00AC17AF" w:rsidP="00AC17AF">
            <w:pPr>
              <w:jc w:val="center"/>
              <w:rPr>
                <w:sz w:val="20"/>
                <w:szCs w:val="20"/>
              </w:rPr>
            </w:pPr>
            <w:r w:rsidRPr="007A7801">
              <w:rPr>
                <w:sz w:val="20"/>
                <w:szCs w:val="20"/>
              </w:rPr>
              <w:t>44.350 persons in 2011.</w:t>
            </w:r>
          </w:p>
        </w:tc>
      </w:tr>
    </w:tbl>
    <w:p w:rsidR="008B5FDA" w:rsidRDefault="008B5FDA" w:rsidP="00AC17AF">
      <w:pPr>
        <w:rPr>
          <w:b/>
          <w:bCs/>
          <w:sz w:val="20"/>
          <w:szCs w:val="20"/>
        </w:rPr>
        <w:sectPr w:rsidR="008B5FDA" w:rsidSect="00326D6D">
          <w:type w:val="continuous"/>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417"/>
        <w:gridCol w:w="1456"/>
      </w:tblGrid>
      <w:tr w:rsidR="00AC17AF" w:rsidRPr="007A7801" w:rsidTr="000B4E9F">
        <w:trPr>
          <w:cantSplit/>
          <w:jc w:val="center"/>
        </w:trPr>
        <w:tc>
          <w:tcPr>
            <w:tcW w:w="1945" w:type="dxa"/>
          </w:tcPr>
          <w:p w:rsidR="00AC17AF" w:rsidRPr="007A7801" w:rsidRDefault="00AC17AF" w:rsidP="00AC17AF">
            <w:pPr>
              <w:rPr>
                <w:b/>
                <w:sz w:val="20"/>
                <w:szCs w:val="20"/>
              </w:rPr>
            </w:pPr>
            <w:r w:rsidRPr="007A7801">
              <w:rPr>
                <w:b/>
                <w:bCs/>
                <w:sz w:val="20"/>
                <w:szCs w:val="20"/>
              </w:rPr>
              <w:lastRenderedPageBreak/>
              <w:t>Schemes for the Enhancement of Women’s and  Youth Entrepreneurship</w:t>
            </w:r>
          </w:p>
          <w:p w:rsidR="00AC17AF" w:rsidRPr="007A7801" w:rsidRDefault="00AC17AF" w:rsidP="00AC17AF">
            <w:pPr>
              <w:rPr>
                <w:b/>
                <w:sz w:val="20"/>
                <w:szCs w:val="20"/>
              </w:rPr>
            </w:pPr>
          </w:p>
          <w:p w:rsidR="00AC17AF" w:rsidRPr="007A7801" w:rsidRDefault="00AC17AF" w:rsidP="00AC17AF">
            <w:pPr>
              <w:rPr>
                <w:b/>
                <w:sz w:val="20"/>
                <w:szCs w:val="20"/>
              </w:rPr>
            </w:pPr>
            <w:r w:rsidRPr="007A7801">
              <w:rPr>
                <w:b/>
                <w:sz w:val="20"/>
                <w:szCs w:val="20"/>
              </w:rPr>
              <w:t>(2 schemes)</w:t>
            </w:r>
          </w:p>
        </w:tc>
        <w:tc>
          <w:tcPr>
            <w:tcW w:w="1445" w:type="dxa"/>
          </w:tcPr>
          <w:p w:rsidR="00AC17AF" w:rsidRPr="007A7801" w:rsidRDefault="00AC17AF" w:rsidP="00AC17AF">
            <w:pPr>
              <w:jc w:val="center"/>
              <w:rPr>
                <w:sz w:val="20"/>
                <w:szCs w:val="20"/>
              </w:rPr>
            </w:pPr>
            <w:r w:rsidRPr="007A7801">
              <w:rPr>
                <w:sz w:val="20"/>
                <w:szCs w:val="20"/>
              </w:rPr>
              <w:t>Exploiting job creation possibilities</w:t>
            </w:r>
          </w:p>
          <w:p w:rsidR="00AC17AF" w:rsidRPr="007A7801" w:rsidRDefault="00AC17AF" w:rsidP="00AC17AF">
            <w:pPr>
              <w:jc w:val="center"/>
              <w:rPr>
                <w:sz w:val="20"/>
                <w:szCs w:val="20"/>
              </w:rPr>
            </w:pPr>
          </w:p>
          <w:p w:rsidR="00AC17AF" w:rsidRPr="007A7801" w:rsidRDefault="00AC17AF" w:rsidP="00AC17AF">
            <w:pPr>
              <w:jc w:val="center"/>
              <w:rPr>
                <w:sz w:val="20"/>
                <w:szCs w:val="20"/>
              </w:rPr>
            </w:pPr>
            <w:r w:rsidRPr="007A7801">
              <w:rPr>
                <w:sz w:val="20"/>
                <w:szCs w:val="20"/>
              </w:rPr>
              <w:t>Gender Equality</w:t>
            </w:r>
          </w:p>
        </w:tc>
        <w:tc>
          <w:tcPr>
            <w:tcW w:w="1249" w:type="dxa"/>
          </w:tcPr>
          <w:p w:rsidR="00AC17AF" w:rsidRPr="007A7801" w:rsidRDefault="00AC17AF" w:rsidP="00AC17AF">
            <w:pPr>
              <w:jc w:val="center"/>
              <w:rPr>
                <w:sz w:val="20"/>
                <w:szCs w:val="20"/>
              </w:rPr>
            </w:pPr>
            <w:r w:rsidRPr="007A7801">
              <w:rPr>
                <w:sz w:val="20"/>
                <w:szCs w:val="20"/>
              </w:rPr>
              <w:t>Ministry of Commerce, Industry and Tourism</w:t>
            </w:r>
          </w:p>
          <w:p w:rsidR="00AC17AF" w:rsidRPr="007A7801" w:rsidRDefault="00AC17AF" w:rsidP="00AC17AF">
            <w:pPr>
              <w:jc w:val="center"/>
              <w:rPr>
                <w:sz w:val="20"/>
                <w:szCs w:val="20"/>
              </w:rPr>
            </w:pPr>
            <w:r w:rsidRPr="007A7801">
              <w:rPr>
                <w:sz w:val="20"/>
                <w:szCs w:val="20"/>
              </w:rPr>
              <w:t>(MCIT)</w:t>
            </w:r>
          </w:p>
        </w:tc>
        <w:tc>
          <w:tcPr>
            <w:tcW w:w="4280" w:type="dxa"/>
          </w:tcPr>
          <w:p w:rsidR="00AC17AF" w:rsidRPr="007A7801" w:rsidRDefault="00AC17AF" w:rsidP="00AC17AF">
            <w:pPr>
              <w:rPr>
                <w:sz w:val="20"/>
                <w:szCs w:val="20"/>
              </w:rPr>
            </w:pPr>
            <w:r w:rsidRPr="007A7801">
              <w:rPr>
                <w:rStyle w:val="text6"/>
                <w:rFonts w:ascii="Times New Roman" w:hAnsi="Times New Roman"/>
                <w:sz w:val="20"/>
                <w:szCs w:val="20"/>
              </w:rPr>
              <w:t>The aim of the programmes is to develop, support and encourage the entrepreneurship of women between the ages of 18–55 and young people between the ages of 20-39 respectively, who wish to engage in the sectors of manufacturing and in specific activities in commerce, services and tourism.</w:t>
            </w:r>
          </w:p>
        </w:tc>
        <w:tc>
          <w:tcPr>
            <w:tcW w:w="1808" w:type="dxa"/>
          </w:tcPr>
          <w:p w:rsidR="00AC17AF" w:rsidRPr="007A7801" w:rsidRDefault="00AC17AF" w:rsidP="00AC17AF">
            <w:pPr>
              <w:jc w:val="center"/>
              <w:rPr>
                <w:sz w:val="20"/>
                <w:szCs w:val="20"/>
                <w:lang w:val="el-GR"/>
              </w:rPr>
            </w:pPr>
            <w:r w:rsidRPr="007A7801">
              <w:rPr>
                <w:sz w:val="20"/>
                <w:szCs w:val="20"/>
                <w:lang w:val="el-GR"/>
              </w:rPr>
              <w:t>2007-2013</w:t>
            </w:r>
          </w:p>
          <w:p w:rsidR="00AC17AF" w:rsidRPr="007A7801" w:rsidRDefault="00AC17AF" w:rsidP="00AC17AF">
            <w:pPr>
              <w:jc w:val="center"/>
              <w:rPr>
                <w:sz w:val="20"/>
                <w:szCs w:val="20"/>
                <w:lang w:val="el-GR"/>
              </w:rPr>
            </w:pPr>
          </w:p>
        </w:tc>
        <w:tc>
          <w:tcPr>
            <w:tcW w:w="1276" w:type="dxa"/>
          </w:tcPr>
          <w:p w:rsidR="00AC17AF" w:rsidRPr="007A7801" w:rsidRDefault="00AC17AF" w:rsidP="00AC17AF">
            <w:pPr>
              <w:jc w:val="center"/>
              <w:rPr>
                <w:rFonts w:eastAsia="Arial Unicode MS"/>
                <w:sz w:val="20"/>
                <w:szCs w:val="20"/>
              </w:rPr>
            </w:pPr>
            <w:r w:rsidRPr="007A7801">
              <w:rPr>
                <w:rFonts w:eastAsia="Arial Unicode MS"/>
                <w:sz w:val="20"/>
                <w:szCs w:val="20"/>
              </w:rPr>
              <w:t>For women:</w:t>
            </w:r>
          </w:p>
          <w:p w:rsidR="00AC17AF" w:rsidRPr="007A7801" w:rsidRDefault="00AC17AF" w:rsidP="00AC17AF">
            <w:pPr>
              <w:jc w:val="center"/>
              <w:rPr>
                <w:rFonts w:eastAsia="Arial Unicode MS"/>
                <w:sz w:val="20"/>
                <w:szCs w:val="20"/>
              </w:rPr>
            </w:pPr>
            <w:r w:rsidRPr="007A7801">
              <w:rPr>
                <w:sz w:val="20"/>
                <w:szCs w:val="20"/>
              </w:rPr>
              <w:t>€</w:t>
            </w:r>
            <w:r w:rsidRPr="007A7801">
              <w:rPr>
                <w:rFonts w:eastAsia="Arial Unicode MS"/>
                <w:sz w:val="20"/>
                <w:szCs w:val="20"/>
              </w:rPr>
              <w:t>5</w:t>
            </w:r>
            <w:r w:rsidR="00F27ECD">
              <w:rPr>
                <w:rFonts w:eastAsia="Arial Unicode MS"/>
                <w:sz w:val="20"/>
                <w:szCs w:val="20"/>
              </w:rPr>
              <w:t>.</w:t>
            </w:r>
            <w:r w:rsidRPr="007A7801">
              <w:rPr>
                <w:rFonts w:eastAsia="Arial Unicode MS"/>
                <w:sz w:val="20"/>
                <w:szCs w:val="20"/>
              </w:rPr>
              <w:t>000</w:t>
            </w:r>
            <w:r w:rsidR="00F27ECD">
              <w:rPr>
                <w:rFonts w:eastAsia="Arial Unicode MS"/>
                <w:sz w:val="20"/>
                <w:szCs w:val="20"/>
              </w:rPr>
              <w:t>.</w:t>
            </w:r>
            <w:r w:rsidRPr="007A7801">
              <w:rPr>
                <w:rFonts w:eastAsia="Arial Unicode MS"/>
                <w:sz w:val="20"/>
                <w:szCs w:val="20"/>
              </w:rPr>
              <w:t>000</w:t>
            </w:r>
          </w:p>
          <w:p w:rsidR="00AC17AF" w:rsidRPr="007A7801" w:rsidRDefault="00AC17AF" w:rsidP="00AC17AF">
            <w:pPr>
              <w:jc w:val="center"/>
              <w:rPr>
                <w:rFonts w:eastAsia="Arial Unicode MS"/>
                <w:sz w:val="20"/>
                <w:szCs w:val="20"/>
              </w:rPr>
            </w:pPr>
            <w:r w:rsidRPr="007A7801">
              <w:rPr>
                <w:rFonts w:eastAsia="Arial Unicode MS"/>
                <w:sz w:val="20"/>
                <w:szCs w:val="20"/>
              </w:rPr>
              <w:t>For Youth:</w:t>
            </w:r>
          </w:p>
          <w:p w:rsidR="00AC17AF" w:rsidRPr="007A7801" w:rsidRDefault="00AC17AF" w:rsidP="00AC17AF">
            <w:pPr>
              <w:jc w:val="center"/>
              <w:rPr>
                <w:rFonts w:eastAsia="Arial Unicode MS"/>
                <w:sz w:val="20"/>
                <w:szCs w:val="20"/>
              </w:rPr>
            </w:pPr>
            <w:r w:rsidRPr="007A7801">
              <w:rPr>
                <w:sz w:val="20"/>
                <w:szCs w:val="20"/>
              </w:rPr>
              <w:t>€</w:t>
            </w:r>
            <w:r w:rsidRPr="007A7801">
              <w:rPr>
                <w:rFonts w:eastAsia="Arial Unicode MS"/>
                <w:sz w:val="20"/>
                <w:szCs w:val="20"/>
              </w:rPr>
              <w:t xml:space="preserve"> 6</w:t>
            </w:r>
            <w:r w:rsidR="00F27ECD">
              <w:rPr>
                <w:rFonts w:eastAsia="Arial Unicode MS"/>
                <w:sz w:val="20"/>
                <w:szCs w:val="20"/>
              </w:rPr>
              <w:t>.</w:t>
            </w:r>
            <w:r w:rsidRPr="007A7801">
              <w:rPr>
                <w:rFonts w:eastAsia="Arial Unicode MS"/>
                <w:sz w:val="20"/>
                <w:szCs w:val="20"/>
              </w:rPr>
              <w:t>000</w:t>
            </w:r>
            <w:r w:rsidR="00F27ECD">
              <w:rPr>
                <w:rFonts w:eastAsia="Arial Unicode MS"/>
                <w:sz w:val="20"/>
                <w:szCs w:val="20"/>
              </w:rPr>
              <w:t>.</w:t>
            </w:r>
            <w:r w:rsidRPr="007A7801">
              <w:rPr>
                <w:rFonts w:eastAsia="Arial Unicode MS"/>
                <w:sz w:val="20"/>
                <w:szCs w:val="20"/>
              </w:rPr>
              <w:t>000</w:t>
            </w:r>
          </w:p>
          <w:p w:rsidR="00AC17AF" w:rsidRPr="007A7801" w:rsidRDefault="00AC17AF" w:rsidP="00AC17AF">
            <w:pPr>
              <w:jc w:val="center"/>
              <w:rPr>
                <w:sz w:val="20"/>
                <w:szCs w:val="20"/>
              </w:rPr>
            </w:pPr>
            <w:r w:rsidRPr="007A7801">
              <w:rPr>
                <w:sz w:val="20"/>
                <w:szCs w:val="20"/>
                <w:lang w:val="en-GB"/>
              </w:rPr>
              <w:t>Co-financed by ESF (50%) and the Cyprus Government (50%)</w:t>
            </w:r>
          </w:p>
        </w:tc>
        <w:tc>
          <w:tcPr>
            <w:tcW w:w="1417" w:type="dxa"/>
          </w:tcPr>
          <w:p w:rsidR="00AC17AF" w:rsidRPr="007A7801" w:rsidRDefault="00AC17AF" w:rsidP="00AC17AF">
            <w:pPr>
              <w:jc w:val="center"/>
              <w:rPr>
                <w:sz w:val="20"/>
                <w:szCs w:val="20"/>
              </w:rPr>
            </w:pPr>
            <w:r w:rsidRPr="007A7801">
              <w:rPr>
                <w:sz w:val="20"/>
                <w:szCs w:val="20"/>
              </w:rPr>
              <w:t>All the necessary documents are sent to the Unit “Planning for Industrial development” for audit and payment.</w:t>
            </w:r>
          </w:p>
        </w:tc>
        <w:tc>
          <w:tcPr>
            <w:tcW w:w="1456" w:type="dxa"/>
          </w:tcPr>
          <w:p w:rsidR="00AC17AF" w:rsidRPr="007A7801" w:rsidRDefault="00AC17AF" w:rsidP="00AC17AF">
            <w:pPr>
              <w:jc w:val="center"/>
              <w:rPr>
                <w:sz w:val="20"/>
                <w:szCs w:val="20"/>
              </w:rPr>
            </w:pPr>
          </w:p>
        </w:tc>
      </w:tr>
    </w:tbl>
    <w:p w:rsidR="00326D6D" w:rsidRDefault="00326D6D" w:rsidP="00AC17AF">
      <w:pPr>
        <w:rPr>
          <w:b/>
          <w:sz w:val="20"/>
          <w:szCs w:val="20"/>
          <w:lang w:val="en-GB"/>
        </w:rPr>
        <w:sectPr w:rsidR="00326D6D" w:rsidSect="00326D6D">
          <w:type w:val="continuous"/>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417"/>
        <w:gridCol w:w="1456"/>
      </w:tblGrid>
      <w:tr w:rsidR="00AC17AF" w:rsidRPr="007A7801" w:rsidTr="000B4E9F">
        <w:trPr>
          <w:cantSplit/>
          <w:jc w:val="center"/>
        </w:trPr>
        <w:tc>
          <w:tcPr>
            <w:tcW w:w="1945" w:type="dxa"/>
          </w:tcPr>
          <w:p w:rsidR="00AC17AF" w:rsidRPr="007A7801" w:rsidRDefault="00AC17AF" w:rsidP="00AC17AF">
            <w:pPr>
              <w:rPr>
                <w:b/>
                <w:sz w:val="20"/>
                <w:szCs w:val="20"/>
              </w:rPr>
            </w:pPr>
            <w:r w:rsidRPr="007A7801">
              <w:rPr>
                <w:b/>
                <w:sz w:val="20"/>
                <w:szCs w:val="20"/>
                <w:lang w:val="en-GB"/>
              </w:rPr>
              <w:lastRenderedPageBreak/>
              <w:t>Company Incentive Scheme for the enhancement of employment (Introduced in response to the crisis)</w:t>
            </w:r>
          </w:p>
        </w:tc>
        <w:tc>
          <w:tcPr>
            <w:tcW w:w="1445" w:type="dxa"/>
          </w:tcPr>
          <w:p w:rsidR="00AC17AF" w:rsidRPr="007A7801" w:rsidRDefault="00AC17AF" w:rsidP="00AC17AF">
            <w:pPr>
              <w:jc w:val="center"/>
              <w:rPr>
                <w:sz w:val="20"/>
                <w:szCs w:val="20"/>
              </w:rPr>
            </w:pPr>
            <w:r w:rsidRPr="007A7801">
              <w:rPr>
                <w:sz w:val="20"/>
                <w:szCs w:val="20"/>
              </w:rPr>
              <w:t>Exploiting job creation</w:t>
            </w:r>
          </w:p>
        </w:tc>
        <w:tc>
          <w:tcPr>
            <w:tcW w:w="1249" w:type="dxa"/>
          </w:tcPr>
          <w:p w:rsidR="00AC17AF" w:rsidRPr="007A7801" w:rsidRDefault="00AC17AF" w:rsidP="00AC17AF">
            <w:pPr>
              <w:jc w:val="center"/>
              <w:rPr>
                <w:sz w:val="20"/>
                <w:szCs w:val="20"/>
                <w:lang w:val="en-GB"/>
              </w:rPr>
            </w:pPr>
            <w:r w:rsidRPr="007A7801">
              <w:rPr>
                <w:sz w:val="20"/>
                <w:szCs w:val="20"/>
                <w:lang w:val="en-GB"/>
              </w:rPr>
              <w:t>Cyprus Productivity Centre</w:t>
            </w:r>
          </w:p>
          <w:p w:rsidR="00AC17AF" w:rsidRPr="007A7801" w:rsidRDefault="00AC17AF" w:rsidP="00AC17AF">
            <w:pPr>
              <w:jc w:val="center"/>
              <w:rPr>
                <w:sz w:val="20"/>
                <w:szCs w:val="20"/>
                <w:lang w:val="en-GB"/>
              </w:rPr>
            </w:pPr>
            <w:r w:rsidRPr="007A7801">
              <w:rPr>
                <w:sz w:val="20"/>
                <w:szCs w:val="20"/>
                <w:lang w:val="en-GB"/>
              </w:rPr>
              <w:t>(CPC)</w:t>
            </w:r>
          </w:p>
        </w:tc>
        <w:tc>
          <w:tcPr>
            <w:tcW w:w="4280" w:type="dxa"/>
          </w:tcPr>
          <w:p w:rsidR="00AC17AF" w:rsidRPr="007A7801" w:rsidRDefault="00AC17AF" w:rsidP="00F27ECD">
            <w:pPr>
              <w:rPr>
                <w:sz w:val="20"/>
                <w:szCs w:val="20"/>
              </w:rPr>
            </w:pPr>
            <w:r w:rsidRPr="007A7801">
              <w:rPr>
                <w:sz w:val="20"/>
                <w:szCs w:val="20"/>
                <w:lang w:val="en-GB"/>
              </w:rPr>
              <w:t xml:space="preserve">The </w:t>
            </w:r>
            <w:r w:rsidR="00F27ECD">
              <w:rPr>
                <w:sz w:val="20"/>
                <w:szCs w:val="20"/>
                <w:lang w:val="en-GB"/>
              </w:rPr>
              <w:t>s</w:t>
            </w:r>
            <w:r w:rsidRPr="007A7801">
              <w:rPr>
                <w:sz w:val="20"/>
                <w:szCs w:val="20"/>
                <w:lang w:val="en-GB"/>
              </w:rPr>
              <w:t>cheme, introduced in response to the crisis, provides for subsidies to enterprises for the development and implementation of a specific business plan that will lead to the improvement of their competitive advantage and competitive ability, and through this improvement to the quantitative and/or qualitative enhancement of employment within the specific enterprise.</w:t>
            </w:r>
          </w:p>
        </w:tc>
        <w:tc>
          <w:tcPr>
            <w:tcW w:w="1808" w:type="dxa"/>
          </w:tcPr>
          <w:p w:rsidR="00AC17AF" w:rsidRPr="007A7801" w:rsidRDefault="00AC17AF" w:rsidP="00AC17AF">
            <w:pPr>
              <w:jc w:val="center"/>
              <w:rPr>
                <w:sz w:val="20"/>
                <w:szCs w:val="20"/>
              </w:rPr>
            </w:pPr>
            <w:r w:rsidRPr="007A7801">
              <w:rPr>
                <w:sz w:val="20"/>
                <w:szCs w:val="20"/>
              </w:rPr>
              <w:t>March 2010 – September  2011</w:t>
            </w:r>
          </w:p>
        </w:tc>
        <w:tc>
          <w:tcPr>
            <w:tcW w:w="1276" w:type="dxa"/>
          </w:tcPr>
          <w:p w:rsidR="00AC17AF" w:rsidRPr="007A7801" w:rsidRDefault="00AC17AF" w:rsidP="00AC17AF">
            <w:pPr>
              <w:jc w:val="center"/>
              <w:rPr>
                <w:sz w:val="20"/>
                <w:szCs w:val="20"/>
              </w:rPr>
            </w:pPr>
            <w:r w:rsidRPr="007A7801">
              <w:rPr>
                <w:sz w:val="20"/>
                <w:szCs w:val="20"/>
              </w:rPr>
              <w:t>€8.000.000</w:t>
            </w:r>
          </w:p>
          <w:p w:rsidR="00AC17AF" w:rsidRPr="007A7801" w:rsidRDefault="00AC17AF" w:rsidP="00AC17AF">
            <w:pPr>
              <w:jc w:val="center"/>
              <w:rPr>
                <w:sz w:val="20"/>
                <w:szCs w:val="20"/>
              </w:rPr>
            </w:pPr>
            <w:r w:rsidRPr="007A7801">
              <w:rPr>
                <w:sz w:val="20"/>
                <w:szCs w:val="20"/>
                <w:lang w:val="en-GB"/>
              </w:rPr>
              <w:t>Co-financed by ESF (85%) and the Cyprus Government (15%)</w:t>
            </w:r>
          </w:p>
        </w:tc>
        <w:tc>
          <w:tcPr>
            <w:tcW w:w="1417" w:type="dxa"/>
          </w:tcPr>
          <w:p w:rsidR="00AC17AF" w:rsidRPr="007A7801" w:rsidRDefault="00AC17AF" w:rsidP="00AC17AF">
            <w:pPr>
              <w:jc w:val="center"/>
              <w:rPr>
                <w:sz w:val="20"/>
                <w:szCs w:val="20"/>
              </w:rPr>
            </w:pPr>
            <w:r w:rsidRPr="007A7801">
              <w:rPr>
                <w:sz w:val="20"/>
                <w:szCs w:val="20"/>
              </w:rPr>
              <w:t>Developed according to ESF rules, approved by the ESF Unit of the Min. of Labour &amp; Social Insurance and described in the Scheme´s Implementation Guidelines.</w:t>
            </w:r>
          </w:p>
        </w:tc>
        <w:tc>
          <w:tcPr>
            <w:tcW w:w="1456" w:type="dxa"/>
          </w:tcPr>
          <w:p w:rsidR="00AC17AF" w:rsidRPr="007A7801" w:rsidRDefault="00AC17AF" w:rsidP="00AC17AF">
            <w:pPr>
              <w:jc w:val="center"/>
              <w:rPr>
                <w:sz w:val="20"/>
                <w:szCs w:val="20"/>
              </w:rPr>
            </w:pPr>
            <w:r w:rsidRPr="007A7801">
              <w:rPr>
                <w:sz w:val="20"/>
                <w:szCs w:val="20"/>
              </w:rPr>
              <w:t>88 enterprises to be supported by the scheme</w:t>
            </w:r>
          </w:p>
        </w:tc>
      </w:tr>
      <w:tr w:rsidR="00AC17AF" w:rsidRPr="007A7801" w:rsidTr="002E39AE">
        <w:trPr>
          <w:cantSplit/>
          <w:jc w:val="center"/>
        </w:trPr>
        <w:tc>
          <w:tcPr>
            <w:tcW w:w="1945" w:type="dxa"/>
            <w:shd w:val="clear" w:color="auto" w:fill="FFFFFF" w:themeFill="background1"/>
          </w:tcPr>
          <w:p w:rsidR="00AC17AF" w:rsidRPr="007A7801" w:rsidRDefault="00AC17AF" w:rsidP="00AC17AF">
            <w:pPr>
              <w:rPr>
                <w:b/>
                <w:sz w:val="20"/>
                <w:szCs w:val="20"/>
              </w:rPr>
            </w:pPr>
            <w:r w:rsidRPr="002E39AE">
              <w:rPr>
                <w:b/>
                <w:sz w:val="20"/>
                <w:szCs w:val="20"/>
                <w:lang w:val="en-GB"/>
              </w:rPr>
              <w:t>Scheme to</w:t>
            </w:r>
            <w:r w:rsidRPr="002E39AE">
              <w:rPr>
                <w:b/>
                <w:spacing w:val="4"/>
                <w:sz w:val="20"/>
                <w:szCs w:val="20"/>
                <w:lang w:val="en-GB"/>
              </w:rPr>
              <w:t xml:space="preserve"> facilitate the shift from low productivity jobs to high productivity jobs</w:t>
            </w:r>
          </w:p>
        </w:tc>
        <w:tc>
          <w:tcPr>
            <w:tcW w:w="1445" w:type="dxa"/>
          </w:tcPr>
          <w:p w:rsidR="00AC17AF" w:rsidRPr="007A7801" w:rsidRDefault="00AC17AF" w:rsidP="00AC17AF">
            <w:pPr>
              <w:jc w:val="center"/>
              <w:rPr>
                <w:sz w:val="20"/>
                <w:szCs w:val="20"/>
              </w:rPr>
            </w:pPr>
            <w:r w:rsidRPr="007A7801">
              <w:rPr>
                <w:sz w:val="20"/>
                <w:szCs w:val="20"/>
              </w:rPr>
              <w:t>Exploiting job creation (Productivity)</w:t>
            </w:r>
          </w:p>
        </w:tc>
        <w:tc>
          <w:tcPr>
            <w:tcW w:w="1249" w:type="dxa"/>
          </w:tcPr>
          <w:p w:rsidR="00AC17AF" w:rsidRPr="007A7801" w:rsidRDefault="00AC17AF" w:rsidP="00AC17AF">
            <w:pPr>
              <w:jc w:val="center"/>
              <w:rPr>
                <w:sz w:val="20"/>
                <w:szCs w:val="20"/>
                <w:lang w:val="en-GB"/>
              </w:rPr>
            </w:pPr>
            <w:r w:rsidRPr="007A7801">
              <w:rPr>
                <w:sz w:val="20"/>
                <w:szCs w:val="20"/>
                <w:lang w:val="en-GB"/>
              </w:rPr>
              <w:t>Cyprus Productivity Centre</w:t>
            </w:r>
          </w:p>
          <w:p w:rsidR="00AC17AF" w:rsidRPr="007A7801" w:rsidRDefault="00AC17AF" w:rsidP="00AC17AF">
            <w:pPr>
              <w:jc w:val="center"/>
              <w:rPr>
                <w:sz w:val="20"/>
                <w:szCs w:val="20"/>
                <w:lang w:val="en-GB"/>
              </w:rPr>
            </w:pPr>
            <w:r w:rsidRPr="007A7801">
              <w:rPr>
                <w:sz w:val="20"/>
                <w:szCs w:val="20"/>
                <w:lang w:val="en-GB"/>
              </w:rPr>
              <w:t>(CPC)</w:t>
            </w:r>
          </w:p>
        </w:tc>
        <w:tc>
          <w:tcPr>
            <w:tcW w:w="4280" w:type="dxa"/>
          </w:tcPr>
          <w:p w:rsidR="00AC17AF" w:rsidRPr="007A7801" w:rsidRDefault="00AC17AF" w:rsidP="00AC17AF">
            <w:pPr>
              <w:rPr>
                <w:sz w:val="20"/>
                <w:szCs w:val="20"/>
              </w:rPr>
            </w:pPr>
            <w:r w:rsidRPr="007A7801">
              <w:rPr>
                <w:sz w:val="20"/>
                <w:szCs w:val="20"/>
              </w:rPr>
              <w:t>The scheme is part of the National Productivity</w:t>
            </w:r>
            <w:r w:rsidRPr="007A7801">
              <w:rPr>
                <w:sz w:val="20"/>
                <w:szCs w:val="20"/>
                <w:lang w:val="en-GB"/>
              </w:rPr>
              <w:t xml:space="preserve"> Programme</w:t>
            </w:r>
            <w:r w:rsidRPr="007A7801">
              <w:rPr>
                <w:sz w:val="20"/>
                <w:szCs w:val="20"/>
              </w:rPr>
              <w:t>. It provides for subsidies to enterprises to develop, design and implement a business plan for improving their productivity by replacing low productivity with high productivity jobs.</w:t>
            </w:r>
          </w:p>
        </w:tc>
        <w:tc>
          <w:tcPr>
            <w:tcW w:w="1808" w:type="dxa"/>
          </w:tcPr>
          <w:p w:rsidR="00AC17AF" w:rsidRPr="007A7801" w:rsidRDefault="00AC17AF" w:rsidP="00AC17AF">
            <w:pPr>
              <w:jc w:val="center"/>
              <w:rPr>
                <w:sz w:val="20"/>
                <w:szCs w:val="20"/>
              </w:rPr>
            </w:pPr>
            <w:r w:rsidRPr="007A7801">
              <w:rPr>
                <w:sz w:val="20"/>
                <w:szCs w:val="20"/>
              </w:rPr>
              <w:t>May 2009 – December 2013</w:t>
            </w:r>
          </w:p>
        </w:tc>
        <w:tc>
          <w:tcPr>
            <w:tcW w:w="1276" w:type="dxa"/>
          </w:tcPr>
          <w:p w:rsidR="00AC17AF" w:rsidRPr="007A7801" w:rsidRDefault="00AC17AF" w:rsidP="00AC17AF">
            <w:pPr>
              <w:jc w:val="center"/>
              <w:rPr>
                <w:sz w:val="20"/>
                <w:szCs w:val="20"/>
              </w:rPr>
            </w:pPr>
            <w:r w:rsidRPr="007A7801">
              <w:rPr>
                <w:sz w:val="20"/>
                <w:szCs w:val="20"/>
              </w:rPr>
              <w:t>€3.000.000</w:t>
            </w:r>
          </w:p>
          <w:p w:rsidR="00AC17AF" w:rsidRPr="007A7801" w:rsidRDefault="00AC17AF" w:rsidP="00AC17AF">
            <w:pPr>
              <w:jc w:val="center"/>
              <w:rPr>
                <w:sz w:val="20"/>
                <w:szCs w:val="20"/>
              </w:rPr>
            </w:pPr>
            <w:r w:rsidRPr="007A7801">
              <w:rPr>
                <w:sz w:val="20"/>
                <w:szCs w:val="20"/>
                <w:lang w:val="en-GB"/>
              </w:rPr>
              <w:t>Co-financed by ESF (85%) and the Cyprus Government (15%)</w:t>
            </w:r>
          </w:p>
        </w:tc>
        <w:tc>
          <w:tcPr>
            <w:tcW w:w="1417" w:type="dxa"/>
          </w:tcPr>
          <w:p w:rsidR="00AC17AF" w:rsidRPr="007A7801" w:rsidRDefault="00AC17AF" w:rsidP="00AC17AF">
            <w:pPr>
              <w:jc w:val="center"/>
              <w:rPr>
                <w:sz w:val="20"/>
                <w:szCs w:val="20"/>
              </w:rPr>
            </w:pPr>
            <w:r w:rsidRPr="007A7801">
              <w:rPr>
                <w:sz w:val="20"/>
                <w:szCs w:val="20"/>
              </w:rPr>
              <w:t>Developed according to ESF rules, approved by the ESF Unit of the Min. of Labour &amp; Social Insurance and described in the Scheme´s Implementation Guidelines.</w:t>
            </w:r>
          </w:p>
        </w:tc>
        <w:tc>
          <w:tcPr>
            <w:tcW w:w="1456" w:type="dxa"/>
          </w:tcPr>
          <w:p w:rsidR="00AC17AF" w:rsidRPr="007A7801" w:rsidRDefault="00AC17AF" w:rsidP="00AC17AF">
            <w:pPr>
              <w:jc w:val="center"/>
              <w:rPr>
                <w:sz w:val="20"/>
                <w:szCs w:val="20"/>
              </w:rPr>
            </w:pPr>
            <w:r w:rsidRPr="007A7801">
              <w:rPr>
                <w:sz w:val="20"/>
                <w:szCs w:val="20"/>
              </w:rPr>
              <w:t>Subsidi</w:t>
            </w:r>
            <w:r w:rsidR="00F27ECD">
              <w:rPr>
                <w:sz w:val="20"/>
                <w:szCs w:val="20"/>
              </w:rPr>
              <w:t>s</w:t>
            </w:r>
            <w:r w:rsidRPr="007A7801">
              <w:rPr>
                <w:sz w:val="20"/>
                <w:szCs w:val="20"/>
              </w:rPr>
              <w:t>ation of 42 projects</w:t>
            </w:r>
          </w:p>
        </w:tc>
      </w:tr>
    </w:tbl>
    <w:p w:rsidR="00326D6D" w:rsidRDefault="00326D6D" w:rsidP="00AC17AF">
      <w:pPr>
        <w:rPr>
          <w:b/>
          <w:bCs/>
          <w:sz w:val="20"/>
          <w:szCs w:val="20"/>
          <w:lang w:val="en-GB"/>
        </w:rPr>
        <w:sectPr w:rsidR="00326D6D" w:rsidSect="00326D6D">
          <w:type w:val="continuous"/>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417"/>
        <w:gridCol w:w="1456"/>
      </w:tblGrid>
      <w:tr w:rsidR="00AC17AF" w:rsidRPr="007A7801" w:rsidTr="000B4E9F">
        <w:trPr>
          <w:cantSplit/>
          <w:jc w:val="center"/>
        </w:trPr>
        <w:tc>
          <w:tcPr>
            <w:tcW w:w="1945" w:type="dxa"/>
          </w:tcPr>
          <w:p w:rsidR="00AC17AF" w:rsidRPr="007A7801" w:rsidRDefault="00AC17AF" w:rsidP="00AC17AF">
            <w:pPr>
              <w:rPr>
                <w:b/>
                <w:sz w:val="20"/>
                <w:szCs w:val="20"/>
              </w:rPr>
            </w:pPr>
            <w:r w:rsidRPr="007A7801">
              <w:rPr>
                <w:b/>
                <w:bCs/>
                <w:sz w:val="20"/>
                <w:szCs w:val="20"/>
                <w:lang w:val="en-GB"/>
              </w:rPr>
              <w:lastRenderedPageBreak/>
              <w:t>Scheme for the improvement of the productivity of small and medium-size enterprises employing 5-249 persons.</w:t>
            </w:r>
          </w:p>
        </w:tc>
        <w:tc>
          <w:tcPr>
            <w:tcW w:w="1445" w:type="dxa"/>
          </w:tcPr>
          <w:p w:rsidR="00AC17AF" w:rsidRPr="007A7801" w:rsidRDefault="00AC17AF" w:rsidP="00AC17AF">
            <w:pPr>
              <w:jc w:val="center"/>
              <w:rPr>
                <w:sz w:val="20"/>
                <w:szCs w:val="20"/>
              </w:rPr>
            </w:pPr>
            <w:r w:rsidRPr="007A7801">
              <w:rPr>
                <w:sz w:val="20"/>
                <w:szCs w:val="20"/>
              </w:rPr>
              <w:t>Exploiting job creation</w:t>
            </w:r>
          </w:p>
        </w:tc>
        <w:tc>
          <w:tcPr>
            <w:tcW w:w="1249" w:type="dxa"/>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Pr>
          <w:p w:rsidR="00AC17AF" w:rsidRPr="007A7801" w:rsidRDefault="00AC17AF" w:rsidP="00AC17AF">
            <w:pPr>
              <w:rPr>
                <w:sz w:val="20"/>
                <w:szCs w:val="20"/>
              </w:rPr>
            </w:pPr>
            <w:r w:rsidRPr="007A7801">
              <w:rPr>
                <w:sz w:val="20"/>
                <w:szCs w:val="20"/>
              </w:rPr>
              <w:t>This scheme</w:t>
            </w:r>
            <w:r w:rsidRPr="007A7801">
              <w:rPr>
                <w:sz w:val="20"/>
                <w:szCs w:val="20"/>
                <w:lang w:val="en-GB"/>
              </w:rPr>
              <w:t xml:space="preserve">, which is implemented by the HRDA and is co-financed by the ESF, </w:t>
            </w:r>
            <w:r w:rsidRPr="007A7801">
              <w:rPr>
                <w:sz w:val="20"/>
                <w:szCs w:val="20"/>
              </w:rPr>
              <w:t xml:space="preserve">involves the provision of consultancy services by </w:t>
            </w:r>
            <w:r w:rsidRPr="007A7801">
              <w:rPr>
                <w:sz w:val="20"/>
                <w:szCs w:val="20"/>
                <w:lang w:val="en-GB"/>
              </w:rPr>
              <w:t xml:space="preserve">competent consultants </w:t>
            </w:r>
            <w:r w:rsidRPr="007A7801">
              <w:rPr>
                <w:sz w:val="20"/>
                <w:szCs w:val="20"/>
              </w:rPr>
              <w:t xml:space="preserve">to small and medium-size enterprises employing 5-249 employees. The scheme aims at improving their productivity and strengthening their competitiveness, through the improvement of systems and practices they apply and fuller utilization of their resources. </w:t>
            </w:r>
          </w:p>
        </w:tc>
        <w:tc>
          <w:tcPr>
            <w:tcW w:w="1808" w:type="dxa"/>
          </w:tcPr>
          <w:p w:rsidR="00AC17AF" w:rsidRPr="007A7801" w:rsidRDefault="00AC17AF" w:rsidP="00AC17AF">
            <w:pPr>
              <w:jc w:val="center"/>
              <w:rPr>
                <w:sz w:val="20"/>
                <w:szCs w:val="20"/>
              </w:rPr>
            </w:pPr>
            <w:r w:rsidRPr="007A7801">
              <w:rPr>
                <w:sz w:val="20"/>
                <w:szCs w:val="20"/>
                <w:lang w:val="en-GB"/>
              </w:rPr>
              <w:t>2010-2012</w:t>
            </w:r>
          </w:p>
        </w:tc>
        <w:tc>
          <w:tcPr>
            <w:tcW w:w="1276" w:type="dxa"/>
          </w:tcPr>
          <w:p w:rsidR="00AC17AF" w:rsidRPr="007A7801" w:rsidRDefault="00AC17AF" w:rsidP="00AC17AF">
            <w:pPr>
              <w:jc w:val="center"/>
              <w:rPr>
                <w:sz w:val="20"/>
                <w:szCs w:val="20"/>
                <w:lang w:val="en-GB"/>
              </w:rPr>
            </w:pPr>
            <w:r w:rsidRPr="007A7801">
              <w:rPr>
                <w:sz w:val="20"/>
                <w:szCs w:val="20"/>
                <w:lang w:val="en-GB"/>
              </w:rPr>
              <w:t>€1.550.000</w:t>
            </w:r>
          </w:p>
          <w:p w:rsidR="00AC17AF" w:rsidRPr="007A7801" w:rsidRDefault="00AC17AF" w:rsidP="00AC17AF">
            <w:pPr>
              <w:jc w:val="center"/>
              <w:rPr>
                <w:sz w:val="20"/>
                <w:szCs w:val="20"/>
              </w:rPr>
            </w:pPr>
            <w:r w:rsidRPr="007A7801">
              <w:rPr>
                <w:sz w:val="20"/>
                <w:szCs w:val="20"/>
                <w:lang w:val="en-GB"/>
              </w:rPr>
              <w:t>Co-financed by ESF (50%) and the Cyprus Government (50%)</w:t>
            </w:r>
          </w:p>
        </w:tc>
        <w:tc>
          <w:tcPr>
            <w:tcW w:w="1417" w:type="dxa"/>
          </w:tcPr>
          <w:p w:rsidR="00AC17AF" w:rsidRPr="007A7801" w:rsidRDefault="00AC17AF" w:rsidP="00AC17AF">
            <w:pPr>
              <w:jc w:val="center"/>
              <w:rPr>
                <w:sz w:val="20"/>
                <w:szCs w:val="20"/>
              </w:rPr>
            </w:pPr>
          </w:p>
        </w:tc>
        <w:tc>
          <w:tcPr>
            <w:tcW w:w="1456" w:type="dxa"/>
          </w:tcPr>
          <w:p w:rsidR="00AC17AF" w:rsidRPr="007A7801" w:rsidRDefault="00AC17AF" w:rsidP="00AC17AF">
            <w:pPr>
              <w:jc w:val="center"/>
              <w:rPr>
                <w:sz w:val="20"/>
                <w:szCs w:val="20"/>
              </w:rPr>
            </w:pPr>
            <w:r w:rsidRPr="007A7801">
              <w:rPr>
                <w:sz w:val="20"/>
                <w:szCs w:val="20"/>
                <w:lang w:val="en-GB"/>
              </w:rPr>
              <w:t>250 SMEs</w:t>
            </w:r>
          </w:p>
        </w:tc>
      </w:tr>
      <w:tr w:rsidR="00AC17AF" w:rsidRPr="007A7801" w:rsidTr="000B4E9F">
        <w:trPr>
          <w:cantSplit/>
          <w:jc w:val="center"/>
        </w:trPr>
        <w:tc>
          <w:tcPr>
            <w:tcW w:w="1945" w:type="dxa"/>
            <w:tcBorders>
              <w:bottom w:val="single" w:sz="4" w:space="0" w:color="auto"/>
            </w:tcBorders>
          </w:tcPr>
          <w:p w:rsidR="00AC17AF" w:rsidRPr="007A7801" w:rsidRDefault="00AC17AF" w:rsidP="00AC17AF">
            <w:pPr>
              <w:rPr>
                <w:b/>
                <w:sz w:val="20"/>
                <w:szCs w:val="20"/>
              </w:rPr>
            </w:pPr>
            <w:r w:rsidRPr="007A7801">
              <w:rPr>
                <w:b/>
                <w:bCs/>
                <w:sz w:val="20"/>
                <w:szCs w:val="20"/>
                <w:lang w:val="en-GB"/>
              </w:rPr>
              <w:t>Scheme for the enhancement of the competitiveness of micro-enterprises employing 1-4 persons</w:t>
            </w:r>
          </w:p>
        </w:tc>
        <w:tc>
          <w:tcPr>
            <w:tcW w:w="1445" w:type="dxa"/>
            <w:tcBorders>
              <w:bottom w:val="single" w:sz="4" w:space="0" w:color="auto"/>
            </w:tcBorders>
          </w:tcPr>
          <w:p w:rsidR="00AC17AF" w:rsidRPr="007A7801" w:rsidRDefault="00AC17AF" w:rsidP="00AC17AF">
            <w:pPr>
              <w:jc w:val="center"/>
              <w:rPr>
                <w:sz w:val="20"/>
                <w:szCs w:val="20"/>
              </w:rPr>
            </w:pPr>
            <w:r w:rsidRPr="007A7801">
              <w:rPr>
                <w:sz w:val="20"/>
                <w:szCs w:val="20"/>
              </w:rPr>
              <w:t>Exploiting job creation</w:t>
            </w:r>
          </w:p>
        </w:tc>
        <w:tc>
          <w:tcPr>
            <w:tcW w:w="1249" w:type="dxa"/>
            <w:tcBorders>
              <w:bottom w:val="single" w:sz="4" w:space="0" w:color="auto"/>
            </w:tcBorders>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Borders>
              <w:bottom w:val="single" w:sz="4" w:space="0" w:color="auto"/>
            </w:tcBorders>
          </w:tcPr>
          <w:p w:rsidR="00AC17AF" w:rsidRDefault="00AC17AF" w:rsidP="00AC17AF">
            <w:pPr>
              <w:rPr>
                <w:sz w:val="20"/>
                <w:szCs w:val="20"/>
              </w:rPr>
            </w:pPr>
            <w:r w:rsidRPr="007A7801">
              <w:rPr>
                <w:sz w:val="20"/>
                <w:szCs w:val="20"/>
                <w:lang w:val="en-GB"/>
              </w:rPr>
              <w:t xml:space="preserve">The scheme, which is implemented by the HRDA and is co-financed by the ESF, involves the provision of specialised guidance and training to </w:t>
            </w:r>
            <w:r w:rsidRPr="007A7801">
              <w:rPr>
                <w:bCs/>
                <w:sz w:val="20"/>
                <w:szCs w:val="20"/>
                <w:lang w:val="en-GB"/>
              </w:rPr>
              <w:t>Microenterprises</w:t>
            </w:r>
            <w:r w:rsidRPr="007A7801">
              <w:rPr>
                <w:sz w:val="20"/>
                <w:szCs w:val="20"/>
                <w:lang w:val="en-GB"/>
              </w:rPr>
              <w:t xml:space="preserve"> (MEs), employing 1-4 persons, and generally at strengthening their competitiveness. The scheme aims at improving the functioning and efficiency of the MEs </w:t>
            </w:r>
            <w:r w:rsidRPr="007A7801">
              <w:rPr>
                <w:sz w:val="20"/>
                <w:szCs w:val="20"/>
              </w:rPr>
              <w:t>through the systematic diagnosis by appropriate advisers/trainers of the weaknesses/problems they are facing and then through training/development and fuller utilization of their owner/director and staff.</w:t>
            </w:r>
          </w:p>
          <w:p w:rsidR="0064223B" w:rsidRDefault="0064223B" w:rsidP="00AC17AF">
            <w:pPr>
              <w:rPr>
                <w:sz w:val="20"/>
                <w:szCs w:val="20"/>
              </w:rPr>
            </w:pPr>
          </w:p>
          <w:p w:rsidR="0064223B" w:rsidRDefault="0064223B" w:rsidP="00AC17AF">
            <w:pPr>
              <w:rPr>
                <w:sz w:val="20"/>
                <w:szCs w:val="20"/>
              </w:rPr>
            </w:pPr>
          </w:p>
          <w:p w:rsidR="0064223B" w:rsidRDefault="0064223B" w:rsidP="00AC17AF">
            <w:pPr>
              <w:rPr>
                <w:sz w:val="20"/>
                <w:szCs w:val="20"/>
              </w:rPr>
            </w:pPr>
          </w:p>
          <w:p w:rsidR="0064223B" w:rsidRDefault="0064223B" w:rsidP="00AC17AF">
            <w:pPr>
              <w:rPr>
                <w:sz w:val="20"/>
                <w:szCs w:val="20"/>
              </w:rPr>
            </w:pPr>
          </w:p>
          <w:p w:rsidR="0064223B" w:rsidRDefault="0064223B" w:rsidP="00AC17AF">
            <w:pPr>
              <w:rPr>
                <w:sz w:val="20"/>
                <w:szCs w:val="20"/>
              </w:rPr>
            </w:pPr>
          </w:p>
          <w:p w:rsidR="0064223B" w:rsidRPr="007A7801" w:rsidRDefault="0064223B" w:rsidP="00AC17AF">
            <w:pPr>
              <w:rPr>
                <w:sz w:val="20"/>
                <w:szCs w:val="20"/>
              </w:rPr>
            </w:pPr>
          </w:p>
        </w:tc>
        <w:tc>
          <w:tcPr>
            <w:tcW w:w="1808" w:type="dxa"/>
            <w:tcBorders>
              <w:bottom w:val="single" w:sz="4" w:space="0" w:color="auto"/>
            </w:tcBorders>
          </w:tcPr>
          <w:p w:rsidR="00AC17AF" w:rsidRPr="007A7801" w:rsidRDefault="00AC17AF" w:rsidP="00AC17AF">
            <w:pPr>
              <w:jc w:val="center"/>
              <w:rPr>
                <w:sz w:val="20"/>
                <w:szCs w:val="20"/>
              </w:rPr>
            </w:pPr>
          </w:p>
        </w:tc>
        <w:tc>
          <w:tcPr>
            <w:tcW w:w="1276" w:type="dxa"/>
            <w:tcBorders>
              <w:bottom w:val="single" w:sz="4" w:space="0" w:color="auto"/>
            </w:tcBorders>
          </w:tcPr>
          <w:p w:rsidR="00AC17AF" w:rsidRPr="007A7801" w:rsidRDefault="00AC17AF" w:rsidP="00AC17AF">
            <w:pPr>
              <w:jc w:val="center"/>
              <w:rPr>
                <w:sz w:val="20"/>
                <w:szCs w:val="20"/>
                <w:lang w:val="en-GB"/>
              </w:rPr>
            </w:pPr>
            <w:r w:rsidRPr="007A7801">
              <w:rPr>
                <w:sz w:val="20"/>
                <w:szCs w:val="20"/>
                <w:lang w:val="en-GB"/>
              </w:rPr>
              <w:t>€4.500.000</w:t>
            </w:r>
          </w:p>
          <w:p w:rsidR="00AC17AF" w:rsidRPr="007A7801" w:rsidRDefault="00AC17AF" w:rsidP="00AC17AF">
            <w:pPr>
              <w:jc w:val="center"/>
              <w:rPr>
                <w:sz w:val="20"/>
                <w:szCs w:val="20"/>
              </w:rPr>
            </w:pPr>
            <w:r w:rsidRPr="007A7801">
              <w:rPr>
                <w:sz w:val="20"/>
                <w:szCs w:val="20"/>
                <w:lang w:val="en-GB"/>
              </w:rPr>
              <w:t>Co-financed by ESF (85%) and HRDA (15%) as national contribution</w:t>
            </w:r>
          </w:p>
        </w:tc>
        <w:tc>
          <w:tcPr>
            <w:tcW w:w="1417" w:type="dxa"/>
            <w:tcBorders>
              <w:bottom w:val="single" w:sz="4" w:space="0" w:color="auto"/>
            </w:tcBorders>
          </w:tcPr>
          <w:p w:rsidR="00AC17AF" w:rsidRPr="007A7801" w:rsidRDefault="00AC17AF" w:rsidP="00AC17AF">
            <w:pPr>
              <w:jc w:val="center"/>
              <w:rPr>
                <w:sz w:val="20"/>
                <w:szCs w:val="20"/>
              </w:rPr>
            </w:pPr>
          </w:p>
        </w:tc>
        <w:tc>
          <w:tcPr>
            <w:tcW w:w="1456" w:type="dxa"/>
            <w:tcBorders>
              <w:bottom w:val="single" w:sz="4" w:space="0" w:color="auto"/>
            </w:tcBorders>
          </w:tcPr>
          <w:p w:rsidR="00AC17AF" w:rsidRPr="007A7801" w:rsidRDefault="00AC17AF" w:rsidP="00AC17AF">
            <w:pPr>
              <w:jc w:val="center"/>
              <w:rPr>
                <w:sz w:val="20"/>
                <w:szCs w:val="20"/>
              </w:rPr>
            </w:pPr>
            <w:r w:rsidRPr="007A7801">
              <w:rPr>
                <w:sz w:val="20"/>
                <w:szCs w:val="20"/>
                <w:lang w:val="en-GB"/>
              </w:rPr>
              <w:t>1.200 MEs</w:t>
            </w:r>
          </w:p>
        </w:tc>
      </w:tr>
      <w:tr w:rsidR="00AC17AF" w:rsidRPr="007A7801" w:rsidTr="006C2BEE">
        <w:trPr>
          <w:cantSplit/>
          <w:trHeight w:val="454"/>
          <w:jc w:val="center"/>
        </w:trPr>
        <w:tc>
          <w:tcPr>
            <w:tcW w:w="14876" w:type="dxa"/>
            <w:gridSpan w:val="8"/>
            <w:shd w:val="clear" w:color="auto" w:fill="D9D9D9"/>
            <w:vAlign w:val="center"/>
          </w:tcPr>
          <w:p w:rsidR="00AC17AF" w:rsidRPr="007A7801" w:rsidRDefault="00AC17AF" w:rsidP="00AC17AF">
            <w:pPr>
              <w:jc w:val="center"/>
              <w:rPr>
                <w:b/>
                <w:sz w:val="22"/>
                <w:szCs w:val="22"/>
              </w:rPr>
            </w:pPr>
            <w:r w:rsidRPr="007A7801">
              <w:rPr>
                <w:b/>
                <w:sz w:val="22"/>
                <w:szCs w:val="22"/>
              </w:rPr>
              <w:t>3</w:t>
            </w:r>
            <w:r w:rsidR="00F86D8D">
              <w:rPr>
                <w:b/>
                <w:sz w:val="22"/>
                <w:szCs w:val="22"/>
              </w:rPr>
              <w:t>.</w:t>
            </w:r>
            <w:r w:rsidRPr="007A7801">
              <w:rPr>
                <w:b/>
                <w:sz w:val="22"/>
                <w:szCs w:val="22"/>
              </w:rPr>
              <w:t xml:space="preserve"> Improve the Education and Training Systems</w:t>
            </w:r>
          </w:p>
        </w:tc>
      </w:tr>
      <w:tr w:rsidR="00AC17AF" w:rsidRPr="007A7801" w:rsidTr="000B4E9F">
        <w:trPr>
          <w:cantSplit/>
          <w:jc w:val="center"/>
        </w:trPr>
        <w:tc>
          <w:tcPr>
            <w:tcW w:w="1945" w:type="dxa"/>
          </w:tcPr>
          <w:p w:rsidR="00AC17AF" w:rsidRPr="007A7801" w:rsidRDefault="00AC17AF" w:rsidP="00F27ECD">
            <w:pPr>
              <w:rPr>
                <w:b/>
                <w:sz w:val="20"/>
                <w:szCs w:val="20"/>
                <w:lang w:val="en-GB"/>
              </w:rPr>
            </w:pPr>
            <w:r w:rsidRPr="007A7801">
              <w:rPr>
                <w:b/>
                <w:bCs/>
                <w:sz w:val="20"/>
                <w:szCs w:val="20"/>
                <w:lang w:val="en-GB"/>
              </w:rPr>
              <w:t xml:space="preserve">Accelerated initial training of newcomers and other unemployed </w:t>
            </w:r>
            <w:r w:rsidR="00F27ECD">
              <w:rPr>
                <w:b/>
                <w:bCs/>
                <w:sz w:val="20"/>
                <w:szCs w:val="20"/>
                <w:lang w:val="en-GB"/>
              </w:rPr>
              <w:t>people</w:t>
            </w:r>
          </w:p>
        </w:tc>
        <w:tc>
          <w:tcPr>
            <w:tcW w:w="1445" w:type="dxa"/>
          </w:tcPr>
          <w:p w:rsidR="00AC17AF" w:rsidRPr="007A7801" w:rsidRDefault="00AC17AF" w:rsidP="00AC17AF">
            <w:pPr>
              <w:jc w:val="center"/>
              <w:rPr>
                <w:sz w:val="20"/>
                <w:szCs w:val="20"/>
              </w:rPr>
            </w:pPr>
            <w:r w:rsidRPr="007A7801">
              <w:rPr>
                <w:sz w:val="20"/>
                <w:szCs w:val="20"/>
                <w:lang w:val="en-GB"/>
              </w:rPr>
              <w:t>Improve Training System</w:t>
            </w:r>
          </w:p>
        </w:tc>
        <w:tc>
          <w:tcPr>
            <w:tcW w:w="1249" w:type="dxa"/>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Pr>
          <w:p w:rsidR="00AC17AF" w:rsidRPr="007A7801" w:rsidRDefault="00AC17AF" w:rsidP="00F27ECD">
            <w:pPr>
              <w:rPr>
                <w:sz w:val="20"/>
                <w:szCs w:val="20"/>
                <w:lang w:val="en-GB"/>
              </w:rPr>
            </w:pPr>
            <w:r w:rsidRPr="007A7801">
              <w:rPr>
                <w:sz w:val="20"/>
                <w:szCs w:val="20"/>
                <w:lang w:val="en-GB"/>
              </w:rPr>
              <w:t xml:space="preserve">Under this scheme, the HRDA organises accelerated initial training courses that are implemented by the </w:t>
            </w:r>
            <w:r w:rsidR="00F27ECD">
              <w:rPr>
                <w:sz w:val="20"/>
                <w:szCs w:val="20"/>
                <w:lang w:val="en-GB"/>
              </w:rPr>
              <w:t xml:space="preserve">CPC </w:t>
            </w:r>
            <w:r w:rsidRPr="007A7801">
              <w:rPr>
                <w:sz w:val="20"/>
                <w:szCs w:val="20"/>
                <w:lang w:val="en-GB"/>
              </w:rPr>
              <w:t xml:space="preserve">and the Higher Hotel Institute, which aim at giving theoretical and practical training in occupations which are currently in demand. These courses are offered free of charge to persons who want to embark on a career in such occupations. The participants on the programmes receive training allowance from the HRDA. </w:t>
            </w:r>
          </w:p>
        </w:tc>
        <w:tc>
          <w:tcPr>
            <w:tcW w:w="1808" w:type="dxa"/>
          </w:tcPr>
          <w:p w:rsidR="00AC17AF" w:rsidRPr="007A7801" w:rsidRDefault="00AC17AF" w:rsidP="00AC17AF">
            <w:pPr>
              <w:jc w:val="center"/>
              <w:rPr>
                <w:sz w:val="20"/>
                <w:szCs w:val="20"/>
              </w:rPr>
            </w:pPr>
          </w:p>
        </w:tc>
        <w:tc>
          <w:tcPr>
            <w:tcW w:w="1276" w:type="dxa"/>
          </w:tcPr>
          <w:p w:rsidR="00AC17AF" w:rsidRPr="007A7801" w:rsidRDefault="00AC17AF" w:rsidP="00AC17AF">
            <w:pPr>
              <w:jc w:val="center"/>
              <w:rPr>
                <w:sz w:val="20"/>
                <w:szCs w:val="20"/>
              </w:rPr>
            </w:pPr>
            <w:r w:rsidRPr="007A7801">
              <w:rPr>
                <w:sz w:val="20"/>
                <w:szCs w:val="20"/>
                <w:lang w:val="en-GB"/>
              </w:rPr>
              <w:t>€1.000.000 for 2011</w:t>
            </w:r>
          </w:p>
        </w:tc>
        <w:tc>
          <w:tcPr>
            <w:tcW w:w="1417" w:type="dxa"/>
          </w:tcPr>
          <w:p w:rsidR="00AC17AF" w:rsidRPr="007A7801" w:rsidRDefault="00AC17AF" w:rsidP="00AC17AF">
            <w:pPr>
              <w:jc w:val="center"/>
              <w:rPr>
                <w:sz w:val="20"/>
                <w:szCs w:val="20"/>
              </w:rPr>
            </w:pPr>
          </w:p>
        </w:tc>
        <w:tc>
          <w:tcPr>
            <w:tcW w:w="1456" w:type="dxa"/>
          </w:tcPr>
          <w:p w:rsidR="00AC17AF" w:rsidRPr="007A7801" w:rsidRDefault="00AC17AF" w:rsidP="00AC17AF">
            <w:pPr>
              <w:jc w:val="center"/>
              <w:rPr>
                <w:sz w:val="20"/>
                <w:szCs w:val="20"/>
              </w:rPr>
            </w:pPr>
            <w:r w:rsidRPr="007A7801">
              <w:rPr>
                <w:sz w:val="20"/>
                <w:szCs w:val="20"/>
              </w:rPr>
              <w:t>400 persons in 2011</w:t>
            </w:r>
          </w:p>
        </w:tc>
      </w:tr>
    </w:tbl>
    <w:p w:rsidR="00326D6D" w:rsidRDefault="00326D6D" w:rsidP="00AC17AF">
      <w:pPr>
        <w:rPr>
          <w:b/>
          <w:bCs/>
          <w:sz w:val="20"/>
          <w:szCs w:val="20"/>
          <w:lang w:val="en-GB"/>
        </w:rPr>
        <w:sectPr w:rsidR="00326D6D" w:rsidSect="00326D6D">
          <w:type w:val="continuous"/>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417"/>
        <w:gridCol w:w="1456"/>
      </w:tblGrid>
      <w:tr w:rsidR="00AC17AF" w:rsidRPr="007A7801" w:rsidTr="0064223B">
        <w:trPr>
          <w:cantSplit/>
          <w:jc w:val="center"/>
        </w:trPr>
        <w:tc>
          <w:tcPr>
            <w:tcW w:w="1945" w:type="dxa"/>
          </w:tcPr>
          <w:p w:rsidR="00AC17AF" w:rsidRPr="007A7801" w:rsidRDefault="00AC17AF" w:rsidP="00AC17AF">
            <w:pPr>
              <w:rPr>
                <w:b/>
                <w:sz w:val="20"/>
                <w:szCs w:val="20"/>
                <w:lang w:val="en-GB"/>
              </w:rPr>
            </w:pPr>
            <w:r w:rsidRPr="007A7801">
              <w:rPr>
                <w:b/>
                <w:bCs/>
                <w:sz w:val="20"/>
                <w:szCs w:val="20"/>
                <w:lang w:val="en-GB"/>
              </w:rPr>
              <w:lastRenderedPageBreak/>
              <w:t>Employment and Social Integration of Persons from Vulnerable Groups</w:t>
            </w:r>
          </w:p>
        </w:tc>
        <w:tc>
          <w:tcPr>
            <w:tcW w:w="1445" w:type="dxa"/>
          </w:tcPr>
          <w:p w:rsidR="00AC17AF" w:rsidRPr="007A7801" w:rsidRDefault="00AC17AF" w:rsidP="00AC17AF">
            <w:pPr>
              <w:jc w:val="center"/>
              <w:rPr>
                <w:sz w:val="20"/>
                <w:szCs w:val="20"/>
              </w:rPr>
            </w:pPr>
            <w:r w:rsidRPr="007A7801">
              <w:rPr>
                <w:sz w:val="20"/>
                <w:szCs w:val="20"/>
                <w:lang w:val="en-GB"/>
              </w:rPr>
              <w:t>Improve Education and Training Systems</w:t>
            </w:r>
          </w:p>
        </w:tc>
        <w:tc>
          <w:tcPr>
            <w:tcW w:w="1249" w:type="dxa"/>
          </w:tcPr>
          <w:p w:rsidR="00AC17AF" w:rsidRPr="007A7801" w:rsidRDefault="00AC17AF" w:rsidP="00AC17AF">
            <w:pPr>
              <w:jc w:val="center"/>
              <w:rPr>
                <w:sz w:val="20"/>
                <w:szCs w:val="20"/>
              </w:rPr>
            </w:pPr>
            <w:r w:rsidRPr="007A7801">
              <w:rPr>
                <w:sz w:val="20"/>
                <w:szCs w:val="20"/>
              </w:rPr>
              <w:t>Social Welfare Services</w:t>
            </w:r>
          </w:p>
          <w:p w:rsidR="00AC17AF" w:rsidRPr="007A7801" w:rsidRDefault="00AC17AF" w:rsidP="00AC17AF">
            <w:pPr>
              <w:jc w:val="center"/>
              <w:rPr>
                <w:sz w:val="20"/>
                <w:szCs w:val="20"/>
              </w:rPr>
            </w:pPr>
            <w:r w:rsidRPr="007A7801">
              <w:rPr>
                <w:sz w:val="20"/>
                <w:szCs w:val="20"/>
              </w:rPr>
              <w:t>(SWS)</w:t>
            </w:r>
          </w:p>
        </w:tc>
        <w:tc>
          <w:tcPr>
            <w:tcW w:w="4280" w:type="dxa"/>
          </w:tcPr>
          <w:p w:rsidR="00AC17AF" w:rsidRPr="007A7801" w:rsidRDefault="00AC17AF" w:rsidP="00F27ECD">
            <w:pPr>
              <w:rPr>
                <w:sz w:val="20"/>
                <w:szCs w:val="20"/>
                <w:lang w:val="en-GB"/>
              </w:rPr>
            </w:pPr>
            <w:r w:rsidRPr="007A7801">
              <w:rPr>
                <w:sz w:val="20"/>
                <w:szCs w:val="20"/>
                <w:lang w:val="en-GB"/>
              </w:rPr>
              <w:t xml:space="preserve">The </w:t>
            </w:r>
            <w:r w:rsidR="00F27ECD">
              <w:rPr>
                <w:sz w:val="20"/>
                <w:szCs w:val="20"/>
                <w:lang w:val="en-GB"/>
              </w:rPr>
              <w:t xml:space="preserve">SWS </w:t>
            </w:r>
            <w:r w:rsidRPr="007A7801">
              <w:rPr>
                <w:sz w:val="20"/>
                <w:szCs w:val="20"/>
                <w:lang w:val="en-GB"/>
              </w:rPr>
              <w:t>will implement a programme for improving the social skills of the Vulnerable. On the basis of their needs they may participate in speciali</w:t>
            </w:r>
            <w:r w:rsidR="00F27ECD">
              <w:rPr>
                <w:sz w:val="20"/>
                <w:szCs w:val="20"/>
                <w:lang w:val="en-GB"/>
              </w:rPr>
              <w:t>s</w:t>
            </w:r>
            <w:r w:rsidRPr="007A7801">
              <w:rPr>
                <w:sz w:val="20"/>
                <w:szCs w:val="20"/>
                <w:lang w:val="en-GB"/>
              </w:rPr>
              <w:t xml:space="preserve">ed </w:t>
            </w:r>
            <w:r w:rsidR="00F27ECD">
              <w:rPr>
                <w:sz w:val="20"/>
                <w:szCs w:val="20"/>
                <w:lang w:val="en-GB"/>
              </w:rPr>
              <w:t>s</w:t>
            </w:r>
            <w:r w:rsidRPr="007A7801">
              <w:rPr>
                <w:sz w:val="20"/>
                <w:szCs w:val="20"/>
                <w:lang w:val="en-GB"/>
              </w:rPr>
              <w:t xml:space="preserve">kill training and or educational programmes. Additionally they will be directed to the </w:t>
            </w:r>
            <w:r w:rsidR="00F27ECD">
              <w:rPr>
                <w:sz w:val="20"/>
                <w:szCs w:val="20"/>
                <w:lang w:val="en-GB"/>
              </w:rPr>
              <w:t>PES</w:t>
            </w:r>
            <w:r w:rsidRPr="007A7801">
              <w:rPr>
                <w:sz w:val="20"/>
                <w:szCs w:val="20"/>
                <w:lang w:val="en-GB"/>
              </w:rPr>
              <w:t xml:space="preserve"> to be promoted for employment   </w:t>
            </w:r>
          </w:p>
        </w:tc>
        <w:tc>
          <w:tcPr>
            <w:tcW w:w="1808" w:type="dxa"/>
          </w:tcPr>
          <w:p w:rsidR="00AC17AF" w:rsidRPr="007A7801" w:rsidRDefault="00AC17AF" w:rsidP="00AC17AF">
            <w:pPr>
              <w:jc w:val="center"/>
              <w:rPr>
                <w:sz w:val="20"/>
                <w:szCs w:val="20"/>
              </w:rPr>
            </w:pPr>
            <w:r w:rsidRPr="007A7801">
              <w:rPr>
                <w:sz w:val="20"/>
                <w:szCs w:val="20"/>
                <w:lang w:val="en-GB"/>
              </w:rPr>
              <w:t>February 2011 – September 2015</w:t>
            </w:r>
          </w:p>
        </w:tc>
        <w:tc>
          <w:tcPr>
            <w:tcW w:w="1276" w:type="dxa"/>
          </w:tcPr>
          <w:p w:rsidR="00AC17AF" w:rsidRPr="007A7801" w:rsidRDefault="00AC17AF" w:rsidP="00AC17AF">
            <w:pPr>
              <w:jc w:val="center"/>
              <w:rPr>
                <w:sz w:val="20"/>
                <w:szCs w:val="20"/>
                <w:lang w:val="en-GB"/>
              </w:rPr>
            </w:pPr>
            <w:r w:rsidRPr="007A7801">
              <w:rPr>
                <w:sz w:val="20"/>
                <w:szCs w:val="20"/>
                <w:lang w:val="en-GB"/>
              </w:rPr>
              <w:t>€2.000.000</w:t>
            </w:r>
          </w:p>
          <w:p w:rsidR="00AC17AF" w:rsidRPr="007A7801" w:rsidRDefault="00AC17AF" w:rsidP="00AC17AF">
            <w:pPr>
              <w:jc w:val="center"/>
              <w:rPr>
                <w:sz w:val="20"/>
                <w:szCs w:val="20"/>
              </w:rPr>
            </w:pPr>
            <w:r w:rsidRPr="007A7801">
              <w:rPr>
                <w:sz w:val="20"/>
                <w:szCs w:val="20"/>
                <w:lang w:val="en-GB"/>
              </w:rPr>
              <w:t>Co-financed by ESF (70%) and the Cyprus Government (30%)</w:t>
            </w:r>
          </w:p>
        </w:tc>
        <w:tc>
          <w:tcPr>
            <w:tcW w:w="1417" w:type="dxa"/>
          </w:tcPr>
          <w:p w:rsidR="00AC17AF" w:rsidRPr="007A7801" w:rsidRDefault="00AC17AF" w:rsidP="00AC17AF">
            <w:pPr>
              <w:jc w:val="center"/>
              <w:rPr>
                <w:sz w:val="20"/>
                <w:szCs w:val="20"/>
              </w:rPr>
            </w:pPr>
            <w:r w:rsidRPr="007A7801">
              <w:rPr>
                <w:sz w:val="20"/>
                <w:szCs w:val="20"/>
              </w:rPr>
              <w:t>Ex-post evaluation by independent expert and internal on-going monitoring</w:t>
            </w:r>
          </w:p>
        </w:tc>
        <w:tc>
          <w:tcPr>
            <w:tcW w:w="1456" w:type="dxa"/>
          </w:tcPr>
          <w:p w:rsidR="00AC17AF" w:rsidRPr="007A7801" w:rsidRDefault="00AC17AF" w:rsidP="00AC17AF">
            <w:pPr>
              <w:jc w:val="center"/>
              <w:rPr>
                <w:sz w:val="20"/>
                <w:szCs w:val="20"/>
              </w:rPr>
            </w:pPr>
            <w:r w:rsidRPr="007A7801">
              <w:rPr>
                <w:sz w:val="20"/>
                <w:szCs w:val="20"/>
              </w:rPr>
              <w:t>1.300 people from vulnerable groups of the population</w:t>
            </w:r>
          </w:p>
        </w:tc>
      </w:tr>
      <w:tr w:rsidR="00AC17AF" w:rsidRPr="007A7801" w:rsidTr="0064223B">
        <w:trPr>
          <w:cantSplit/>
          <w:jc w:val="center"/>
        </w:trPr>
        <w:tc>
          <w:tcPr>
            <w:tcW w:w="1945" w:type="dxa"/>
          </w:tcPr>
          <w:p w:rsidR="00AC17AF" w:rsidRPr="007A7801" w:rsidRDefault="00AC17AF" w:rsidP="00AC17AF">
            <w:pPr>
              <w:rPr>
                <w:b/>
                <w:sz w:val="20"/>
                <w:szCs w:val="20"/>
                <w:lang w:val="de-DE"/>
              </w:rPr>
            </w:pPr>
            <w:r w:rsidRPr="007A7801">
              <w:rPr>
                <w:b/>
                <w:sz w:val="20"/>
                <w:szCs w:val="20"/>
                <w:lang w:val="de-DE"/>
              </w:rPr>
              <w:t xml:space="preserve">“e-Volve” </w:t>
            </w:r>
          </w:p>
        </w:tc>
        <w:tc>
          <w:tcPr>
            <w:tcW w:w="1445" w:type="dxa"/>
          </w:tcPr>
          <w:p w:rsidR="00AC17AF" w:rsidRPr="007A7801" w:rsidRDefault="00AC17AF" w:rsidP="00AC17AF">
            <w:pPr>
              <w:jc w:val="center"/>
              <w:rPr>
                <w:sz w:val="20"/>
                <w:szCs w:val="20"/>
              </w:rPr>
            </w:pPr>
            <w:r w:rsidRPr="007A7801">
              <w:rPr>
                <w:sz w:val="20"/>
                <w:szCs w:val="20"/>
                <w:lang w:val="en-GB"/>
              </w:rPr>
              <w:t>Improve Education and Training Systems</w:t>
            </w:r>
          </w:p>
        </w:tc>
        <w:tc>
          <w:tcPr>
            <w:tcW w:w="1249" w:type="dxa"/>
          </w:tcPr>
          <w:p w:rsidR="00AC17AF" w:rsidRPr="007A7801" w:rsidRDefault="00AC17AF" w:rsidP="00AC17AF">
            <w:pPr>
              <w:jc w:val="center"/>
              <w:rPr>
                <w:sz w:val="20"/>
                <w:szCs w:val="20"/>
                <w:lang w:val="en-GB"/>
              </w:rPr>
            </w:pPr>
            <w:r w:rsidRPr="007A7801">
              <w:rPr>
                <w:sz w:val="20"/>
                <w:szCs w:val="20"/>
                <w:lang w:val="en-GB"/>
              </w:rPr>
              <w:t>Cyprus Productivity Centre</w:t>
            </w:r>
          </w:p>
          <w:p w:rsidR="00AC17AF" w:rsidRPr="007A7801" w:rsidRDefault="00AC17AF" w:rsidP="00AC17AF">
            <w:pPr>
              <w:jc w:val="center"/>
              <w:rPr>
                <w:sz w:val="20"/>
                <w:szCs w:val="20"/>
                <w:lang w:val="en-GB"/>
              </w:rPr>
            </w:pPr>
            <w:r w:rsidRPr="007A7801">
              <w:rPr>
                <w:sz w:val="20"/>
                <w:szCs w:val="20"/>
                <w:lang w:val="en-GB"/>
              </w:rPr>
              <w:t>(CPC)</w:t>
            </w:r>
          </w:p>
        </w:tc>
        <w:tc>
          <w:tcPr>
            <w:tcW w:w="4280" w:type="dxa"/>
          </w:tcPr>
          <w:p w:rsidR="00AC17AF" w:rsidRPr="007A7801" w:rsidRDefault="00AC17AF" w:rsidP="00AC17AF">
            <w:pPr>
              <w:rPr>
                <w:sz w:val="20"/>
                <w:szCs w:val="20"/>
              </w:rPr>
            </w:pPr>
            <w:r w:rsidRPr="007A7801">
              <w:rPr>
                <w:sz w:val="20"/>
                <w:szCs w:val="20"/>
                <w:lang w:val="en-GB"/>
              </w:rPr>
              <w:t>A training and consultancy scheme for companies and organi</w:t>
            </w:r>
            <w:r w:rsidR="00F27ECD">
              <w:rPr>
                <w:sz w:val="20"/>
                <w:szCs w:val="20"/>
                <w:lang w:val="en-GB"/>
              </w:rPr>
              <w:t>s</w:t>
            </w:r>
            <w:r w:rsidRPr="007A7801">
              <w:rPr>
                <w:sz w:val="20"/>
                <w:szCs w:val="20"/>
                <w:lang w:val="en-GB"/>
              </w:rPr>
              <w:t>ations designed to provide them with the necessary support in order to improve the level of their e-Learning, e-Government and e-Business skills.</w:t>
            </w:r>
          </w:p>
        </w:tc>
        <w:tc>
          <w:tcPr>
            <w:tcW w:w="1808" w:type="dxa"/>
          </w:tcPr>
          <w:p w:rsidR="00AC17AF" w:rsidRPr="007A7801" w:rsidRDefault="00AC17AF" w:rsidP="00AC17AF">
            <w:pPr>
              <w:jc w:val="center"/>
              <w:rPr>
                <w:sz w:val="20"/>
                <w:szCs w:val="20"/>
              </w:rPr>
            </w:pPr>
            <w:r w:rsidRPr="007A7801">
              <w:rPr>
                <w:sz w:val="20"/>
                <w:szCs w:val="20"/>
              </w:rPr>
              <w:t>September 2009 – December 2013</w:t>
            </w:r>
          </w:p>
        </w:tc>
        <w:tc>
          <w:tcPr>
            <w:tcW w:w="1276" w:type="dxa"/>
          </w:tcPr>
          <w:p w:rsidR="00AC17AF" w:rsidRPr="007A7801" w:rsidRDefault="00AC17AF" w:rsidP="00AC17AF">
            <w:pPr>
              <w:jc w:val="center"/>
              <w:rPr>
                <w:sz w:val="20"/>
                <w:szCs w:val="20"/>
                <w:lang w:val="en-GB"/>
              </w:rPr>
            </w:pPr>
            <w:r w:rsidRPr="007A7801">
              <w:rPr>
                <w:sz w:val="20"/>
                <w:szCs w:val="20"/>
              </w:rPr>
              <w:t>€1</w:t>
            </w:r>
            <w:r w:rsidRPr="007A7801">
              <w:rPr>
                <w:sz w:val="20"/>
                <w:szCs w:val="20"/>
                <w:lang w:val="en-GB"/>
              </w:rPr>
              <w:t xml:space="preserve"> mln</w:t>
            </w:r>
          </w:p>
          <w:p w:rsidR="00AC17AF" w:rsidRPr="007A7801" w:rsidRDefault="00AC17AF" w:rsidP="00AC17AF">
            <w:pPr>
              <w:jc w:val="center"/>
              <w:rPr>
                <w:sz w:val="20"/>
                <w:szCs w:val="20"/>
              </w:rPr>
            </w:pPr>
            <w:r w:rsidRPr="007A7801">
              <w:rPr>
                <w:sz w:val="20"/>
                <w:szCs w:val="20"/>
                <w:lang w:val="en-GB"/>
              </w:rPr>
              <w:t>Co-financed by ESF (85%) and the Cyprus Government (15%)</w:t>
            </w:r>
          </w:p>
        </w:tc>
        <w:tc>
          <w:tcPr>
            <w:tcW w:w="1417" w:type="dxa"/>
          </w:tcPr>
          <w:p w:rsidR="00AC17AF" w:rsidRPr="007A7801" w:rsidRDefault="00AC17AF" w:rsidP="00AC17AF">
            <w:pPr>
              <w:jc w:val="center"/>
              <w:rPr>
                <w:sz w:val="20"/>
                <w:szCs w:val="20"/>
              </w:rPr>
            </w:pPr>
            <w:r w:rsidRPr="007A7801">
              <w:rPr>
                <w:sz w:val="20"/>
                <w:szCs w:val="20"/>
              </w:rPr>
              <w:t>Developed according to ESF rules, approved by the ESF Unit of the Min. of Labour &amp; Social Insurance and described in the Project Fiche.</w:t>
            </w:r>
          </w:p>
        </w:tc>
        <w:tc>
          <w:tcPr>
            <w:tcW w:w="1456" w:type="dxa"/>
          </w:tcPr>
          <w:p w:rsidR="00AC17AF" w:rsidRPr="007A7801" w:rsidRDefault="00AC17AF" w:rsidP="00AC17AF">
            <w:pPr>
              <w:jc w:val="center"/>
              <w:rPr>
                <w:sz w:val="20"/>
                <w:szCs w:val="20"/>
              </w:rPr>
            </w:pPr>
            <w:r w:rsidRPr="007A7801">
              <w:rPr>
                <w:sz w:val="20"/>
                <w:szCs w:val="20"/>
              </w:rPr>
              <w:t>1.500 individuals</w:t>
            </w:r>
          </w:p>
          <w:p w:rsidR="00AC17AF" w:rsidRPr="007A7801" w:rsidRDefault="00AC17AF" w:rsidP="00AC17AF">
            <w:pPr>
              <w:jc w:val="center"/>
              <w:rPr>
                <w:sz w:val="20"/>
                <w:szCs w:val="20"/>
              </w:rPr>
            </w:pPr>
          </w:p>
          <w:p w:rsidR="00AC17AF" w:rsidRPr="007A7801" w:rsidRDefault="00AC17AF" w:rsidP="00AC17AF">
            <w:pPr>
              <w:jc w:val="center"/>
              <w:rPr>
                <w:sz w:val="20"/>
                <w:szCs w:val="20"/>
              </w:rPr>
            </w:pPr>
            <w:r w:rsidRPr="007A7801">
              <w:rPr>
                <w:sz w:val="20"/>
                <w:szCs w:val="20"/>
              </w:rPr>
              <w:t>1000 enterprises</w:t>
            </w:r>
          </w:p>
          <w:p w:rsidR="00AC17AF" w:rsidRPr="007A7801" w:rsidRDefault="00AC17AF" w:rsidP="00AC17AF">
            <w:pPr>
              <w:jc w:val="center"/>
              <w:rPr>
                <w:sz w:val="20"/>
                <w:szCs w:val="20"/>
              </w:rPr>
            </w:pPr>
          </w:p>
          <w:p w:rsidR="00AC17AF" w:rsidRPr="007A7801" w:rsidRDefault="00AC17AF" w:rsidP="00AC17AF">
            <w:pPr>
              <w:jc w:val="center"/>
              <w:rPr>
                <w:sz w:val="20"/>
                <w:szCs w:val="20"/>
              </w:rPr>
            </w:pPr>
            <w:r w:rsidRPr="007A7801">
              <w:rPr>
                <w:sz w:val="20"/>
                <w:szCs w:val="20"/>
              </w:rPr>
              <w:t>125 training programmes</w:t>
            </w:r>
          </w:p>
          <w:p w:rsidR="00AC17AF" w:rsidRPr="007A7801" w:rsidRDefault="00AC17AF" w:rsidP="00AC17AF">
            <w:pPr>
              <w:jc w:val="center"/>
              <w:rPr>
                <w:sz w:val="20"/>
                <w:szCs w:val="20"/>
              </w:rPr>
            </w:pPr>
          </w:p>
          <w:p w:rsidR="00AC17AF" w:rsidRPr="007A7801" w:rsidRDefault="00AC17AF" w:rsidP="00AC17AF">
            <w:pPr>
              <w:jc w:val="center"/>
              <w:rPr>
                <w:sz w:val="20"/>
                <w:szCs w:val="20"/>
              </w:rPr>
            </w:pPr>
            <w:r w:rsidRPr="007A7801">
              <w:rPr>
                <w:sz w:val="20"/>
                <w:szCs w:val="20"/>
              </w:rPr>
              <w:t>10 preparatory training programmes</w:t>
            </w:r>
          </w:p>
          <w:p w:rsidR="00AC17AF" w:rsidRPr="007A7801" w:rsidRDefault="00AC17AF" w:rsidP="00AC17AF">
            <w:pPr>
              <w:jc w:val="center"/>
              <w:rPr>
                <w:sz w:val="20"/>
                <w:szCs w:val="20"/>
              </w:rPr>
            </w:pPr>
          </w:p>
          <w:p w:rsidR="00AC17AF" w:rsidRPr="007A7801" w:rsidRDefault="00AC17AF" w:rsidP="00AC17AF">
            <w:pPr>
              <w:jc w:val="center"/>
              <w:rPr>
                <w:sz w:val="20"/>
                <w:szCs w:val="20"/>
              </w:rPr>
            </w:pPr>
            <w:r w:rsidRPr="007A7801">
              <w:rPr>
                <w:sz w:val="20"/>
                <w:szCs w:val="20"/>
              </w:rPr>
              <w:t>8 specialised seminars in e-Commerce</w:t>
            </w:r>
          </w:p>
          <w:p w:rsidR="00AC17AF" w:rsidRPr="007A7801" w:rsidRDefault="00AC17AF" w:rsidP="00AC17AF">
            <w:pPr>
              <w:jc w:val="center"/>
              <w:rPr>
                <w:sz w:val="20"/>
                <w:szCs w:val="20"/>
              </w:rPr>
            </w:pPr>
            <w:r w:rsidRPr="007A7801">
              <w:rPr>
                <w:sz w:val="20"/>
                <w:szCs w:val="20"/>
              </w:rPr>
              <w:t>24 seminars in 8 specialised e-business topics.</w:t>
            </w:r>
          </w:p>
        </w:tc>
      </w:tr>
      <w:tr w:rsidR="00AC17AF" w:rsidRPr="007A7801" w:rsidTr="0064223B">
        <w:trPr>
          <w:cantSplit/>
          <w:jc w:val="center"/>
        </w:trPr>
        <w:tc>
          <w:tcPr>
            <w:tcW w:w="1945" w:type="dxa"/>
          </w:tcPr>
          <w:p w:rsidR="00AC17AF" w:rsidRPr="007A7801" w:rsidRDefault="00AC17AF" w:rsidP="00AC17AF">
            <w:pPr>
              <w:rPr>
                <w:b/>
                <w:sz w:val="20"/>
                <w:szCs w:val="20"/>
              </w:rPr>
            </w:pPr>
            <w:r w:rsidRPr="007A7801">
              <w:rPr>
                <w:b/>
                <w:sz w:val="20"/>
                <w:szCs w:val="20"/>
              </w:rPr>
              <w:t xml:space="preserve">Survey on </w:t>
            </w:r>
            <w:r w:rsidRPr="007A7801">
              <w:rPr>
                <w:b/>
                <w:sz w:val="20"/>
                <w:szCs w:val="20"/>
                <w:lang w:val="en-GB"/>
              </w:rPr>
              <w:t>“Identification of the technical vocational training needs of Cypriot enterprises”</w:t>
            </w:r>
          </w:p>
        </w:tc>
        <w:tc>
          <w:tcPr>
            <w:tcW w:w="1445" w:type="dxa"/>
          </w:tcPr>
          <w:p w:rsidR="00AC17AF" w:rsidRPr="007A7801" w:rsidRDefault="00AC17AF" w:rsidP="00AC17AF">
            <w:pPr>
              <w:jc w:val="center"/>
              <w:rPr>
                <w:sz w:val="20"/>
                <w:szCs w:val="20"/>
              </w:rPr>
            </w:pPr>
            <w:r w:rsidRPr="007A7801">
              <w:rPr>
                <w:sz w:val="20"/>
                <w:szCs w:val="20"/>
              </w:rPr>
              <w:t>Improve education and training systems</w:t>
            </w:r>
          </w:p>
        </w:tc>
        <w:tc>
          <w:tcPr>
            <w:tcW w:w="1249" w:type="dxa"/>
          </w:tcPr>
          <w:p w:rsidR="00AC17AF" w:rsidRPr="007A7801" w:rsidRDefault="00AC17AF" w:rsidP="00AC17AF">
            <w:pPr>
              <w:jc w:val="center"/>
              <w:rPr>
                <w:sz w:val="20"/>
                <w:szCs w:val="20"/>
                <w:lang w:val="en-GB"/>
              </w:rPr>
            </w:pPr>
            <w:r w:rsidRPr="007A7801">
              <w:rPr>
                <w:sz w:val="20"/>
                <w:szCs w:val="20"/>
                <w:lang w:val="en-GB"/>
              </w:rPr>
              <w:t>Cyprus Productivity Center</w:t>
            </w:r>
          </w:p>
          <w:p w:rsidR="00AC17AF" w:rsidRPr="007A7801" w:rsidRDefault="00AC17AF" w:rsidP="00AC17AF">
            <w:pPr>
              <w:jc w:val="center"/>
              <w:rPr>
                <w:sz w:val="20"/>
                <w:szCs w:val="20"/>
                <w:lang w:val="en-GB"/>
              </w:rPr>
            </w:pPr>
            <w:r w:rsidRPr="007A7801">
              <w:rPr>
                <w:sz w:val="20"/>
                <w:szCs w:val="20"/>
                <w:lang w:val="en-GB"/>
              </w:rPr>
              <w:t>(CPC)</w:t>
            </w:r>
          </w:p>
        </w:tc>
        <w:tc>
          <w:tcPr>
            <w:tcW w:w="4280" w:type="dxa"/>
          </w:tcPr>
          <w:p w:rsidR="00AC17AF" w:rsidRPr="007A7801" w:rsidRDefault="00AC17AF" w:rsidP="00AC17AF">
            <w:pPr>
              <w:rPr>
                <w:sz w:val="20"/>
                <w:szCs w:val="20"/>
              </w:rPr>
            </w:pPr>
            <w:r w:rsidRPr="007A7801">
              <w:rPr>
                <w:sz w:val="20"/>
                <w:szCs w:val="20"/>
                <w:lang w:val="en-GB"/>
              </w:rPr>
              <w:t xml:space="preserve">The survey aimed at investigating and identifying the training needs of Cypriot enterprises for technical vocational training.  </w:t>
            </w:r>
          </w:p>
        </w:tc>
        <w:tc>
          <w:tcPr>
            <w:tcW w:w="1808" w:type="dxa"/>
          </w:tcPr>
          <w:p w:rsidR="00AC17AF" w:rsidRPr="007A7801" w:rsidRDefault="00AC17AF" w:rsidP="00AC17AF">
            <w:pPr>
              <w:jc w:val="center"/>
              <w:rPr>
                <w:sz w:val="20"/>
                <w:szCs w:val="20"/>
              </w:rPr>
            </w:pPr>
            <w:r w:rsidRPr="007A7801">
              <w:rPr>
                <w:sz w:val="20"/>
                <w:szCs w:val="20"/>
              </w:rPr>
              <w:t>November 2009 - November 2010</w:t>
            </w:r>
          </w:p>
        </w:tc>
        <w:tc>
          <w:tcPr>
            <w:tcW w:w="1276" w:type="dxa"/>
          </w:tcPr>
          <w:p w:rsidR="00AC17AF" w:rsidRPr="007A7801" w:rsidRDefault="00AC17AF" w:rsidP="00AC17AF">
            <w:pPr>
              <w:jc w:val="center"/>
              <w:rPr>
                <w:sz w:val="20"/>
                <w:szCs w:val="20"/>
              </w:rPr>
            </w:pPr>
            <w:r w:rsidRPr="007A7801">
              <w:rPr>
                <w:sz w:val="20"/>
                <w:szCs w:val="20"/>
              </w:rPr>
              <w:t>€32.200</w:t>
            </w:r>
          </w:p>
        </w:tc>
        <w:tc>
          <w:tcPr>
            <w:tcW w:w="1417" w:type="dxa"/>
          </w:tcPr>
          <w:p w:rsidR="00AC17AF" w:rsidRPr="007A7801" w:rsidRDefault="00AC17AF" w:rsidP="00AC17AF">
            <w:pPr>
              <w:jc w:val="center"/>
              <w:rPr>
                <w:sz w:val="20"/>
                <w:szCs w:val="20"/>
              </w:rPr>
            </w:pPr>
          </w:p>
        </w:tc>
        <w:tc>
          <w:tcPr>
            <w:tcW w:w="1456" w:type="dxa"/>
          </w:tcPr>
          <w:p w:rsidR="00AC17AF" w:rsidRPr="007A7801" w:rsidRDefault="00AC17AF" w:rsidP="00AC17AF">
            <w:pPr>
              <w:jc w:val="center"/>
              <w:rPr>
                <w:sz w:val="20"/>
                <w:szCs w:val="20"/>
              </w:rPr>
            </w:pPr>
          </w:p>
        </w:tc>
      </w:tr>
      <w:tr w:rsidR="00AC17AF" w:rsidRPr="007A7801" w:rsidTr="0064223B">
        <w:trPr>
          <w:cantSplit/>
          <w:jc w:val="center"/>
        </w:trPr>
        <w:tc>
          <w:tcPr>
            <w:tcW w:w="1945" w:type="dxa"/>
          </w:tcPr>
          <w:p w:rsidR="00AC17AF" w:rsidRPr="007A7801" w:rsidRDefault="00AC17AF" w:rsidP="00AC17AF">
            <w:pPr>
              <w:rPr>
                <w:b/>
                <w:sz w:val="20"/>
                <w:szCs w:val="20"/>
              </w:rPr>
            </w:pPr>
            <w:r w:rsidRPr="007A7801">
              <w:rPr>
                <w:b/>
                <w:sz w:val="20"/>
                <w:szCs w:val="20"/>
              </w:rPr>
              <w:t xml:space="preserve">Survey on </w:t>
            </w:r>
            <w:r w:rsidRPr="007A7801">
              <w:rPr>
                <w:b/>
                <w:sz w:val="20"/>
                <w:szCs w:val="20"/>
                <w:lang w:val="en-GB"/>
              </w:rPr>
              <w:t>“The attractiveness of VET in Cyprus”</w:t>
            </w:r>
          </w:p>
        </w:tc>
        <w:tc>
          <w:tcPr>
            <w:tcW w:w="1445" w:type="dxa"/>
          </w:tcPr>
          <w:p w:rsidR="00AC17AF" w:rsidRPr="007A7801" w:rsidRDefault="00AC17AF" w:rsidP="00AC17AF">
            <w:pPr>
              <w:jc w:val="center"/>
              <w:rPr>
                <w:sz w:val="20"/>
                <w:szCs w:val="20"/>
              </w:rPr>
            </w:pPr>
            <w:r w:rsidRPr="007A7801">
              <w:rPr>
                <w:sz w:val="20"/>
                <w:szCs w:val="20"/>
              </w:rPr>
              <w:t>Improve education and training systems</w:t>
            </w:r>
          </w:p>
        </w:tc>
        <w:tc>
          <w:tcPr>
            <w:tcW w:w="1249" w:type="dxa"/>
          </w:tcPr>
          <w:p w:rsidR="00AC17AF" w:rsidRPr="007A7801" w:rsidRDefault="00AC17AF" w:rsidP="00AC17AF">
            <w:pPr>
              <w:jc w:val="center"/>
              <w:rPr>
                <w:sz w:val="20"/>
                <w:szCs w:val="20"/>
                <w:lang w:val="en-GB"/>
              </w:rPr>
            </w:pPr>
            <w:r w:rsidRPr="007A7801">
              <w:rPr>
                <w:sz w:val="20"/>
                <w:szCs w:val="20"/>
                <w:lang w:val="en-GB"/>
              </w:rPr>
              <w:t>Cyprus Productivity Center</w:t>
            </w:r>
          </w:p>
          <w:p w:rsidR="00AC17AF" w:rsidRPr="007A7801" w:rsidRDefault="00AC17AF" w:rsidP="00AC17AF">
            <w:pPr>
              <w:jc w:val="center"/>
              <w:rPr>
                <w:sz w:val="20"/>
                <w:szCs w:val="20"/>
                <w:lang w:val="en-GB"/>
              </w:rPr>
            </w:pPr>
            <w:r w:rsidRPr="007A7801">
              <w:rPr>
                <w:sz w:val="20"/>
                <w:szCs w:val="20"/>
                <w:lang w:val="en-GB"/>
              </w:rPr>
              <w:t>(CPC)</w:t>
            </w:r>
          </w:p>
        </w:tc>
        <w:tc>
          <w:tcPr>
            <w:tcW w:w="4280" w:type="dxa"/>
          </w:tcPr>
          <w:p w:rsidR="00AC17AF" w:rsidRPr="007A7801" w:rsidRDefault="00AC17AF" w:rsidP="00AC17AF">
            <w:pPr>
              <w:rPr>
                <w:sz w:val="20"/>
                <w:szCs w:val="20"/>
              </w:rPr>
            </w:pPr>
            <w:r w:rsidRPr="007A7801">
              <w:rPr>
                <w:sz w:val="20"/>
                <w:szCs w:val="20"/>
                <w:lang w:val="en-GB"/>
              </w:rPr>
              <w:t>The aim of this survey,</w:t>
            </w:r>
            <w:r w:rsidRPr="007A7801">
              <w:rPr>
                <w:sz w:val="20"/>
                <w:szCs w:val="20"/>
              </w:rPr>
              <w:t xml:space="preserve"> which was carried out among young students in their last compulsory school year,</w:t>
            </w:r>
            <w:r w:rsidRPr="007A7801">
              <w:rPr>
                <w:sz w:val="20"/>
                <w:szCs w:val="20"/>
                <w:lang w:val="en-GB"/>
              </w:rPr>
              <w:t xml:space="preserve"> is to investigate the factors causing the low participation in VET in Cyprus, and to explore and test measures and policies that can correct this negative situation.</w:t>
            </w:r>
          </w:p>
        </w:tc>
        <w:tc>
          <w:tcPr>
            <w:tcW w:w="1808" w:type="dxa"/>
          </w:tcPr>
          <w:p w:rsidR="00AC17AF" w:rsidRPr="007A7801" w:rsidRDefault="00AC17AF" w:rsidP="00AC17AF">
            <w:pPr>
              <w:jc w:val="center"/>
              <w:rPr>
                <w:sz w:val="20"/>
                <w:szCs w:val="20"/>
              </w:rPr>
            </w:pPr>
            <w:r w:rsidRPr="007A7801">
              <w:rPr>
                <w:sz w:val="20"/>
                <w:szCs w:val="20"/>
              </w:rPr>
              <w:t>April 2009 - December 2010</w:t>
            </w:r>
          </w:p>
        </w:tc>
        <w:tc>
          <w:tcPr>
            <w:tcW w:w="1276" w:type="dxa"/>
          </w:tcPr>
          <w:p w:rsidR="00AC17AF" w:rsidRPr="007A7801" w:rsidRDefault="00AC17AF" w:rsidP="00AC17AF">
            <w:pPr>
              <w:jc w:val="center"/>
              <w:rPr>
                <w:sz w:val="20"/>
                <w:szCs w:val="20"/>
              </w:rPr>
            </w:pPr>
            <w:r w:rsidRPr="007A7801">
              <w:rPr>
                <w:sz w:val="20"/>
                <w:szCs w:val="20"/>
              </w:rPr>
              <w:t>€5.000</w:t>
            </w:r>
          </w:p>
        </w:tc>
        <w:tc>
          <w:tcPr>
            <w:tcW w:w="1417" w:type="dxa"/>
          </w:tcPr>
          <w:p w:rsidR="00AC17AF" w:rsidRPr="007A7801" w:rsidRDefault="00AC17AF" w:rsidP="00AC17AF">
            <w:pPr>
              <w:jc w:val="center"/>
              <w:rPr>
                <w:sz w:val="20"/>
                <w:szCs w:val="20"/>
              </w:rPr>
            </w:pPr>
          </w:p>
        </w:tc>
        <w:tc>
          <w:tcPr>
            <w:tcW w:w="1456" w:type="dxa"/>
          </w:tcPr>
          <w:p w:rsidR="00AC17AF" w:rsidRPr="007A7801" w:rsidRDefault="00AC17AF" w:rsidP="00AC17AF">
            <w:pPr>
              <w:jc w:val="center"/>
              <w:rPr>
                <w:sz w:val="20"/>
                <w:szCs w:val="20"/>
              </w:rPr>
            </w:pPr>
          </w:p>
        </w:tc>
      </w:tr>
    </w:tbl>
    <w:p w:rsidR="00326D6D" w:rsidRDefault="00326D6D" w:rsidP="00AC17AF">
      <w:pPr>
        <w:rPr>
          <w:b/>
          <w:sz w:val="20"/>
          <w:szCs w:val="20"/>
        </w:rPr>
        <w:sectPr w:rsidR="00326D6D" w:rsidSect="00326D6D">
          <w:type w:val="continuous"/>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417"/>
        <w:gridCol w:w="1456"/>
      </w:tblGrid>
      <w:tr w:rsidR="00AC17AF" w:rsidRPr="007A7801" w:rsidTr="0064223B">
        <w:trPr>
          <w:cantSplit/>
          <w:jc w:val="center"/>
        </w:trPr>
        <w:tc>
          <w:tcPr>
            <w:tcW w:w="1945" w:type="dxa"/>
          </w:tcPr>
          <w:p w:rsidR="00AC17AF" w:rsidRPr="007A7801" w:rsidRDefault="00AC17AF" w:rsidP="00AC17AF">
            <w:pPr>
              <w:rPr>
                <w:b/>
                <w:sz w:val="20"/>
                <w:szCs w:val="20"/>
              </w:rPr>
            </w:pPr>
            <w:r w:rsidRPr="007A7801">
              <w:rPr>
                <w:b/>
                <w:sz w:val="20"/>
                <w:szCs w:val="20"/>
              </w:rPr>
              <w:lastRenderedPageBreak/>
              <w:t>Study on the anticipation of green skills needs</w:t>
            </w:r>
          </w:p>
        </w:tc>
        <w:tc>
          <w:tcPr>
            <w:tcW w:w="1445" w:type="dxa"/>
          </w:tcPr>
          <w:p w:rsidR="00AC17AF" w:rsidRPr="007A7801" w:rsidRDefault="00AC17AF" w:rsidP="00AC17AF">
            <w:pPr>
              <w:jc w:val="center"/>
              <w:rPr>
                <w:sz w:val="20"/>
                <w:szCs w:val="20"/>
              </w:rPr>
            </w:pPr>
            <w:r w:rsidRPr="007A7801">
              <w:rPr>
                <w:sz w:val="20"/>
                <w:szCs w:val="20"/>
                <w:lang w:val="en-GB"/>
              </w:rPr>
              <w:t>Improve Education and Training Systems</w:t>
            </w:r>
          </w:p>
        </w:tc>
        <w:tc>
          <w:tcPr>
            <w:tcW w:w="1249" w:type="dxa"/>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Pr>
          <w:p w:rsidR="00AC17AF" w:rsidRPr="007A7801" w:rsidRDefault="00AC17AF" w:rsidP="00AC17AF">
            <w:pPr>
              <w:rPr>
                <w:sz w:val="20"/>
                <w:szCs w:val="20"/>
                <w:lang w:val="en-GB"/>
              </w:rPr>
            </w:pPr>
            <w:r w:rsidRPr="007A7801">
              <w:rPr>
                <w:bCs/>
                <w:iCs/>
                <w:sz w:val="20"/>
                <w:szCs w:val="20"/>
                <w:lang w:val="en-GB"/>
              </w:rPr>
              <w:t>The study conducted in 2010 identifies the skills and provide employment forecasts for green jobs in the Cyprus economy for the period 2010-2013. The results will be used for the promotion of the acquisition of green knowledge and skills through a variety of targeted measures that are directed towards enterprises, employees and unemployed.</w:t>
            </w:r>
          </w:p>
        </w:tc>
        <w:tc>
          <w:tcPr>
            <w:tcW w:w="1808" w:type="dxa"/>
          </w:tcPr>
          <w:p w:rsidR="00AC17AF" w:rsidRPr="007A7801" w:rsidRDefault="00AC17AF" w:rsidP="00AC17AF">
            <w:pPr>
              <w:jc w:val="center"/>
              <w:rPr>
                <w:sz w:val="20"/>
                <w:szCs w:val="20"/>
              </w:rPr>
            </w:pPr>
            <w:r w:rsidRPr="007A7801">
              <w:rPr>
                <w:sz w:val="20"/>
                <w:szCs w:val="20"/>
              </w:rPr>
              <w:t>2010</w:t>
            </w:r>
          </w:p>
        </w:tc>
        <w:tc>
          <w:tcPr>
            <w:tcW w:w="1276" w:type="dxa"/>
          </w:tcPr>
          <w:p w:rsidR="00AC17AF" w:rsidRPr="007A7801" w:rsidRDefault="00AC17AF" w:rsidP="00AC17AF">
            <w:pPr>
              <w:jc w:val="center"/>
              <w:rPr>
                <w:sz w:val="20"/>
                <w:szCs w:val="20"/>
              </w:rPr>
            </w:pPr>
          </w:p>
        </w:tc>
        <w:tc>
          <w:tcPr>
            <w:tcW w:w="1417" w:type="dxa"/>
          </w:tcPr>
          <w:p w:rsidR="00AC17AF" w:rsidRPr="007A7801" w:rsidRDefault="00AC17AF" w:rsidP="00AC17AF">
            <w:pPr>
              <w:jc w:val="center"/>
              <w:rPr>
                <w:sz w:val="20"/>
                <w:szCs w:val="20"/>
              </w:rPr>
            </w:pPr>
          </w:p>
        </w:tc>
        <w:tc>
          <w:tcPr>
            <w:tcW w:w="1456" w:type="dxa"/>
          </w:tcPr>
          <w:p w:rsidR="00AC17AF" w:rsidRPr="007A7801" w:rsidRDefault="00AC17AF" w:rsidP="00AC17AF">
            <w:pPr>
              <w:jc w:val="center"/>
              <w:rPr>
                <w:sz w:val="20"/>
                <w:szCs w:val="20"/>
              </w:rPr>
            </w:pPr>
          </w:p>
        </w:tc>
      </w:tr>
      <w:tr w:rsidR="00AC17AF" w:rsidRPr="007A7801" w:rsidTr="0064223B">
        <w:trPr>
          <w:cantSplit/>
          <w:jc w:val="center"/>
        </w:trPr>
        <w:tc>
          <w:tcPr>
            <w:tcW w:w="1945" w:type="dxa"/>
          </w:tcPr>
          <w:p w:rsidR="00AC17AF" w:rsidRPr="007A7801" w:rsidRDefault="00AC17AF" w:rsidP="00607105">
            <w:pPr>
              <w:rPr>
                <w:b/>
                <w:sz w:val="20"/>
                <w:szCs w:val="20"/>
              </w:rPr>
            </w:pPr>
            <w:r w:rsidRPr="002E39AE">
              <w:rPr>
                <w:b/>
                <w:bCs/>
                <w:sz w:val="20"/>
                <w:szCs w:val="20"/>
                <w:lang w:val="en-GB"/>
              </w:rPr>
              <w:t>Long</w:t>
            </w:r>
            <w:r w:rsidR="00607105" w:rsidRPr="002E39AE">
              <w:rPr>
                <w:b/>
                <w:bCs/>
                <w:sz w:val="20"/>
                <w:szCs w:val="20"/>
                <w:lang w:val="en-GB"/>
              </w:rPr>
              <w:t>-</w:t>
            </w:r>
            <w:r w:rsidRPr="002E39AE">
              <w:rPr>
                <w:b/>
                <w:bCs/>
                <w:sz w:val="20"/>
                <w:szCs w:val="20"/>
                <w:lang w:val="en-GB"/>
              </w:rPr>
              <w:t>term employment trends and forecasting in Cyprus</w:t>
            </w:r>
          </w:p>
        </w:tc>
        <w:tc>
          <w:tcPr>
            <w:tcW w:w="1445" w:type="dxa"/>
          </w:tcPr>
          <w:p w:rsidR="00AC17AF" w:rsidRPr="007A7801" w:rsidRDefault="00AC17AF" w:rsidP="00AC17AF">
            <w:pPr>
              <w:jc w:val="center"/>
              <w:rPr>
                <w:sz w:val="20"/>
                <w:szCs w:val="20"/>
              </w:rPr>
            </w:pPr>
            <w:r w:rsidRPr="007A7801">
              <w:rPr>
                <w:sz w:val="20"/>
                <w:szCs w:val="20"/>
                <w:lang w:val="en-GB"/>
              </w:rPr>
              <w:t>Improve Education and Training Systems</w:t>
            </w:r>
          </w:p>
        </w:tc>
        <w:tc>
          <w:tcPr>
            <w:tcW w:w="1249" w:type="dxa"/>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Pr>
          <w:p w:rsidR="00AC17AF" w:rsidRPr="007A7801" w:rsidRDefault="00AC17AF" w:rsidP="00AC17AF">
            <w:pPr>
              <w:rPr>
                <w:bCs/>
                <w:iCs/>
                <w:sz w:val="20"/>
                <w:szCs w:val="20"/>
                <w:lang w:val="en-GB"/>
              </w:rPr>
            </w:pPr>
            <w:r w:rsidRPr="007A7801">
              <w:rPr>
                <w:bCs/>
                <w:iCs/>
                <w:sz w:val="20"/>
                <w:szCs w:val="20"/>
                <w:lang w:val="en-GB"/>
              </w:rPr>
              <w:t>The HRDA provides 10-year employment forecasts on a regular basis (every 2 to 3 years). The latest set of employment forecasts for Cyprus ha</w:t>
            </w:r>
            <w:r w:rsidR="00F86D8D">
              <w:rPr>
                <w:bCs/>
                <w:iCs/>
                <w:sz w:val="20"/>
                <w:szCs w:val="20"/>
                <w:lang w:val="en-GB"/>
              </w:rPr>
              <w:t>s</w:t>
            </w:r>
            <w:r w:rsidRPr="007A7801">
              <w:rPr>
                <w:bCs/>
                <w:iCs/>
                <w:sz w:val="20"/>
                <w:szCs w:val="20"/>
                <w:lang w:val="en-GB"/>
              </w:rPr>
              <w:t xml:space="preserve"> been completed in 2010 and cover</w:t>
            </w:r>
            <w:r w:rsidR="00F86D8D">
              <w:rPr>
                <w:bCs/>
                <w:iCs/>
                <w:sz w:val="20"/>
                <w:szCs w:val="20"/>
                <w:lang w:val="en-GB"/>
              </w:rPr>
              <w:t>s</w:t>
            </w:r>
            <w:r w:rsidRPr="007A7801">
              <w:rPr>
                <w:bCs/>
                <w:iCs/>
                <w:sz w:val="20"/>
                <w:szCs w:val="20"/>
                <w:lang w:val="en-GB"/>
              </w:rPr>
              <w:t xml:space="preserve"> the period 2010-2020. </w:t>
            </w:r>
          </w:p>
        </w:tc>
        <w:tc>
          <w:tcPr>
            <w:tcW w:w="1808" w:type="dxa"/>
          </w:tcPr>
          <w:p w:rsidR="00AC17AF" w:rsidRPr="007A7801" w:rsidRDefault="00AC17AF" w:rsidP="00AC17AF">
            <w:pPr>
              <w:jc w:val="center"/>
              <w:rPr>
                <w:sz w:val="20"/>
                <w:szCs w:val="20"/>
              </w:rPr>
            </w:pPr>
            <w:r w:rsidRPr="007A7801">
              <w:rPr>
                <w:bCs/>
                <w:iCs/>
                <w:sz w:val="20"/>
                <w:szCs w:val="20"/>
                <w:lang w:val="en-GB"/>
              </w:rPr>
              <w:t>2010-2020</w:t>
            </w:r>
          </w:p>
        </w:tc>
        <w:tc>
          <w:tcPr>
            <w:tcW w:w="1276" w:type="dxa"/>
          </w:tcPr>
          <w:p w:rsidR="00AC17AF" w:rsidRPr="007A7801" w:rsidRDefault="00AC17AF" w:rsidP="00AC17AF">
            <w:pPr>
              <w:jc w:val="center"/>
              <w:rPr>
                <w:sz w:val="20"/>
                <w:szCs w:val="20"/>
              </w:rPr>
            </w:pPr>
          </w:p>
        </w:tc>
        <w:tc>
          <w:tcPr>
            <w:tcW w:w="1417" w:type="dxa"/>
          </w:tcPr>
          <w:p w:rsidR="00AC17AF" w:rsidRPr="007A7801" w:rsidRDefault="00AC17AF" w:rsidP="00AC17AF">
            <w:pPr>
              <w:jc w:val="center"/>
              <w:rPr>
                <w:sz w:val="20"/>
                <w:szCs w:val="20"/>
              </w:rPr>
            </w:pPr>
          </w:p>
        </w:tc>
        <w:tc>
          <w:tcPr>
            <w:tcW w:w="1456" w:type="dxa"/>
          </w:tcPr>
          <w:p w:rsidR="00AC17AF" w:rsidRPr="007A7801" w:rsidRDefault="00AC17AF" w:rsidP="00AC17AF">
            <w:pPr>
              <w:jc w:val="center"/>
              <w:rPr>
                <w:sz w:val="20"/>
                <w:szCs w:val="20"/>
              </w:rPr>
            </w:pPr>
            <w:r w:rsidRPr="007A7801">
              <w:rPr>
                <w:bCs/>
                <w:iCs/>
                <w:sz w:val="20"/>
                <w:szCs w:val="20"/>
                <w:lang w:val="en-GB"/>
              </w:rPr>
              <w:t>Forecasts for 46 sectors of economic activity and for around 200 occupations</w:t>
            </w:r>
          </w:p>
        </w:tc>
      </w:tr>
      <w:tr w:rsidR="00AC17AF" w:rsidRPr="007A7801" w:rsidTr="0064223B">
        <w:trPr>
          <w:cantSplit/>
          <w:jc w:val="center"/>
        </w:trPr>
        <w:tc>
          <w:tcPr>
            <w:tcW w:w="1945" w:type="dxa"/>
            <w:tcBorders>
              <w:bottom w:val="single" w:sz="4" w:space="0" w:color="auto"/>
            </w:tcBorders>
          </w:tcPr>
          <w:p w:rsidR="00AC17AF" w:rsidRPr="007A7801" w:rsidRDefault="00AC17AF" w:rsidP="00AC17AF">
            <w:pPr>
              <w:rPr>
                <w:b/>
                <w:bCs/>
                <w:sz w:val="20"/>
                <w:szCs w:val="20"/>
                <w:lang w:val="en-GB"/>
              </w:rPr>
            </w:pPr>
            <w:r w:rsidRPr="007A7801">
              <w:rPr>
                <w:b/>
                <w:bCs/>
                <w:sz w:val="20"/>
                <w:szCs w:val="20"/>
                <w:lang w:val="en-GB"/>
              </w:rPr>
              <w:t>Annual study for the identification of skill needs with the involvement of the social partners</w:t>
            </w:r>
          </w:p>
        </w:tc>
        <w:tc>
          <w:tcPr>
            <w:tcW w:w="1445" w:type="dxa"/>
            <w:tcBorders>
              <w:bottom w:val="single" w:sz="4" w:space="0" w:color="auto"/>
            </w:tcBorders>
          </w:tcPr>
          <w:p w:rsidR="00AC17AF" w:rsidRPr="007A7801" w:rsidRDefault="00AC17AF" w:rsidP="00AC17AF">
            <w:pPr>
              <w:jc w:val="center"/>
              <w:rPr>
                <w:sz w:val="20"/>
                <w:szCs w:val="20"/>
              </w:rPr>
            </w:pPr>
            <w:r w:rsidRPr="007A7801">
              <w:rPr>
                <w:sz w:val="20"/>
                <w:szCs w:val="20"/>
                <w:lang w:val="en-GB"/>
              </w:rPr>
              <w:t>Improve Education and Training Systems</w:t>
            </w:r>
          </w:p>
        </w:tc>
        <w:tc>
          <w:tcPr>
            <w:tcW w:w="1249" w:type="dxa"/>
            <w:tcBorders>
              <w:bottom w:val="single" w:sz="4" w:space="0" w:color="auto"/>
            </w:tcBorders>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Borders>
              <w:bottom w:val="single" w:sz="4" w:space="0" w:color="auto"/>
            </w:tcBorders>
          </w:tcPr>
          <w:p w:rsidR="00AC17AF" w:rsidRPr="00F27ECD" w:rsidRDefault="00602DA7" w:rsidP="00AC17AF">
            <w:pPr>
              <w:pStyle w:val="Footer"/>
              <w:rPr>
                <w:bCs/>
                <w:iCs/>
                <w:sz w:val="20"/>
                <w:szCs w:val="20"/>
              </w:rPr>
            </w:pPr>
            <w:r w:rsidRPr="00602DA7">
              <w:rPr>
                <w:bCs/>
                <w:iCs/>
                <w:sz w:val="20"/>
                <w:szCs w:val="20"/>
              </w:rPr>
              <w:t xml:space="preserve">This annual study provides information of the imbalances (surplus or deficit) expected to appear during the next year for specific occupations. On the basis of these estimates suggestions are put forward for the implementation of Multicompany Initial Training Programmes. In the study, the views of Employers´ organisations, Trade Unions, District Labour Offices of the Ministry of Labour and Social Insurance and the Cyprus Tourism Organisation are collected through a specially designed questionnaire and analysed.  </w:t>
            </w:r>
          </w:p>
          <w:p w:rsidR="00AC17AF" w:rsidRPr="007A7801" w:rsidRDefault="00AC17AF" w:rsidP="00AC17AF">
            <w:pPr>
              <w:rPr>
                <w:bCs/>
                <w:iCs/>
                <w:sz w:val="20"/>
                <w:szCs w:val="20"/>
                <w:lang w:val="en-GB"/>
              </w:rPr>
            </w:pPr>
          </w:p>
        </w:tc>
        <w:tc>
          <w:tcPr>
            <w:tcW w:w="1808" w:type="dxa"/>
            <w:tcBorders>
              <w:bottom w:val="single" w:sz="4" w:space="0" w:color="auto"/>
            </w:tcBorders>
          </w:tcPr>
          <w:p w:rsidR="00AC17AF" w:rsidRPr="007A7801" w:rsidRDefault="00AC17AF" w:rsidP="00AC17AF">
            <w:pPr>
              <w:jc w:val="center"/>
              <w:rPr>
                <w:bCs/>
                <w:iCs/>
                <w:sz w:val="20"/>
                <w:szCs w:val="20"/>
                <w:lang w:val="en-GB"/>
              </w:rPr>
            </w:pPr>
          </w:p>
        </w:tc>
        <w:tc>
          <w:tcPr>
            <w:tcW w:w="1276" w:type="dxa"/>
            <w:tcBorders>
              <w:bottom w:val="single" w:sz="4" w:space="0" w:color="auto"/>
            </w:tcBorders>
          </w:tcPr>
          <w:p w:rsidR="00AC17AF" w:rsidRPr="007A7801" w:rsidRDefault="00AC17AF" w:rsidP="00AC17AF">
            <w:pPr>
              <w:jc w:val="center"/>
              <w:rPr>
                <w:sz w:val="20"/>
                <w:szCs w:val="20"/>
              </w:rPr>
            </w:pPr>
          </w:p>
        </w:tc>
        <w:tc>
          <w:tcPr>
            <w:tcW w:w="1417" w:type="dxa"/>
            <w:tcBorders>
              <w:bottom w:val="single" w:sz="4" w:space="0" w:color="auto"/>
            </w:tcBorders>
          </w:tcPr>
          <w:p w:rsidR="00AC17AF" w:rsidRPr="007A7801" w:rsidRDefault="00AC17AF" w:rsidP="00AC17AF">
            <w:pPr>
              <w:jc w:val="center"/>
              <w:rPr>
                <w:sz w:val="20"/>
                <w:szCs w:val="20"/>
              </w:rPr>
            </w:pPr>
          </w:p>
        </w:tc>
        <w:tc>
          <w:tcPr>
            <w:tcW w:w="1456" w:type="dxa"/>
            <w:tcBorders>
              <w:bottom w:val="single" w:sz="4" w:space="0" w:color="auto"/>
            </w:tcBorders>
          </w:tcPr>
          <w:p w:rsidR="00AC17AF" w:rsidRPr="007A7801" w:rsidRDefault="00AC17AF" w:rsidP="00AC17AF">
            <w:pPr>
              <w:jc w:val="center"/>
              <w:rPr>
                <w:bCs/>
                <w:iCs/>
                <w:sz w:val="20"/>
                <w:szCs w:val="20"/>
                <w:lang w:val="en-GB"/>
              </w:rPr>
            </w:pPr>
          </w:p>
        </w:tc>
      </w:tr>
    </w:tbl>
    <w:p w:rsidR="00326D6D" w:rsidRDefault="00326D6D" w:rsidP="00AC17AF">
      <w:pPr>
        <w:rPr>
          <w:b/>
          <w:sz w:val="20"/>
          <w:szCs w:val="20"/>
        </w:rPr>
        <w:sectPr w:rsidR="00326D6D" w:rsidSect="00326D6D">
          <w:type w:val="continuous"/>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162"/>
        <w:gridCol w:w="1711"/>
      </w:tblGrid>
      <w:tr w:rsidR="00AC17AF" w:rsidRPr="007A7801" w:rsidTr="006C2BEE">
        <w:trPr>
          <w:cantSplit/>
          <w:jc w:val="center"/>
        </w:trPr>
        <w:tc>
          <w:tcPr>
            <w:tcW w:w="1945" w:type="dxa"/>
          </w:tcPr>
          <w:p w:rsidR="00AC17AF" w:rsidRPr="007A7801" w:rsidRDefault="00AC17AF" w:rsidP="00AC17AF">
            <w:pPr>
              <w:rPr>
                <w:b/>
                <w:sz w:val="20"/>
                <w:szCs w:val="20"/>
              </w:rPr>
            </w:pPr>
            <w:r w:rsidRPr="007A7801">
              <w:rPr>
                <w:b/>
                <w:sz w:val="20"/>
                <w:szCs w:val="20"/>
              </w:rPr>
              <w:lastRenderedPageBreak/>
              <w:t>Development of a Vocational Qualifications System</w:t>
            </w:r>
            <w:r w:rsidR="00F27ECD">
              <w:rPr>
                <w:b/>
                <w:sz w:val="20"/>
                <w:szCs w:val="20"/>
              </w:rPr>
              <w:t xml:space="preserve"> (NQF)</w:t>
            </w:r>
          </w:p>
        </w:tc>
        <w:tc>
          <w:tcPr>
            <w:tcW w:w="1445" w:type="dxa"/>
          </w:tcPr>
          <w:p w:rsidR="00AC17AF" w:rsidRPr="007A7801" w:rsidRDefault="00AC17AF" w:rsidP="00AC17AF">
            <w:pPr>
              <w:jc w:val="center"/>
              <w:rPr>
                <w:sz w:val="20"/>
                <w:szCs w:val="20"/>
              </w:rPr>
            </w:pPr>
            <w:r w:rsidRPr="007A7801">
              <w:rPr>
                <w:sz w:val="20"/>
                <w:szCs w:val="20"/>
              </w:rPr>
              <w:t>Improve education and training systems</w:t>
            </w:r>
          </w:p>
        </w:tc>
        <w:tc>
          <w:tcPr>
            <w:tcW w:w="1249" w:type="dxa"/>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Pr>
          <w:p w:rsidR="00AC17AF" w:rsidRPr="007A7801" w:rsidRDefault="00AC17AF" w:rsidP="007A7801">
            <w:pPr>
              <w:rPr>
                <w:noProof/>
                <w:sz w:val="20"/>
                <w:szCs w:val="20"/>
                <w:lang w:val="pl-PL"/>
              </w:rPr>
            </w:pPr>
            <w:r w:rsidRPr="007A7801">
              <w:rPr>
                <w:noProof/>
                <w:sz w:val="20"/>
                <w:szCs w:val="20"/>
                <w:lang w:val="pl-PL"/>
              </w:rPr>
              <w:t xml:space="preserve">The development of a Competence-Based System of Vocational Qualifications, which will constitute an integral part of a future NQF is a high priority objective for Cyprus. The </w:t>
            </w:r>
            <w:r w:rsidR="00772BED">
              <w:rPr>
                <w:noProof/>
                <w:sz w:val="20"/>
                <w:szCs w:val="20"/>
                <w:lang w:val="pl-PL"/>
              </w:rPr>
              <w:t>s</w:t>
            </w:r>
            <w:r w:rsidRPr="007A7801">
              <w:rPr>
                <w:noProof/>
                <w:sz w:val="20"/>
                <w:szCs w:val="20"/>
                <w:lang w:val="pl-PL"/>
              </w:rPr>
              <w:t>ystem has been established and will be  implemented in two phases. During the 1st phase in the period 2006-2009, 5 Standards of Vocational Qualifications at level 2 have been developed in the 3 economic sectors of Hotel and Restaurants, Construction and Retail trade for the occupations of waiter, cook, receptionist, construction mason and sales person. Opportunities for access are provided to employees only. During the 2nd phase, which covers the period 2007 – 2013 and is co-financed by the ESF, the development of 72 new standards in priority occupations at various levels is envisaged and opportunities for access are expected to be provided to employees, unemployed and economically inactive persons.</w:t>
            </w:r>
          </w:p>
          <w:p w:rsidR="00AC17AF" w:rsidRPr="007A7801" w:rsidRDefault="00AC17AF" w:rsidP="00AC17AF">
            <w:pPr>
              <w:rPr>
                <w:sz w:val="20"/>
                <w:szCs w:val="20"/>
                <w:lang w:val="pl-PL"/>
              </w:rPr>
            </w:pPr>
          </w:p>
        </w:tc>
        <w:tc>
          <w:tcPr>
            <w:tcW w:w="1808" w:type="dxa"/>
          </w:tcPr>
          <w:p w:rsidR="00AC17AF" w:rsidRPr="007A7801" w:rsidRDefault="00AC17AF" w:rsidP="00AC17AF">
            <w:pPr>
              <w:jc w:val="center"/>
              <w:rPr>
                <w:sz w:val="20"/>
                <w:szCs w:val="20"/>
              </w:rPr>
            </w:pPr>
            <w:r w:rsidRPr="007A7801">
              <w:rPr>
                <w:sz w:val="20"/>
                <w:szCs w:val="20"/>
              </w:rPr>
              <w:t>2</w:t>
            </w:r>
            <w:r w:rsidRPr="007A7801">
              <w:rPr>
                <w:sz w:val="20"/>
                <w:szCs w:val="20"/>
                <w:vertAlign w:val="superscript"/>
              </w:rPr>
              <w:t>nd</w:t>
            </w:r>
            <w:r w:rsidRPr="007A7801">
              <w:rPr>
                <w:sz w:val="20"/>
                <w:szCs w:val="20"/>
              </w:rPr>
              <w:t xml:space="preserve"> phase 2007 - 2013</w:t>
            </w:r>
          </w:p>
        </w:tc>
        <w:tc>
          <w:tcPr>
            <w:tcW w:w="1276" w:type="dxa"/>
          </w:tcPr>
          <w:p w:rsidR="00AC17AF" w:rsidRPr="007A7801" w:rsidRDefault="00AC17AF" w:rsidP="00AC17AF">
            <w:pPr>
              <w:jc w:val="center"/>
              <w:rPr>
                <w:sz w:val="20"/>
                <w:szCs w:val="20"/>
                <w:lang w:val="en-GB"/>
              </w:rPr>
            </w:pPr>
            <w:r w:rsidRPr="007A7801">
              <w:rPr>
                <w:sz w:val="20"/>
                <w:szCs w:val="20"/>
                <w:lang w:val="en-GB"/>
              </w:rPr>
              <w:t>€1.330.000 for 2011</w:t>
            </w:r>
          </w:p>
          <w:p w:rsidR="00AC17AF" w:rsidRPr="007A7801" w:rsidRDefault="00AC17AF" w:rsidP="00AC17AF">
            <w:pPr>
              <w:jc w:val="center"/>
              <w:rPr>
                <w:sz w:val="20"/>
                <w:szCs w:val="20"/>
                <w:lang w:val="en-GB"/>
              </w:rPr>
            </w:pPr>
          </w:p>
        </w:tc>
        <w:tc>
          <w:tcPr>
            <w:tcW w:w="1162" w:type="dxa"/>
          </w:tcPr>
          <w:p w:rsidR="00AC17AF" w:rsidRPr="007A7801" w:rsidRDefault="00AC17AF" w:rsidP="00AC17AF">
            <w:pPr>
              <w:jc w:val="center"/>
              <w:rPr>
                <w:sz w:val="20"/>
                <w:szCs w:val="20"/>
              </w:rPr>
            </w:pPr>
          </w:p>
        </w:tc>
        <w:tc>
          <w:tcPr>
            <w:tcW w:w="1711" w:type="dxa"/>
          </w:tcPr>
          <w:p w:rsidR="00AC17AF" w:rsidRPr="007A7801" w:rsidRDefault="00AC17AF" w:rsidP="00AC17AF">
            <w:pPr>
              <w:jc w:val="center"/>
              <w:rPr>
                <w:sz w:val="20"/>
                <w:szCs w:val="20"/>
              </w:rPr>
            </w:pPr>
            <w:r w:rsidRPr="007A7801">
              <w:rPr>
                <w:sz w:val="20"/>
                <w:szCs w:val="20"/>
                <w:lang w:val="en-GB"/>
              </w:rPr>
              <w:t>6.000 persons will benefit from the system in 2011.</w:t>
            </w:r>
          </w:p>
        </w:tc>
      </w:tr>
      <w:tr w:rsidR="00AC17AF" w:rsidRPr="007A7801" w:rsidTr="006C2BEE">
        <w:trPr>
          <w:cantSplit/>
          <w:jc w:val="center"/>
        </w:trPr>
        <w:tc>
          <w:tcPr>
            <w:tcW w:w="1945" w:type="dxa"/>
          </w:tcPr>
          <w:p w:rsidR="00AC17AF" w:rsidRPr="007A7801" w:rsidRDefault="00AC17AF" w:rsidP="00AC17AF">
            <w:pPr>
              <w:pStyle w:val="ListParagraph"/>
              <w:ind w:left="0"/>
              <w:rPr>
                <w:b/>
                <w:sz w:val="20"/>
                <w:szCs w:val="20"/>
                <w:lang w:val="pl-PL"/>
              </w:rPr>
            </w:pPr>
            <w:r w:rsidRPr="007A7801">
              <w:rPr>
                <w:b/>
                <w:sz w:val="20"/>
                <w:szCs w:val="20"/>
                <w:lang w:val="pl-PL"/>
              </w:rPr>
              <w:t>Further support for the enhancement of training infrastructure of institutions and enterprises</w:t>
            </w:r>
          </w:p>
          <w:p w:rsidR="00AC17AF" w:rsidRPr="007A7801" w:rsidRDefault="00AC17AF" w:rsidP="00AC17AF">
            <w:pPr>
              <w:rPr>
                <w:b/>
                <w:sz w:val="20"/>
                <w:szCs w:val="20"/>
                <w:lang w:val="pl-PL"/>
              </w:rPr>
            </w:pPr>
          </w:p>
        </w:tc>
        <w:tc>
          <w:tcPr>
            <w:tcW w:w="1445" w:type="dxa"/>
          </w:tcPr>
          <w:p w:rsidR="00AC17AF" w:rsidRPr="007A7801" w:rsidRDefault="00AC17AF" w:rsidP="00AC17AF">
            <w:pPr>
              <w:jc w:val="center"/>
              <w:rPr>
                <w:sz w:val="20"/>
                <w:szCs w:val="20"/>
              </w:rPr>
            </w:pPr>
            <w:r w:rsidRPr="007A7801">
              <w:rPr>
                <w:sz w:val="20"/>
                <w:szCs w:val="20"/>
                <w:lang w:val="en-GB"/>
              </w:rPr>
              <w:t>Improve Education and Training Systems</w:t>
            </w:r>
          </w:p>
        </w:tc>
        <w:tc>
          <w:tcPr>
            <w:tcW w:w="1249" w:type="dxa"/>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Pr>
          <w:p w:rsidR="00AC17AF" w:rsidRPr="007A7801" w:rsidRDefault="00AC17AF" w:rsidP="00AC17AF">
            <w:pPr>
              <w:rPr>
                <w:sz w:val="20"/>
                <w:szCs w:val="20"/>
                <w:lang w:val="en-GB"/>
              </w:rPr>
            </w:pPr>
            <w:r w:rsidRPr="007A7801">
              <w:rPr>
                <w:bCs/>
                <w:iCs/>
                <w:sz w:val="20"/>
                <w:szCs w:val="20"/>
                <w:lang w:val="en-GB"/>
              </w:rPr>
              <w:t>A new scheme entitled “Scheme for the support of Infrastructure and Systems for the Development of Human Resources” will replace the existing scheme. The new scheme aims to provide incentives for the development of centres providing services to enterprises and organisations, for the development of cooperation amongst enterprises, for the establishment of certified assessment centres, the development of training infrastructures and systems and the development of appropriate infrastructure and common technologies.</w:t>
            </w:r>
          </w:p>
        </w:tc>
        <w:tc>
          <w:tcPr>
            <w:tcW w:w="1808" w:type="dxa"/>
          </w:tcPr>
          <w:p w:rsidR="00AC17AF" w:rsidRPr="007A7801" w:rsidRDefault="00AC17AF" w:rsidP="00AC17AF">
            <w:pPr>
              <w:jc w:val="center"/>
              <w:rPr>
                <w:sz w:val="20"/>
                <w:szCs w:val="20"/>
              </w:rPr>
            </w:pPr>
          </w:p>
        </w:tc>
        <w:tc>
          <w:tcPr>
            <w:tcW w:w="1276" w:type="dxa"/>
          </w:tcPr>
          <w:p w:rsidR="00AC17AF" w:rsidRPr="007A7801" w:rsidRDefault="00AC17AF" w:rsidP="00AC17AF">
            <w:pPr>
              <w:jc w:val="center"/>
              <w:rPr>
                <w:sz w:val="20"/>
                <w:szCs w:val="20"/>
              </w:rPr>
            </w:pPr>
            <w:r w:rsidRPr="007A7801">
              <w:rPr>
                <w:sz w:val="20"/>
                <w:szCs w:val="20"/>
                <w:lang w:val="en-GB"/>
              </w:rPr>
              <w:t>€400.000 for 2011</w:t>
            </w:r>
          </w:p>
        </w:tc>
        <w:tc>
          <w:tcPr>
            <w:tcW w:w="1162" w:type="dxa"/>
          </w:tcPr>
          <w:p w:rsidR="00AC17AF" w:rsidRPr="007A7801" w:rsidRDefault="00AC17AF" w:rsidP="00AC17AF">
            <w:pPr>
              <w:jc w:val="center"/>
              <w:rPr>
                <w:sz w:val="20"/>
                <w:szCs w:val="20"/>
              </w:rPr>
            </w:pPr>
          </w:p>
        </w:tc>
        <w:tc>
          <w:tcPr>
            <w:tcW w:w="1711" w:type="dxa"/>
          </w:tcPr>
          <w:p w:rsidR="00AC17AF" w:rsidRPr="007A7801" w:rsidRDefault="00AC17AF" w:rsidP="00AC17AF">
            <w:pPr>
              <w:jc w:val="center"/>
              <w:rPr>
                <w:sz w:val="20"/>
                <w:szCs w:val="20"/>
              </w:rPr>
            </w:pPr>
            <w:r w:rsidRPr="007A7801">
              <w:rPr>
                <w:sz w:val="20"/>
                <w:szCs w:val="20"/>
                <w:lang w:val="en-GB"/>
              </w:rPr>
              <w:t>31 training institutions / enterprises will benefit from the scheme in 2011</w:t>
            </w:r>
          </w:p>
        </w:tc>
      </w:tr>
      <w:tr w:rsidR="00AC17AF" w:rsidRPr="007A7801" w:rsidTr="006C2BEE">
        <w:trPr>
          <w:cantSplit/>
          <w:jc w:val="center"/>
        </w:trPr>
        <w:tc>
          <w:tcPr>
            <w:tcW w:w="1945" w:type="dxa"/>
          </w:tcPr>
          <w:p w:rsidR="00AC17AF" w:rsidRPr="007A7801" w:rsidRDefault="00AC17AF" w:rsidP="00AC17AF">
            <w:pPr>
              <w:pStyle w:val="ListParagraph"/>
              <w:ind w:left="0"/>
              <w:rPr>
                <w:b/>
                <w:sz w:val="20"/>
                <w:szCs w:val="20"/>
                <w:lang w:val="pl-PL"/>
              </w:rPr>
            </w:pPr>
            <w:r w:rsidRPr="007A7801">
              <w:rPr>
                <w:b/>
                <w:sz w:val="20"/>
                <w:szCs w:val="20"/>
                <w:lang w:val="pl-PL"/>
              </w:rPr>
              <w:t>Assessment and certification of training providers</w:t>
            </w:r>
          </w:p>
          <w:p w:rsidR="00AC17AF" w:rsidRPr="007A7801" w:rsidRDefault="00AC17AF" w:rsidP="00AC17AF">
            <w:pPr>
              <w:pStyle w:val="ListParagraph"/>
              <w:ind w:left="0"/>
              <w:rPr>
                <w:b/>
                <w:sz w:val="20"/>
                <w:szCs w:val="20"/>
                <w:lang w:val="pl-PL"/>
              </w:rPr>
            </w:pPr>
          </w:p>
        </w:tc>
        <w:tc>
          <w:tcPr>
            <w:tcW w:w="1445" w:type="dxa"/>
          </w:tcPr>
          <w:p w:rsidR="00AC17AF" w:rsidRPr="007A7801" w:rsidRDefault="00AC17AF" w:rsidP="00AC17AF">
            <w:pPr>
              <w:jc w:val="center"/>
              <w:rPr>
                <w:sz w:val="20"/>
                <w:szCs w:val="20"/>
              </w:rPr>
            </w:pPr>
            <w:r w:rsidRPr="007A7801">
              <w:rPr>
                <w:sz w:val="20"/>
                <w:szCs w:val="20"/>
                <w:lang w:val="en-GB"/>
              </w:rPr>
              <w:t>Improve Education and Training Systems</w:t>
            </w:r>
          </w:p>
        </w:tc>
        <w:tc>
          <w:tcPr>
            <w:tcW w:w="1249" w:type="dxa"/>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Pr>
          <w:p w:rsidR="00AC17AF" w:rsidRPr="007A7801" w:rsidRDefault="00AC17AF" w:rsidP="00AC17AF">
            <w:pPr>
              <w:pStyle w:val="ListParagraph"/>
              <w:ind w:left="0"/>
              <w:rPr>
                <w:bCs/>
                <w:iCs/>
                <w:sz w:val="20"/>
                <w:szCs w:val="20"/>
                <w:lang w:val="en-GB"/>
              </w:rPr>
            </w:pPr>
            <w:r w:rsidRPr="007A7801">
              <w:rPr>
                <w:sz w:val="20"/>
                <w:szCs w:val="20"/>
                <w:lang w:val="en-GB"/>
              </w:rPr>
              <w:t>Introduction of a system for the assessment and certification of training providers including trainers, which is one of the strategic objectives of the HRDA. The project is expected to be completed in 5 stages over a period of thirty-six months.</w:t>
            </w:r>
          </w:p>
        </w:tc>
        <w:tc>
          <w:tcPr>
            <w:tcW w:w="1808" w:type="dxa"/>
          </w:tcPr>
          <w:p w:rsidR="00AC17AF" w:rsidRPr="007A7801" w:rsidRDefault="00AC17AF" w:rsidP="00AC17AF">
            <w:pPr>
              <w:jc w:val="center"/>
              <w:rPr>
                <w:sz w:val="20"/>
                <w:szCs w:val="20"/>
              </w:rPr>
            </w:pPr>
          </w:p>
        </w:tc>
        <w:tc>
          <w:tcPr>
            <w:tcW w:w="1276" w:type="dxa"/>
          </w:tcPr>
          <w:p w:rsidR="00AC17AF" w:rsidRPr="007A7801" w:rsidRDefault="00AC17AF" w:rsidP="00AC17AF">
            <w:pPr>
              <w:pStyle w:val="BodyText"/>
              <w:spacing w:after="0"/>
              <w:jc w:val="center"/>
              <w:rPr>
                <w:sz w:val="20"/>
                <w:szCs w:val="20"/>
                <w:lang w:val="en-GB"/>
              </w:rPr>
            </w:pPr>
            <w:r w:rsidRPr="007A7801">
              <w:rPr>
                <w:sz w:val="20"/>
                <w:szCs w:val="20"/>
                <w:lang w:val="en-GB"/>
              </w:rPr>
              <w:t>€212.000 for 2011</w:t>
            </w:r>
          </w:p>
          <w:p w:rsidR="00AC17AF" w:rsidRPr="007A7801" w:rsidRDefault="00AC17AF" w:rsidP="00AC17AF">
            <w:pPr>
              <w:jc w:val="center"/>
              <w:rPr>
                <w:sz w:val="20"/>
                <w:szCs w:val="20"/>
                <w:lang w:val="en-GB"/>
              </w:rPr>
            </w:pPr>
          </w:p>
        </w:tc>
        <w:tc>
          <w:tcPr>
            <w:tcW w:w="1162" w:type="dxa"/>
          </w:tcPr>
          <w:p w:rsidR="00AC17AF" w:rsidRPr="007A7801" w:rsidRDefault="00AC17AF" w:rsidP="00AC17AF">
            <w:pPr>
              <w:pStyle w:val="BodyText"/>
              <w:spacing w:after="0"/>
              <w:jc w:val="center"/>
              <w:rPr>
                <w:sz w:val="20"/>
                <w:szCs w:val="20"/>
                <w:lang w:val="en-GB"/>
              </w:rPr>
            </w:pPr>
          </w:p>
        </w:tc>
        <w:tc>
          <w:tcPr>
            <w:tcW w:w="1711" w:type="dxa"/>
          </w:tcPr>
          <w:p w:rsidR="00AC17AF" w:rsidRPr="007A7801" w:rsidRDefault="00AC17AF" w:rsidP="00AC17AF">
            <w:pPr>
              <w:jc w:val="center"/>
              <w:rPr>
                <w:sz w:val="20"/>
                <w:szCs w:val="20"/>
                <w:lang w:val="en-GB"/>
              </w:rPr>
            </w:pPr>
          </w:p>
        </w:tc>
      </w:tr>
    </w:tbl>
    <w:p w:rsidR="00326D6D" w:rsidRDefault="00326D6D" w:rsidP="00AC17AF">
      <w:pPr>
        <w:pStyle w:val="ListParagraph"/>
        <w:ind w:left="0"/>
        <w:rPr>
          <w:b/>
          <w:sz w:val="20"/>
          <w:szCs w:val="20"/>
          <w:lang w:val="pl-PL"/>
        </w:rPr>
        <w:sectPr w:rsidR="00326D6D" w:rsidSect="00326D6D">
          <w:type w:val="continuous"/>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162"/>
        <w:gridCol w:w="1711"/>
      </w:tblGrid>
      <w:tr w:rsidR="00AC17AF" w:rsidRPr="007A7801" w:rsidTr="006C2BEE">
        <w:trPr>
          <w:cantSplit/>
          <w:trHeight w:val="1766"/>
          <w:jc w:val="center"/>
        </w:trPr>
        <w:tc>
          <w:tcPr>
            <w:tcW w:w="1945" w:type="dxa"/>
            <w:tcBorders>
              <w:bottom w:val="single" w:sz="4" w:space="0" w:color="auto"/>
            </w:tcBorders>
          </w:tcPr>
          <w:p w:rsidR="00AC17AF" w:rsidRPr="007A7801" w:rsidRDefault="00AC17AF" w:rsidP="00AC17AF">
            <w:pPr>
              <w:pStyle w:val="ListParagraph"/>
              <w:ind w:left="0"/>
              <w:rPr>
                <w:b/>
                <w:sz w:val="20"/>
                <w:szCs w:val="20"/>
                <w:lang w:val="pl-PL"/>
              </w:rPr>
            </w:pPr>
            <w:r w:rsidRPr="007A7801">
              <w:rPr>
                <w:b/>
                <w:sz w:val="20"/>
                <w:szCs w:val="20"/>
                <w:lang w:val="pl-PL"/>
              </w:rPr>
              <w:lastRenderedPageBreak/>
              <w:t>Scheme for the promotion of innovation in training and development of the human resources</w:t>
            </w:r>
          </w:p>
          <w:p w:rsidR="00AC17AF" w:rsidRPr="007A7801" w:rsidRDefault="00AC17AF" w:rsidP="00AC17AF">
            <w:pPr>
              <w:pStyle w:val="ListParagraph"/>
              <w:ind w:left="0"/>
              <w:rPr>
                <w:b/>
                <w:sz w:val="20"/>
                <w:szCs w:val="20"/>
                <w:lang w:val="pl-PL"/>
              </w:rPr>
            </w:pPr>
          </w:p>
        </w:tc>
        <w:tc>
          <w:tcPr>
            <w:tcW w:w="1445" w:type="dxa"/>
            <w:tcBorders>
              <w:bottom w:val="single" w:sz="4" w:space="0" w:color="auto"/>
            </w:tcBorders>
          </w:tcPr>
          <w:p w:rsidR="00AC17AF" w:rsidRPr="007A7801" w:rsidRDefault="00AC17AF" w:rsidP="00AC17AF">
            <w:pPr>
              <w:jc w:val="center"/>
              <w:rPr>
                <w:sz w:val="20"/>
                <w:szCs w:val="20"/>
              </w:rPr>
            </w:pPr>
            <w:r w:rsidRPr="007A7801">
              <w:rPr>
                <w:sz w:val="20"/>
                <w:szCs w:val="20"/>
                <w:lang w:val="en-GB"/>
              </w:rPr>
              <w:t>Improve Education and Training Systems</w:t>
            </w:r>
          </w:p>
        </w:tc>
        <w:tc>
          <w:tcPr>
            <w:tcW w:w="1249" w:type="dxa"/>
            <w:tcBorders>
              <w:bottom w:val="single" w:sz="4" w:space="0" w:color="auto"/>
            </w:tcBorders>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Borders>
              <w:bottom w:val="single" w:sz="4" w:space="0" w:color="auto"/>
            </w:tcBorders>
          </w:tcPr>
          <w:p w:rsidR="00AC17AF" w:rsidRPr="007A7801" w:rsidRDefault="00AC17AF" w:rsidP="00AC17AF">
            <w:pPr>
              <w:pStyle w:val="ListParagraph"/>
              <w:ind w:left="0"/>
              <w:rPr>
                <w:sz w:val="20"/>
                <w:szCs w:val="20"/>
                <w:lang w:val="en-GB"/>
              </w:rPr>
            </w:pPr>
            <w:r w:rsidRPr="007A7801">
              <w:rPr>
                <w:sz w:val="20"/>
                <w:szCs w:val="20"/>
                <w:lang w:val="pl-PL"/>
              </w:rPr>
              <w:t>The HRDA promotes a new scheme which aims to encourage enterprises and organisations to prepare and implement proposals that will include research and development of innovative ideas for the training and development of the human resources.</w:t>
            </w:r>
          </w:p>
        </w:tc>
        <w:tc>
          <w:tcPr>
            <w:tcW w:w="1808" w:type="dxa"/>
            <w:tcBorders>
              <w:bottom w:val="single" w:sz="4" w:space="0" w:color="auto"/>
            </w:tcBorders>
          </w:tcPr>
          <w:p w:rsidR="00AC17AF" w:rsidRPr="007A7801" w:rsidRDefault="00AC17AF" w:rsidP="00AC17AF">
            <w:pPr>
              <w:jc w:val="center"/>
              <w:rPr>
                <w:sz w:val="20"/>
                <w:szCs w:val="20"/>
              </w:rPr>
            </w:pPr>
          </w:p>
        </w:tc>
        <w:tc>
          <w:tcPr>
            <w:tcW w:w="1276" w:type="dxa"/>
            <w:tcBorders>
              <w:bottom w:val="single" w:sz="4" w:space="0" w:color="auto"/>
            </w:tcBorders>
          </w:tcPr>
          <w:p w:rsidR="00AC17AF" w:rsidRPr="007A7801" w:rsidRDefault="00AC17AF" w:rsidP="00AC17AF">
            <w:pPr>
              <w:pStyle w:val="ListParagraph"/>
              <w:ind w:left="0"/>
              <w:jc w:val="center"/>
              <w:rPr>
                <w:sz w:val="20"/>
                <w:szCs w:val="20"/>
                <w:lang w:val="en-GB"/>
              </w:rPr>
            </w:pPr>
            <w:r w:rsidRPr="007A7801">
              <w:rPr>
                <w:sz w:val="20"/>
                <w:szCs w:val="20"/>
                <w:lang w:val="en-GB"/>
              </w:rPr>
              <w:t>€500.000 for 2011</w:t>
            </w:r>
          </w:p>
          <w:p w:rsidR="00AC17AF" w:rsidRPr="007A7801" w:rsidRDefault="00AC17AF" w:rsidP="00AC17AF">
            <w:pPr>
              <w:pStyle w:val="ListParagraph"/>
              <w:ind w:left="0"/>
              <w:jc w:val="center"/>
              <w:rPr>
                <w:sz w:val="20"/>
                <w:szCs w:val="20"/>
                <w:lang w:val="en-GB"/>
              </w:rPr>
            </w:pPr>
          </w:p>
        </w:tc>
        <w:tc>
          <w:tcPr>
            <w:tcW w:w="1162" w:type="dxa"/>
            <w:tcBorders>
              <w:bottom w:val="single" w:sz="4" w:space="0" w:color="auto"/>
            </w:tcBorders>
          </w:tcPr>
          <w:p w:rsidR="00AC17AF" w:rsidRPr="007A7801" w:rsidRDefault="00AC17AF" w:rsidP="00AC17AF">
            <w:pPr>
              <w:pStyle w:val="BodyText"/>
              <w:spacing w:after="0"/>
              <w:jc w:val="center"/>
              <w:rPr>
                <w:sz w:val="20"/>
                <w:szCs w:val="20"/>
                <w:lang w:val="en-GB"/>
              </w:rPr>
            </w:pPr>
          </w:p>
        </w:tc>
        <w:tc>
          <w:tcPr>
            <w:tcW w:w="1711" w:type="dxa"/>
            <w:tcBorders>
              <w:bottom w:val="single" w:sz="4" w:space="0" w:color="auto"/>
            </w:tcBorders>
          </w:tcPr>
          <w:p w:rsidR="00AC17AF" w:rsidRPr="007A7801" w:rsidRDefault="00AC17AF" w:rsidP="00AC17AF">
            <w:pPr>
              <w:jc w:val="center"/>
              <w:rPr>
                <w:sz w:val="20"/>
                <w:szCs w:val="20"/>
                <w:lang w:val="en-GB"/>
              </w:rPr>
            </w:pPr>
          </w:p>
        </w:tc>
      </w:tr>
      <w:tr w:rsidR="00AC17AF" w:rsidRPr="007A7801" w:rsidTr="006C2BEE">
        <w:trPr>
          <w:cantSplit/>
          <w:jc w:val="center"/>
        </w:trPr>
        <w:tc>
          <w:tcPr>
            <w:tcW w:w="1945" w:type="dxa"/>
          </w:tcPr>
          <w:p w:rsidR="00AC17AF" w:rsidRPr="007A7801" w:rsidRDefault="00AC17AF" w:rsidP="00AC17AF">
            <w:pPr>
              <w:rPr>
                <w:b/>
                <w:sz w:val="20"/>
                <w:szCs w:val="20"/>
              </w:rPr>
            </w:pPr>
            <w:r w:rsidRPr="007A7801">
              <w:rPr>
                <w:b/>
                <w:bCs/>
                <w:spacing w:val="4"/>
                <w:sz w:val="20"/>
                <w:szCs w:val="20"/>
                <w:lang w:val="en-GB"/>
              </w:rPr>
              <w:t>New Modern Apprenticeship</w:t>
            </w:r>
            <w:r w:rsidR="00772BED">
              <w:rPr>
                <w:b/>
                <w:bCs/>
                <w:spacing w:val="4"/>
                <w:sz w:val="20"/>
                <w:szCs w:val="20"/>
                <w:lang w:val="en-GB"/>
              </w:rPr>
              <w:t xml:space="preserve"> (NMA)</w:t>
            </w:r>
          </w:p>
        </w:tc>
        <w:tc>
          <w:tcPr>
            <w:tcW w:w="1445" w:type="dxa"/>
          </w:tcPr>
          <w:p w:rsidR="00AC17AF" w:rsidRPr="007A7801" w:rsidRDefault="00AC17AF" w:rsidP="00AC17AF">
            <w:pPr>
              <w:jc w:val="center"/>
              <w:rPr>
                <w:sz w:val="20"/>
                <w:szCs w:val="20"/>
              </w:rPr>
            </w:pPr>
            <w:r w:rsidRPr="007A7801">
              <w:rPr>
                <w:sz w:val="20"/>
                <w:szCs w:val="20"/>
                <w:lang w:val="en-GB"/>
              </w:rPr>
              <w:t>Improve Education and Training Systems</w:t>
            </w:r>
          </w:p>
        </w:tc>
        <w:tc>
          <w:tcPr>
            <w:tcW w:w="1249" w:type="dxa"/>
          </w:tcPr>
          <w:p w:rsidR="00AC17AF" w:rsidRPr="007A7801" w:rsidRDefault="00AC17AF" w:rsidP="00AC17AF">
            <w:pPr>
              <w:jc w:val="center"/>
              <w:rPr>
                <w:sz w:val="20"/>
                <w:szCs w:val="20"/>
                <w:lang w:val="en-GB"/>
              </w:rPr>
            </w:pPr>
            <w:r w:rsidRPr="007A7801">
              <w:rPr>
                <w:sz w:val="20"/>
                <w:szCs w:val="20"/>
                <w:lang w:val="en-GB"/>
              </w:rPr>
              <w:t>Cyprus Productivity Centre</w:t>
            </w:r>
          </w:p>
          <w:p w:rsidR="00AC17AF" w:rsidRPr="007A7801" w:rsidRDefault="00AC17AF" w:rsidP="00AC17AF">
            <w:pPr>
              <w:jc w:val="center"/>
              <w:rPr>
                <w:sz w:val="20"/>
                <w:szCs w:val="20"/>
                <w:lang w:val="en-GB"/>
              </w:rPr>
            </w:pPr>
            <w:r w:rsidRPr="007A7801">
              <w:rPr>
                <w:sz w:val="20"/>
                <w:szCs w:val="20"/>
                <w:lang w:val="en-GB"/>
              </w:rPr>
              <w:t>(CPC)</w:t>
            </w:r>
          </w:p>
        </w:tc>
        <w:tc>
          <w:tcPr>
            <w:tcW w:w="4280" w:type="dxa"/>
          </w:tcPr>
          <w:p w:rsidR="00AC17AF" w:rsidRPr="007A7801" w:rsidRDefault="00AC17AF" w:rsidP="00772BED">
            <w:pPr>
              <w:rPr>
                <w:sz w:val="20"/>
                <w:szCs w:val="20"/>
              </w:rPr>
            </w:pPr>
            <w:r w:rsidRPr="007A7801">
              <w:rPr>
                <w:sz w:val="20"/>
                <w:szCs w:val="20"/>
              </w:rPr>
              <w:t>Establishment and operation of a</w:t>
            </w:r>
            <w:r w:rsidR="00772BED">
              <w:rPr>
                <w:sz w:val="20"/>
                <w:szCs w:val="20"/>
              </w:rPr>
              <w:t xml:space="preserve"> </w:t>
            </w:r>
            <w:r w:rsidRPr="007A7801">
              <w:rPr>
                <w:sz w:val="20"/>
                <w:szCs w:val="20"/>
              </w:rPr>
              <w:t xml:space="preserve">NMA scheme, designed to constitute a viable, alternative form of training and development for young </w:t>
            </w:r>
            <w:r w:rsidR="00772BED">
              <w:rPr>
                <w:sz w:val="20"/>
                <w:szCs w:val="20"/>
              </w:rPr>
              <w:t xml:space="preserve">people </w:t>
            </w:r>
            <w:r w:rsidRPr="007A7801">
              <w:rPr>
                <w:sz w:val="20"/>
                <w:szCs w:val="20"/>
              </w:rPr>
              <w:t>as well as to meet the needs of the labour market</w:t>
            </w:r>
          </w:p>
        </w:tc>
        <w:tc>
          <w:tcPr>
            <w:tcW w:w="1808" w:type="dxa"/>
          </w:tcPr>
          <w:p w:rsidR="00AC17AF" w:rsidRPr="007A7801" w:rsidRDefault="00AC17AF" w:rsidP="00AC17AF">
            <w:pPr>
              <w:jc w:val="center"/>
              <w:rPr>
                <w:sz w:val="20"/>
                <w:szCs w:val="20"/>
              </w:rPr>
            </w:pPr>
            <w:r w:rsidRPr="007A7801">
              <w:rPr>
                <w:sz w:val="20"/>
                <w:szCs w:val="20"/>
              </w:rPr>
              <w:t>August 2010 – December 2015</w:t>
            </w:r>
          </w:p>
        </w:tc>
        <w:tc>
          <w:tcPr>
            <w:tcW w:w="1276" w:type="dxa"/>
          </w:tcPr>
          <w:p w:rsidR="00AC17AF" w:rsidRPr="007A7801" w:rsidRDefault="00AC17AF" w:rsidP="00AC17AF">
            <w:pPr>
              <w:jc w:val="center"/>
              <w:rPr>
                <w:sz w:val="20"/>
                <w:szCs w:val="20"/>
                <w:lang w:val="en-GB"/>
              </w:rPr>
            </w:pPr>
            <w:r w:rsidRPr="007A7801">
              <w:rPr>
                <w:sz w:val="20"/>
                <w:szCs w:val="20"/>
                <w:lang w:val="en-GB"/>
              </w:rPr>
              <w:t>€19.335.595</w:t>
            </w:r>
          </w:p>
          <w:p w:rsidR="00AC17AF" w:rsidRPr="007A7801" w:rsidRDefault="00AC17AF" w:rsidP="00AC17AF">
            <w:pPr>
              <w:jc w:val="center"/>
              <w:rPr>
                <w:sz w:val="20"/>
                <w:szCs w:val="20"/>
              </w:rPr>
            </w:pPr>
            <w:r w:rsidRPr="007A7801">
              <w:rPr>
                <w:sz w:val="20"/>
                <w:szCs w:val="20"/>
              </w:rPr>
              <w:t>Co-financed by ESF (85%) and Cyprus government (15%)</w:t>
            </w:r>
          </w:p>
        </w:tc>
        <w:tc>
          <w:tcPr>
            <w:tcW w:w="1162" w:type="dxa"/>
          </w:tcPr>
          <w:p w:rsidR="00AC17AF" w:rsidRPr="007A7801" w:rsidRDefault="00AC17AF" w:rsidP="00AC17AF">
            <w:pPr>
              <w:jc w:val="center"/>
              <w:rPr>
                <w:sz w:val="20"/>
                <w:szCs w:val="20"/>
              </w:rPr>
            </w:pPr>
            <w:r w:rsidRPr="007A7801">
              <w:rPr>
                <w:sz w:val="20"/>
                <w:szCs w:val="20"/>
              </w:rPr>
              <w:t>Developed according to ESF rules, approved by the ESF Unit of the Min. of Labour &amp; Social Insurance and described in the Project Fiche</w:t>
            </w:r>
          </w:p>
        </w:tc>
        <w:tc>
          <w:tcPr>
            <w:tcW w:w="1711" w:type="dxa"/>
          </w:tcPr>
          <w:p w:rsidR="00AC17AF" w:rsidRPr="007A7801" w:rsidRDefault="00AC17AF" w:rsidP="00AC17AF">
            <w:pPr>
              <w:ind w:left="-108" w:firstLine="108"/>
              <w:jc w:val="center"/>
              <w:rPr>
                <w:sz w:val="20"/>
                <w:szCs w:val="20"/>
              </w:rPr>
            </w:pPr>
            <w:r w:rsidRPr="007A7801">
              <w:rPr>
                <w:sz w:val="20"/>
                <w:szCs w:val="20"/>
              </w:rPr>
              <w:t>175 apprentices at the preparatory level</w:t>
            </w:r>
          </w:p>
          <w:p w:rsidR="00AC17AF" w:rsidRPr="007A7801" w:rsidRDefault="00AC17AF" w:rsidP="00AC17AF">
            <w:pPr>
              <w:jc w:val="center"/>
              <w:rPr>
                <w:sz w:val="20"/>
                <w:szCs w:val="20"/>
              </w:rPr>
            </w:pPr>
          </w:p>
          <w:p w:rsidR="00AC17AF" w:rsidRPr="007A7801" w:rsidRDefault="00AC17AF" w:rsidP="00AC17AF">
            <w:pPr>
              <w:ind w:right="-180"/>
              <w:jc w:val="center"/>
              <w:rPr>
                <w:sz w:val="20"/>
                <w:szCs w:val="20"/>
              </w:rPr>
            </w:pPr>
            <w:r w:rsidRPr="007A7801">
              <w:rPr>
                <w:sz w:val="20"/>
                <w:szCs w:val="20"/>
              </w:rPr>
              <w:t>245 apprentices at the first year of the Core Apprenticeship</w:t>
            </w:r>
          </w:p>
          <w:p w:rsidR="00AC17AF" w:rsidRPr="007A7801" w:rsidRDefault="00AC17AF" w:rsidP="00AC17AF">
            <w:pPr>
              <w:jc w:val="center"/>
              <w:rPr>
                <w:sz w:val="20"/>
                <w:szCs w:val="20"/>
              </w:rPr>
            </w:pPr>
          </w:p>
          <w:p w:rsidR="00AC17AF" w:rsidRPr="007A7801" w:rsidRDefault="00AC17AF" w:rsidP="00AC17AF">
            <w:pPr>
              <w:jc w:val="center"/>
              <w:rPr>
                <w:sz w:val="20"/>
                <w:szCs w:val="20"/>
              </w:rPr>
            </w:pPr>
            <w:r w:rsidRPr="007A7801">
              <w:rPr>
                <w:sz w:val="20"/>
                <w:szCs w:val="20"/>
              </w:rPr>
              <w:t>197 at the second year of the Core Apprenticeship</w:t>
            </w:r>
          </w:p>
          <w:p w:rsidR="00AC17AF" w:rsidRPr="007A7801" w:rsidRDefault="00AC17AF" w:rsidP="00AC17AF">
            <w:pPr>
              <w:jc w:val="center"/>
              <w:rPr>
                <w:sz w:val="20"/>
                <w:szCs w:val="20"/>
              </w:rPr>
            </w:pPr>
          </w:p>
          <w:p w:rsidR="00AC17AF" w:rsidRPr="007A7801" w:rsidRDefault="00AC17AF" w:rsidP="00AC17AF">
            <w:pPr>
              <w:jc w:val="center"/>
              <w:rPr>
                <w:sz w:val="20"/>
                <w:szCs w:val="20"/>
              </w:rPr>
            </w:pPr>
            <w:r w:rsidRPr="007A7801">
              <w:rPr>
                <w:sz w:val="20"/>
                <w:szCs w:val="20"/>
              </w:rPr>
              <w:t>158 at the third year of the Core Apprenticeship</w:t>
            </w:r>
          </w:p>
        </w:tc>
      </w:tr>
      <w:tr w:rsidR="00AC17AF" w:rsidRPr="007A7801" w:rsidTr="006C2BEE">
        <w:trPr>
          <w:cantSplit/>
          <w:jc w:val="center"/>
        </w:trPr>
        <w:tc>
          <w:tcPr>
            <w:tcW w:w="1945" w:type="dxa"/>
          </w:tcPr>
          <w:p w:rsidR="00AC17AF" w:rsidRPr="007A7801" w:rsidRDefault="00AC17AF" w:rsidP="00AC17AF">
            <w:pPr>
              <w:rPr>
                <w:b/>
                <w:sz w:val="20"/>
                <w:szCs w:val="20"/>
              </w:rPr>
            </w:pPr>
            <w:r w:rsidRPr="007A7801">
              <w:rPr>
                <w:b/>
                <w:bCs/>
                <w:spacing w:val="4"/>
                <w:sz w:val="20"/>
                <w:szCs w:val="20"/>
                <w:lang w:val="en-GB"/>
              </w:rPr>
              <w:t xml:space="preserve">Subsidy </w:t>
            </w:r>
            <w:r w:rsidR="00772BED">
              <w:rPr>
                <w:b/>
                <w:bCs/>
                <w:spacing w:val="4"/>
                <w:sz w:val="20"/>
                <w:szCs w:val="20"/>
                <w:lang w:val="en-GB"/>
              </w:rPr>
              <w:t>s</w:t>
            </w:r>
            <w:r w:rsidRPr="007A7801">
              <w:rPr>
                <w:b/>
                <w:bCs/>
                <w:spacing w:val="4"/>
                <w:sz w:val="20"/>
                <w:szCs w:val="20"/>
                <w:lang w:val="en-GB"/>
              </w:rPr>
              <w:t>cheme aiming to promote the employment and in company training of Apprenticeship System Students in companies of the private sector</w:t>
            </w:r>
          </w:p>
        </w:tc>
        <w:tc>
          <w:tcPr>
            <w:tcW w:w="1445" w:type="dxa"/>
          </w:tcPr>
          <w:p w:rsidR="00AC17AF" w:rsidRPr="007A7801" w:rsidRDefault="00AC17AF" w:rsidP="00AC17AF">
            <w:pPr>
              <w:jc w:val="center"/>
              <w:rPr>
                <w:sz w:val="20"/>
                <w:szCs w:val="20"/>
              </w:rPr>
            </w:pPr>
            <w:r w:rsidRPr="007A7801">
              <w:rPr>
                <w:sz w:val="20"/>
                <w:szCs w:val="20"/>
                <w:lang w:val="en-GB"/>
              </w:rPr>
              <w:t>Improve Education and Training Systems</w:t>
            </w:r>
          </w:p>
        </w:tc>
        <w:tc>
          <w:tcPr>
            <w:tcW w:w="1249" w:type="dxa"/>
          </w:tcPr>
          <w:p w:rsidR="00AC17AF" w:rsidRPr="007A7801" w:rsidRDefault="00AC17AF" w:rsidP="00AC17AF">
            <w:pPr>
              <w:jc w:val="center"/>
              <w:rPr>
                <w:sz w:val="20"/>
                <w:szCs w:val="20"/>
                <w:lang w:val="en-GB"/>
              </w:rPr>
            </w:pPr>
            <w:r w:rsidRPr="007A7801">
              <w:rPr>
                <w:sz w:val="20"/>
                <w:szCs w:val="20"/>
                <w:lang w:val="en-GB"/>
              </w:rPr>
              <w:t>Cyprus Productivity Centre</w:t>
            </w:r>
          </w:p>
          <w:p w:rsidR="00AC17AF" w:rsidRPr="007A7801" w:rsidRDefault="00AC17AF" w:rsidP="00AC17AF">
            <w:pPr>
              <w:jc w:val="center"/>
              <w:rPr>
                <w:sz w:val="20"/>
                <w:szCs w:val="20"/>
                <w:lang w:val="en-GB"/>
              </w:rPr>
            </w:pPr>
            <w:r w:rsidRPr="007A7801">
              <w:rPr>
                <w:sz w:val="20"/>
                <w:szCs w:val="20"/>
                <w:lang w:val="en-GB"/>
              </w:rPr>
              <w:t>(CPC)</w:t>
            </w:r>
          </w:p>
        </w:tc>
        <w:tc>
          <w:tcPr>
            <w:tcW w:w="4280" w:type="dxa"/>
          </w:tcPr>
          <w:p w:rsidR="00AC17AF" w:rsidRPr="007A7801" w:rsidRDefault="00AC17AF" w:rsidP="00AC17AF">
            <w:pPr>
              <w:rPr>
                <w:sz w:val="20"/>
                <w:szCs w:val="20"/>
              </w:rPr>
            </w:pPr>
            <w:r w:rsidRPr="007A7801">
              <w:rPr>
                <w:bCs/>
                <w:spacing w:val="4"/>
                <w:sz w:val="20"/>
                <w:szCs w:val="20"/>
                <w:lang w:val="en-GB"/>
              </w:rPr>
              <w:t xml:space="preserve">The </w:t>
            </w:r>
            <w:r w:rsidR="00772BED">
              <w:rPr>
                <w:bCs/>
                <w:spacing w:val="4"/>
                <w:sz w:val="20"/>
                <w:szCs w:val="20"/>
                <w:lang w:val="en-GB"/>
              </w:rPr>
              <w:t>s</w:t>
            </w:r>
            <w:r w:rsidRPr="007A7801">
              <w:rPr>
                <w:bCs/>
                <w:spacing w:val="4"/>
                <w:sz w:val="20"/>
                <w:szCs w:val="20"/>
                <w:lang w:val="en-GB"/>
              </w:rPr>
              <w:t>cheme was launched in July 2010 and is designed to improve the quality of in-company training by subsidising companies for part of the salary of the in-company trainer who is responsible for training the Apprentice. The subsidy also covers the social insurance contributions for the Apprentice</w:t>
            </w:r>
            <w:r w:rsidRPr="007A7801">
              <w:rPr>
                <w:bCs/>
                <w:color w:val="FF0000"/>
                <w:spacing w:val="4"/>
                <w:sz w:val="20"/>
                <w:szCs w:val="20"/>
                <w:lang w:val="en-GB"/>
              </w:rPr>
              <w:t>.</w:t>
            </w:r>
          </w:p>
        </w:tc>
        <w:tc>
          <w:tcPr>
            <w:tcW w:w="1808" w:type="dxa"/>
          </w:tcPr>
          <w:p w:rsidR="00AC17AF" w:rsidRPr="007A7801" w:rsidRDefault="00AC17AF" w:rsidP="00AC17AF">
            <w:pPr>
              <w:jc w:val="center"/>
              <w:rPr>
                <w:sz w:val="20"/>
                <w:szCs w:val="20"/>
              </w:rPr>
            </w:pPr>
            <w:r w:rsidRPr="007A7801">
              <w:rPr>
                <w:sz w:val="20"/>
                <w:szCs w:val="20"/>
              </w:rPr>
              <w:t>Jul 2010 – Aug 2015</w:t>
            </w:r>
          </w:p>
        </w:tc>
        <w:tc>
          <w:tcPr>
            <w:tcW w:w="1276" w:type="dxa"/>
          </w:tcPr>
          <w:p w:rsidR="00AC17AF" w:rsidRPr="007A7801" w:rsidRDefault="00AC17AF" w:rsidP="00AC17AF">
            <w:pPr>
              <w:jc w:val="center"/>
              <w:rPr>
                <w:sz w:val="20"/>
                <w:szCs w:val="20"/>
                <w:lang w:val="en-GB"/>
              </w:rPr>
            </w:pPr>
            <w:r w:rsidRPr="007A7801">
              <w:rPr>
                <w:sz w:val="20"/>
                <w:szCs w:val="20"/>
              </w:rPr>
              <w:t>€4.500.000</w:t>
            </w:r>
          </w:p>
          <w:p w:rsidR="00AC17AF" w:rsidRPr="007A7801" w:rsidRDefault="00AC17AF" w:rsidP="00AC17AF">
            <w:pPr>
              <w:jc w:val="center"/>
              <w:rPr>
                <w:sz w:val="20"/>
                <w:szCs w:val="20"/>
              </w:rPr>
            </w:pPr>
            <w:r w:rsidRPr="007A7801">
              <w:rPr>
                <w:sz w:val="20"/>
                <w:szCs w:val="20"/>
              </w:rPr>
              <w:t>Co-financed by ESF (85%) and the Cyprus Government (15%)</w:t>
            </w:r>
          </w:p>
        </w:tc>
        <w:tc>
          <w:tcPr>
            <w:tcW w:w="1162" w:type="dxa"/>
          </w:tcPr>
          <w:p w:rsidR="00AC17AF" w:rsidRPr="007A7801" w:rsidRDefault="00AC17AF" w:rsidP="00AC17AF">
            <w:pPr>
              <w:jc w:val="center"/>
              <w:rPr>
                <w:sz w:val="20"/>
                <w:szCs w:val="20"/>
              </w:rPr>
            </w:pPr>
            <w:r w:rsidRPr="007A7801">
              <w:rPr>
                <w:sz w:val="20"/>
                <w:szCs w:val="20"/>
              </w:rPr>
              <w:t xml:space="preserve">Developed according to ESF rules, approved by the ESF Unit of the Min. of Labour &amp; Social Insurance and described in the Scheme´s </w:t>
            </w:r>
            <w:r w:rsidR="00602DA7" w:rsidRPr="00602DA7">
              <w:rPr>
                <w:sz w:val="16"/>
                <w:szCs w:val="16"/>
              </w:rPr>
              <w:t xml:space="preserve">Implementation </w:t>
            </w:r>
            <w:r w:rsidRPr="007A7801">
              <w:rPr>
                <w:sz w:val="20"/>
                <w:szCs w:val="20"/>
              </w:rPr>
              <w:t>Guidelines.</w:t>
            </w:r>
          </w:p>
        </w:tc>
        <w:tc>
          <w:tcPr>
            <w:tcW w:w="1711" w:type="dxa"/>
          </w:tcPr>
          <w:p w:rsidR="00AC17AF" w:rsidRPr="007A7801" w:rsidRDefault="00AC17AF" w:rsidP="00AC17AF">
            <w:pPr>
              <w:jc w:val="center"/>
              <w:rPr>
                <w:sz w:val="20"/>
                <w:szCs w:val="20"/>
              </w:rPr>
            </w:pPr>
            <w:r w:rsidRPr="007A7801">
              <w:rPr>
                <w:sz w:val="20"/>
                <w:szCs w:val="20"/>
              </w:rPr>
              <w:t>Placement of 830 apprentices in approximately 500 employers</w:t>
            </w:r>
          </w:p>
        </w:tc>
      </w:tr>
    </w:tbl>
    <w:p w:rsidR="00326D6D" w:rsidRDefault="00326D6D" w:rsidP="00AC17AF">
      <w:pPr>
        <w:rPr>
          <w:b/>
          <w:sz w:val="20"/>
          <w:szCs w:val="20"/>
        </w:rPr>
        <w:sectPr w:rsidR="00326D6D" w:rsidSect="00326D6D">
          <w:type w:val="continuous"/>
          <w:pgSz w:w="15840" w:h="12240" w:orient="landscape"/>
          <w:pgMar w:top="1440" w:right="1560" w:bottom="1440" w:left="1296" w:header="720" w:footer="720" w:gutter="0"/>
          <w:cols w:space="720"/>
          <w:titlePg/>
          <w:docGrid w:linePitch="360"/>
        </w:sectPr>
      </w:pPr>
    </w:p>
    <w:tbl>
      <w:tblPr>
        <w:tblW w:w="14903"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727"/>
        <w:gridCol w:w="1445"/>
        <w:gridCol w:w="1249"/>
        <w:gridCol w:w="4280"/>
        <w:gridCol w:w="1808"/>
        <w:gridCol w:w="1276"/>
        <w:gridCol w:w="1257"/>
        <w:gridCol w:w="1861"/>
      </w:tblGrid>
      <w:tr w:rsidR="00AC17AF" w:rsidRPr="007A7801" w:rsidTr="00402B2E">
        <w:trPr>
          <w:cantSplit/>
          <w:jc w:val="center"/>
        </w:trPr>
        <w:tc>
          <w:tcPr>
            <w:tcW w:w="1727" w:type="dxa"/>
          </w:tcPr>
          <w:p w:rsidR="00AC17AF" w:rsidRPr="007A7801" w:rsidRDefault="00AC17AF" w:rsidP="00AC17AF">
            <w:pPr>
              <w:rPr>
                <w:b/>
                <w:sz w:val="20"/>
                <w:szCs w:val="20"/>
              </w:rPr>
            </w:pPr>
            <w:r w:rsidRPr="007A7801">
              <w:rPr>
                <w:b/>
                <w:sz w:val="20"/>
                <w:szCs w:val="20"/>
              </w:rPr>
              <w:lastRenderedPageBreak/>
              <w:t>Restructuring the education system and moderni</w:t>
            </w:r>
            <w:r w:rsidR="00772BED">
              <w:rPr>
                <w:b/>
                <w:sz w:val="20"/>
                <w:szCs w:val="20"/>
              </w:rPr>
              <w:t>s</w:t>
            </w:r>
            <w:r w:rsidRPr="007A7801">
              <w:rPr>
                <w:b/>
                <w:sz w:val="20"/>
                <w:szCs w:val="20"/>
              </w:rPr>
              <w:t>ing the content of education by  moderni</w:t>
            </w:r>
            <w:r w:rsidR="00772BED">
              <w:rPr>
                <w:b/>
                <w:sz w:val="20"/>
                <w:szCs w:val="20"/>
              </w:rPr>
              <w:t>s</w:t>
            </w:r>
            <w:r w:rsidRPr="007A7801">
              <w:rPr>
                <w:b/>
                <w:sz w:val="20"/>
                <w:szCs w:val="20"/>
              </w:rPr>
              <w:t>ing and upgrading the curriculum for all public schools</w:t>
            </w:r>
          </w:p>
          <w:p w:rsidR="00AC17AF" w:rsidRPr="007A7801" w:rsidRDefault="00AC17AF" w:rsidP="00AC17AF">
            <w:pPr>
              <w:rPr>
                <w:b/>
                <w:sz w:val="20"/>
                <w:szCs w:val="20"/>
              </w:rPr>
            </w:pPr>
            <w:r w:rsidRPr="007A7801">
              <w:rPr>
                <w:b/>
                <w:sz w:val="20"/>
                <w:szCs w:val="20"/>
              </w:rPr>
              <w:t>(From Pre-Primary to Lower Secondary Education)</w:t>
            </w:r>
          </w:p>
          <w:p w:rsidR="00AC17AF" w:rsidRPr="007A7801" w:rsidRDefault="00AC17AF" w:rsidP="00AC17AF">
            <w:pPr>
              <w:rPr>
                <w:b/>
                <w:sz w:val="20"/>
                <w:szCs w:val="20"/>
              </w:rPr>
            </w:pPr>
          </w:p>
          <w:p w:rsidR="00AC17AF" w:rsidRPr="007A7801" w:rsidRDefault="00AC17AF" w:rsidP="00AC17AF">
            <w:pPr>
              <w:rPr>
                <w:b/>
                <w:sz w:val="20"/>
                <w:szCs w:val="20"/>
              </w:rPr>
            </w:pPr>
          </w:p>
          <w:p w:rsidR="00AC17AF" w:rsidRPr="007A7801" w:rsidRDefault="00AC17AF" w:rsidP="00AC17AF">
            <w:pPr>
              <w:rPr>
                <w:b/>
                <w:sz w:val="20"/>
                <w:szCs w:val="20"/>
                <w:lang w:val="en-GB"/>
              </w:rPr>
            </w:pPr>
          </w:p>
        </w:tc>
        <w:tc>
          <w:tcPr>
            <w:tcW w:w="1445" w:type="dxa"/>
          </w:tcPr>
          <w:p w:rsidR="00AC17AF" w:rsidRPr="007A7801" w:rsidRDefault="00AC17AF" w:rsidP="00AC17AF">
            <w:pPr>
              <w:jc w:val="center"/>
              <w:rPr>
                <w:sz w:val="20"/>
                <w:szCs w:val="20"/>
              </w:rPr>
            </w:pPr>
            <w:r w:rsidRPr="007A7801">
              <w:rPr>
                <w:sz w:val="20"/>
                <w:szCs w:val="20"/>
              </w:rPr>
              <w:t>Improving Education and Training Systems</w:t>
            </w:r>
          </w:p>
        </w:tc>
        <w:tc>
          <w:tcPr>
            <w:tcW w:w="1249" w:type="dxa"/>
          </w:tcPr>
          <w:p w:rsidR="00AC17AF" w:rsidRPr="007A7801" w:rsidRDefault="00AC17AF" w:rsidP="00AC17AF">
            <w:pPr>
              <w:jc w:val="center"/>
              <w:rPr>
                <w:sz w:val="20"/>
                <w:szCs w:val="20"/>
              </w:rPr>
            </w:pPr>
            <w:r w:rsidRPr="007A7801">
              <w:rPr>
                <w:sz w:val="20"/>
                <w:szCs w:val="20"/>
              </w:rPr>
              <w:t>Ministry of Education and Culture</w:t>
            </w:r>
          </w:p>
        </w:tc>
        <w:tc>
          <w:tcPr>
            <w:tcW w:w="4280" w:type="dxa"/>
          </w:tcPr>
          <w:p w:rsidR="00AC17AF" w:rsidRPr="007A7801" w:rsidRDefault="00AC17AF" w:rsidP="00AC17AF">
            <w:pPr>
              <w:rPr>
                <w:sz w:val="20"/>
                <w:szCs w:val="20"/>
              </w:rPr>
            </w:pPr>
            <w:r w:rsidRPr="007A7801">
              <w:rPr>
                <w:sz w:val="20"/>
                <w:szCs w:val="20"/>
              </w:rPr>
              <w:t>The new curriculum focuses on the development of new skills and  key competences to improve openness and relevance of education and training systems</w:t>
            </w:r>
          </w:p>
        </w:tc>
        <w:tc>
          <w:tcPr>
            <w:tcW w:w="1808" w:type="dxa"/>
          </w:tcPr>
          <w:p w:rsidR="00AC17AF" w:rsidRPr="00772BED" w:rsidRDefault="00602DA7" w:rsidP="00AC17AF">
            <w:pPr>
              <w:jc w:val="center"/>
              <w:rPr>
                <w:sz w:val="20"/>
                <w:szCs w:val="20"/>
              </w:rPr>
            </w:pPr>
            <w:r w:rsidRPr="00602DA7">
              <w:rPr>
                <w:sz w:val="20"/>
                <w:szCs w:val="20"/>
              </w:rPr>
              <w:t>August 30</w:t>
            </w:r>
            <w:r w:rsidRPr="00602DA7">
              <w:rPr>
                <w:sz w:val="20"/>
                <w:szCs w:val="20"/>
                <w:vertAlign w:val="superscript"/>
              </w:rPr>
              <w:t>th</w:t>
            </w:r>
            <w:r w:rsidRPr="00602DA7">
              <w:rPr>
                <w:sz w:val="20"/>
                <w:szCs w:val="20"/>
              </w:rPr>
              <w:t xml:space="preserve"> 2010</w:t>
            </w:r>
            <w:r w:rsidR="00AC17AF" w:rsidRPr="00772BED">
              <w:rPr>
                <w:sz w:val="20"/>
                <w:szCs w:val="20"/>
              </w:rPr>
              <w:t xml:space="preserve"> - </w:t>
            </w:r>
            <w:r w:rsidRPr="00602DA7">
              <w:rPr>
                <w:sz w:val="20"/>
                <w:szCs w:val="20"/>
              </w:rPr>
              <w:t>September 2015</w:t>
            </w:r>
          </w:p>
          <w:p w:rsidR="00AC17AF" w:rsidRPr="007A7801" w:rsidRDefault="00AC17AF" w:rsidP="00AC17AF">
            <w:pPr>
              <w:jc w:val="center"/>
              <w:rPr>
                <w:sz w:val="20"/>
                <w:szCs w:val="20"/>
              </w:rPr>
            </w:pPr>
          </w:p>
          <w:p w:rsidR="00AC17AF" w:rsidRPr="007A7801" w:rsidRDefault="00AC17AF" w:rsidP="00AC17AF">
            <w:pPr>
              <w:jc w:val="center"/>
              <w:rPr>
                <w:sz w:val="20"/>
                <w:szCs w:val="20"/>
              </w:rPr>
            </w:pPr>
          </w:p>
        </w:tc>
        <w:tc>
          <w:tcPr>
            <w:tcW w:w="1276" w:type="dxa"/>
          </w:tcPr>
          <w:p w:rsidR="00AC17AF" w:rsidRPr="007A7801" w:rsidRDefault="00AC17AF" w:rsidP="00AC17AF">
            <w:pPr>
              <w:jc w:val="center"/>
              <w:rPr>
                <w:sz w:val="20"/>
                <w:szCs w:val="20"/>
              </w:rPr>
            </w:pPr>
            <w:r w:rsidRPr="007A7801">
              <w:rPr>
                <w:sz w:val="20"/>
                <w:szCs w:val="20"/>
              </w:rPr>
              <w:t>National Funds -Part of the teachers’ training will be funded by ESF (2007-2013 programming period )</w:t>
            </w:r>
          </w:p>
        </w:tc>
        <w:tc>
          <w:tcPr>
            <w:tcW w:w="1257" w:type="dxa"/>
          </w:tcPr>
          <w:p w:rsidR="00AC17AF" w:rsidRPr="007A7801" w:rsidRDefault="00AC17AF" w:rsidP="00AC17AF">
            <w:pPr>
              <w:jc w:val="center"/>
              <w:rPr>
                <w:sz w:val="20"/>
                <w:szCs w:val="20"/>
              </w:rPr>
            </w:pPr>
            <w:r w:rsidRPr="007A7801">
              <w:rPr>
                <w:sz w:val="20"/>
                <w:szCs w:val="20"/>
              </w:rPr>
              <w:t>An evaluation Committee has been appointed by the Minister of Education</w:t>
            </w:r>
          </w:p>
        </w:tc>
        <w:tc>
          <w:tcPr>
            <w:tcW w:w="1861" w:type="dxa"/>
          </w:tcPr>
          <w:p w:rsidR="00AC17AF" w:rsidRPr="007A7801" w:rsidRDefault="00AC17AF" w:rsidP="00AC17AF">
            <w:pPr>
              <w:jc w:val="center"/>
              <w:rPr>
                <w:sz w:val="20"/>
                <w:szCs w:val="20"/>
              </w:rPr>
            </w:pPr>
            <w:r w:rsidRPr="007A7801">
              <w:rPr>
                <w:sz w:val="20"/>
                <w:szCs w:val="20"/>
              </w:rPr>
              <w:t>-Full implementation of the new measure to all public schools by September 2015.</w:t>
            </w:r>
          </w:p>
          <w:p w:rsidR="00AC17AF" w:rsidRPr="007A7801" w:rsidRDefault="00AC17AF" w:rsidP="00AC17AF">
            <w:pPr>
              <w:jc w:val="center"/>
              <w:rPr>
                <w:sz w:val="20"/>
                <w:szCs w:val="20"/>
              </w:rPr>
            </w:pPr>
            <w:r w:rsidRPr="007A7801">
              <w:rPr>
                <w:sz w:val="20"/>
                <w:szCs w:val="20"/>
              </w:rPr>
              <w:t>- 10.000 to be trained in the implementation of the new curriculum by 2013.</w:t>
            </w:r>
          </w:p>
        </w:tc>
      </w:tr>
      <w:tr w:rsidR="00AC17AF" w:rsidRPr="007A7801" w:rsidTr="00402B2E">
        <w:trPr>
          <w:cantSplit/>
          <w:jc w:val="center"/>
        </w:trPr>
        <w:tc>
          <w:tcPr>
            <w:tcW w:w="1727" w:type="dxa"/>
          </w:tcPr>
          <w:p w:rsidR="00AC17AF" w:rsidRPr="007A7801" w:rsidRDefault="00AC17AF" w:rsidP="00AC17AF">
            <w:pPr>
              <w:rPr>
                <w:b/>
                <w:sz w:val="20"/>
                <w:szCs w:val="20"/>
              </w:rPr>
            </w:pPr>
            <w:r w:rsidRPr="007A7801">
              <w:rPr>
                <w:b/>
                <w:sz w:val="20"/>
                <w:szCs w:val="20"/>
              </w:rPr>
              <w:t>Designing</w:t>
            </w:r>
            <w:r w:rsidR="00772BED">
              <w:rPr>
                <w:b/>
                <w:sz w:val="20"/>
                <w:szCs w:val="20"/>
              </w:rPr>
              <w:t>,</w:t>
            </w:r>
            <w:r w:rsidRPr="007A7801">
              <w:rPr>
                <w:b/>
                <w:sz w:val="20"/>
                <w:szCs w:val="20"/>
              </w:rPr>
              <w:t xml:space="preserve"> developing and implementing a new system of pre- service and in service training for educators and school leaders</w:t>
            </w:r>
          </w:p>
          <w:p w:rsidR="00AC17AF" w:rsidRPr="007A7801" w:rsidRDefault="00AC17AF" w:rsidP="00AC17AF">
            <w:pPr>
              <w:rPr>
                <w:b/>
                <w:sz w:val="20"/>
                <w:szCs w:val="20"/>
                <w:u w:val="single"/>
              </w:rPr>
            </w:pPr>
            <w:r w:rsidRPr="007A7801">
              <w:rPr>
                <w:b/>
                <w:sz w:val="20"/>
                <w:szCs w:val="20"/>
                <w:u w:val="single"/>
              </w:rPr>
              <w:t xml:space="preserve"> </w:t>
            </w:r>
          </w:p>
          <w:p w:rsidR="00AC17AF" w:rsidRPr="007A7801" w:rsidRDefault="00AC17AF" w:rsidP="00AC17AF">
            <w:pPr>
              <w:rPr>
                <w:b/>
                <w:sz w:val="20"/>
                <w:szCs w:val="20"/>
                <w:u w:val="single"/>
              </w:rPr>
            </w:pPr>
          </w:p>
          <w:p w:rsidR="00AC17AF" w:rsidRPr="007A7801" w:rsidRDefault="00AC17AF" w:rsidP="00AC17AF">
            <w:pPr>
              <w:rPr>
                <w:b/>
                <w:sz w:val="20"/>
                <w:szCs w:val="20"/>
                <w:u w:val="single"/>
              </w:rPr>
            </w:pPr>
          </w:p>
          <w:p w:rsidR="00AC17AF" w:rsidRPr="007A7801" w:rsidRDefault="00AC17AF" w:rsidP="00AC17AF">
            <w:pPr>
              <w:rPr>
                <w:b/>
                <w:sz w:val="20"/>
                <w:szCs w:val="20"/>
                <w:u w:val="single"/>
              </w:rPr>
            </w:pPr>
          </w:p>
          <w:p w:rsidR="00AC17AF" w:rsidRPr="007A7801" w:rsidRDefault="00AC17AF" w:rsidP="00AC17AF">
            <w:pPr>
              <w:rPr>
                <w:b/>
                <w:sz w:val="20"/>
                <w:szCs w:val="20"/>
                <w:u w:val="single"/>
              </w:rPr>
            </w:pPr>
          </w:p>
          <w:p w:rsidR="00AC17AF" w:rsidRPr="007A7801" w:rsidRDefault="00AC17AF" w:rsidP="00AC17AF">
            <w:pPr>
              <w:rPr>
                <w:b/>
                <w:sz w:val="20"/>
                <w:szCs w:val="20"/>
                <w:u w:val="single"/>
              </w:rPr>
            </w:pPr>
          </w:p>
          <w:p w:rsidR="00AC17AF" w:rsidRPr="007A7801" w:rsidRDefault="00AC17AF" w:rsidP="00AC17AF">
            <w:pPr>
              <w:rPr>
                <w:b/>
                <w:sz w:val="20"/>
                <w:szCs w:val="20"/>
                <w:u w:val="single"/>
              </w:rPr>
            </w:pPr>
          </w:p>
          <w:p w:rsidR="00AC17AF" w:rsidRPr="007A7801" w:rsidRDefault="00AC17AF" w:rsidP="00AC17AF">
            <w:pPr>
              <w:rPr>
                <w:b/>
                <w:sz w:val="20"/>
                <w:szCs w:val="20"/>
                <w:u w:val="single"/>
              </w:rPr>
            </w:pPr>
          </w:p>
          <w:p w:rsidR="00AC17AF" w:rsidRPr="007A7801" w:rsidRDefault="00AC17AF" w:rsidP="00AC17AF">
            <w:pPr>
              <w:rPr>
                <w:b/>
                <w:sz w:val="20"/>
                <w:szCs w:val="20"/>
                <w:u w:val="single"/>
              </w:rPr>
            </w:pPr>
          </w:p>
          <w:p w:rsidR="00AC17AF" w:rsidRPr="007A7801" w:rsidRDefault="00AC17AF" w:rsidP="00AC17AF">
            <w:pPr>
              <w:rPr>
                <w:b/>
                <w:sz w:val="20"/>
                <w:szCs w:val="20"/>
                <w:u w:val="single"/>
              </w:rPr>
            </w:pPr>
          </w:p>
          <w:p w:rsidR="00AC17AF" w:rsidRPr="007A7801" w:rsidRDefault="00AC17AF" w:rsidP="00AC17AF">
            <w:pPr>
              <w:rPr>
                <w:b/>
                <w:sz w:val="20"/>
                <w:szCs w:val="20"/>
                <w:u w:val="single"/>
              </w:rPr>
            </w:pPr>
          </w:p>
        </w:tc>
        <w:tc>
          <w:tcPr>
            <w:tcW w:w="1445" w:type="dxa"/>
          </w:tcPr>
          <w:p w:rsidR="00AC17AF" w:rsidRPr="007A7801" w:rsidRDefault="00AC17AF" w:rsidP="00AC17AF">
            <w:pPr>
              <w:jc w:val="center"/>
              <w:rPr>
                <w:sz w:val="20"/>
                <w:szCs w:val="20"/>
              </w:rPr>
            </w:pPr>
            <w:r w:rsidRPr="007A7801">
              <w:rPr>
                <w:sz w:val="20"/>
                <w:szCs w:val="20"/>
              </w:rPr>
              <w:t>Improving Education and Training Systems</w:t>
            </w:r>
          </w:p>
        </w:tc>
        <w:tc>
          <w:tcPr>
            <w:tcW w:w="1249" w:type="dxa"/>
          </w:tcPr>
          <w:p w:rsidR="00AC17AF" w:rsidRPr="007A7801" w:rsidRDefault="00AC17AF" w:rsidP="00AC17AF">
            <w:pPr>
              <w:jc w:val="center"/>
              <w:rPr>
                <w:sz w:val="20"/>
                <w:szCs w:val="20"/>
              </w:rPr>
            </w:pPr>
            <w:r w:rsidRPr="007A7801">
              <w:rPr>
                <w:sz w:val="20"/>
                <w:szCs w:val="20"/>
              </w:rPr>
              <w:t>Ministry of Education and Culture</w:t>
            </w:r>
          </w:p>
        </w:tc>
        <w:tc>
          <w:tcPr>
            <w:tcW w:w="4280" w:type="dxa"/>
          </w:tcPr>
          <w:p w:rsidR="00AC17AF" w:rsidRPr="007A7801" w:rsidRDefault="00AC17AF" w:rsidP="00AC17AF">
            <w:pPr>
              <w:rPr>
                <w:sz w:val="20"/>
                <w:szCs w:val="20"/>
              </w:rPr>
            </w:pPr>
            <w:r w:rsidRPr="007A7801">
              <w:rPr>
                <w:sz w:val="20"/>
                <w:szCs w:val="20"/>
              </w:rPr>
              <w:t xml:space="preserve">To address the individual needs of educators at all levels and through of their entire career </w:t>
            </w:r>
          </w:p>
          <w:p w:rsidR="00AC17AF" w:rsidRPr="007A7801" w:rsidRDefault="00AC17AF" w:rsidP="00AC17AF">
            <w:pPr>
              <w:rPr>
                <w:sz w:val="20"/>
                <w:szCs w:val="20"/>
              </w:rPr>
            </w:pPr>
          </w:p>
          <w:p w:rsidR="00AC17AF" w:rsidRPr="007A7801" w:rsidRDefault="00AC17AF" w:rsidP="00AC17AF">
            <w:pPr>
              <w:rPr>
                <w:sz w:val="20"/>
                <w:szCs w:val="20"/>
              </w:rPr>
            </w:pPr>
          </w:p>
          <w:p w:rsidR="00AC17AF" w:rsidRPr="007A7801" w:rsidRDefault="00AC17AF" w:rsidP="00AC17AF">
            <w:pPr>
              <w:rPr>
                <w:sz w:val="20"/>
                <w:szCs w:val="20"/>
              </w:rPr>
            </w:pPr>
            <w:r w:rsidRPr="007A7801">
              <w:rPr>
                <w:sz w:val="20"/>
                <w:szCs w:val="20"/>
              </w:rPr>
              <w:t>To enhance the managerial and leadership skills of school leaders</w:t>
            </w:r>
          </w:p>
        </w:tc>
        <w:tc>
          <w:tcPr>
            <w:tcW w:w="1808" w:type="dxa"/>
          </w:tcPr>
          <w:p w:rsidR="00AC17AF" w:rsidRPr="00772BED" w:rsidRDefault="00602DA7" w:rsidP="00AC17AF">
            <w:pPr>
              <w:jc w:val="center"/>
              <w:rPr>
                <w:sz w:val="20"/>
                <w:szCs w:val="20"/>
              </w:rPr>
            </w:pPr>
            <w:r w:rsidRPr="00602DA7">
              <w:rPr>
                <w:sz w:val="20"/>
                <w:szCs w:val="20"/>
              </w:rPr>
              <w:t>September 2009 - September 2015</w:t>
            </w:r>
          </w:p>
          <w:p w:rsidR="00AC17AF" w:rsidRPr="007A7801" w:rsidRDefault="00AC17AF" w:rsidP="00AC17AF">
            <w:pPr>
              <w:jc w:val="center"/>
              <w:rPr>
                <w:sz w:val="20"/>
                <w:szCs w:val="20"/>
                <w:u w:val="single"/>
              </w:rPr>
            </w:pPr>
          </w:p>
        </w:tc>
        <w:tc>
          <w:tcPr>
            <w:tcW w:w="1276" w:type="dxa"/>
          </w:tcPr>
          <w:p w:rsidR="00AC17AF" w:rsidRPr="007A7801" w:rsidRDefault="00AC17AF" w:rsidP="00AC17AF">
            <w:pPr>
              <w:jc w:val="center"/>
              <w:rPr>
                <w:sz w:val="20"/>
                <w:szCs w:val="20"/>
              </w:rPr>
            </w:pPr>
            <w:r w:rsidRPr="007A7801">
              <w:rPr>
                <w:sz w:val="20"/>
                <w:szCs w:val="20"/>
              </w:rPr>
              <w:t>-National Funds -Part of the teacher training  is funded by ESF (2007-2013 programming period )</w:t>
            </w:r>
          </w:p>
          <w:p w:rsidR="00AC17AF" w:rsidRPr="007A7801" w:rsidRDefault="00AC17AF" w:rsidP="00AC17AF">
            <w:pPr>
              <w:jc w:val="center"/>
              <w:rPr>
                <w:sz w:val="20"/>
                <w:szCs w:val="20"/>
              </w:rPr>
            </w:pPr>
          </w:p>
        </w:tc>
        <w:tc>
          <w:tcPr>
            <w:tcW w:w="1257" w:type="dxa"/>
          </w:tcPr>
          <w:p w:rsidR="00AC17AF" w:rsidRPr="007A7801" w:rsidRDefault="00AC17AF" w:rsidP="00AC17AF">
            <w:pPr>
              <w:jc w:val="center"/>
              <w:rPr>
                <w:sz w:val="20"/>
                <w:szCs w:val="20"/>
              </w:rPr>
            </w:pPr>
            <w:r w:rsidRPr="007A7801">
              <w:rPr>
                <w:sz w:val="20"/>
                <w:szCs w:val="20"/>
              </w:rPr>
              <w:t xml:space="preserve">The Center for Educational  Assessment and Evaluation is responsible for the assessment of the program after its three year </w:t>
            </w:r>
            <w:r w:rsidR="00602DA7" w:rsidRPr="00602DA7">
              <w:rPr>
                <w:sz w:val="18"/>
                <w:szCs w:val="18"/>
              </w:rPr>
              <w:t>implementation</w:t>
            </w:r>
          </w:p>
        </w:tc>
        <w:tc>
          <w:tcPr>
            <w:tcW w:w="1861" w:type="dxa"/>
          </w:tcPr>
          <w:p w:rsidR="00AC17AF" w:rsidRPr="007A7801" w:rsidRDefault="00AC17AF" w:rsidP="00AC17AF">
            <w:pPr>
              <w:jc w:val="center"/>
              <w:rPr>
                <w:sz w:val="20"/>
                <w:szCs w:val="20"/>
              </w:rPr>
            </w:pPr>
            <w:r w:rsidRPr="007A7801">
              <w:rPr>
                <w:sz w:val="20"/>
                <w:szCs w:val="20"/>
              </w:rPr>
              <w:t>Full implementation of the measure by 2015</w:t>
            </w:r>
          </w:p>
        </w:tc>
      </w:tr>
    </w:tbl>
    <w:p w:rsidR="00326D6D" w:rsidRDefault="00326D6D" w:rsidP="00AC17AF">
      <w:pPr>
        <w:rPr>
          <w:b/>
          <w:sz w:val="20"/>
          <w:szCs w:val="20"/>
        </w:rPr>
        <w:sectPr w:rsidR="00326D6D" w:rsidSect="00326D6D">
          <w:type w:val="continuous"/>
          <w:pgSz w:w="15840" w:h="12240" w:orient="landscape"/>
          <w:pgMar w:top="1440" w:right="1560"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162"/>
        <w:gridCol w:w="1711"/>
      </w:tblGrid>
      <w:tr w:rsidR="00AC17AF" w:rsidRPr="007A7801" w:rsidTr="006C2BEE">
        <w:trPr>
          <w:cantSplit/>
          <w:jc w:val="center"/>
        </w:trPr>
        <w:tc>
          <w:tcPr>
            <w:tcW w:w="1945" w:type="dxa"/>
          </w:tcPr>
          <w:p w:rsidR="00AC17AF" w:rsidRPr="007A7801" w:rsidRDefault="00AC17AF" w:rsidP="00AC17AF">
            <w:pPr>
              <w:rPr>
                <w:b/>
                <w:sz w:val="20"/>
                <w:szCs w:val="20"/>
              </w:rPr>
            </w:pPr>
            <w:r w:rsidRPr="007A7801">
              <w:rPr>
                <w:b/>
                <w:sz w:val="20"/>
                <w:szCs w:val="20"/>
              </w:rPr>
              <w:lastRenderedPageBreak/>
              <w:t xml:space="preserve">Measures facilitating the integration of students at risk in the school system </w:t>
            </w:r>
          </w:p>
        </w:tc>
        <w:tc>
          <w:tcPr>
            <w:tcW w:w="1445" w:type="dxa"/>
          </w:tcPr>
          <w:p w:rsidR="00AC17AF" w:rsidRPr="007A7801" w:rsidRDefault="00AC17AF" w:rsidP="00AC17AF">
            <w:pPr>
              <w:jc w:val="center"/>
              <w:rPr>
                <w:b/>
                <w:sz w:val="20"/>
                <w:szCs w:val="20"/>
                <w:u w:val="single"/>
              </w:rPr>
            </w:pPr>
            <w:r w:rsidRPr="007A7801">
              <w:rPr>
                <w:sz w:val="20"/>
                <w:szCs w:val="20"/>
              </w:rPr>
              <w:t>Improve Education and Training Systems</w:t>
            </w:r>
          </w:p>
        </w:tc>
        <w:tc>
          <w:tcPr>
            <w:tcW w:w="1249" w:type="dxa"/>
          </w:tcPr>
          <w:p w:rsidR="00AC17AF" w:rsidRPr="007A7801" w:rsidRDefault="00AC17AF" w:rsidP="00AC17AF">
            <w:pPr>
              <w:jc w:val="center"/>
              <w:rPr>
                <w:sz w:val="20"/>
                <w:szCs w:val="20"/>
              </w:rPr>
            </w:pPr>
            <w:r w:rsidRPr="007A7801">
              <w:rPr>
                <w:sz w:val="20"/>
                <w:szCs w:val="20"/>
              </w:rPr>
              <w:t>Ministry of Education and Culture</w:t>
            </w:r>
          </w:p>
        </w:tc>
        <w:tc>
          <w:tcPr>
            <w:tcW w:w="4280" w:type="dxa"/>
          </w:tcPr>
          <w:p w:rsidR="00AC17AF" w:rsidRPr="007A7801" w:rsidRDefault="00AC17AF" w:rsidP="00AC17AF">
            <w:pPr>
              <w:rPr>
                <w:sz w:val="20"/>
                <w:szCs w:val="20"/>
              </w:rPr>
            </w:pPr>
            <w:r w:rsidRPr="007A7801">
              <w:rPr>
                <w:sz w:val="20"/>
                <w:szCs w:val="20"/>
              </w:rPr>
              <w:t xml:space="preserve">-  Establishing reception classes, offer support services and special induction programs for migrants, asylum seekers and refugees. </w:t>
            </w:r>
          </w:p>
          <w:p w:rsidR="00AC17AF" w:rsidRPr="007A7801" w:rsidRDefault="00AC17AF" w:rsidP="00AC17AF">
            <w:pPr>
              <w:rPr>
                <w:sz w:val="20"/>
                <w:szCs w:val="20"/>
              </w:rPr>
            </w:pPr>
            <w:r w:rsidRPr="007A7801">
              <w:rPr>
                <w:sz w:val="20"/>
                <w:szCs w:val="20"/>
              </w:rPr>
              <w:t xml:space="preserve">- Identification of literacy problems through early diagnosis. </w:t>
            </w:r>
          </w:p>
          <w:p w:rsidR="00AC17AF" w:rsidRPr="007A7801" w:rsidRDefault="00AC17AF" w:rsidP="00AC17AF">
            <w:pPr>
              <w:rPr>
                <w:sz w:val="20"/>
                <w:szCs w:val="20"/>
              </w:rPr>
            </w:pPr>
            <w:r w:rsidRPr="007A7801">
              <w:rPr>
                <w:sz w:val="20"/>
                <w:szCs w:val="20"/>
              </w:rPr>
              <w:t>-  Creation of e-learning communities and enhancement of e-networks between teachers and students of small communities.</w:t>
            </w:r>
          </w:p>
          <w:p w:rsidR="00AC17AF" w:rsidRPr="007A7801" w:rsidRDefault="00AC17AF" w:rsidP="00AC17AF">
            <w:pPr>
              <w:rPr>
                <w:sz w:val="20"/>
                <w:szCs w:val="20"/>
              </w:rPr>
            </w:pPr>
            <w:r w:rsidRPr="007A7801">
              <w:rPr>
                <w:sz w:val="20"/>
                <w:szCs w:val="20"/>
              </w:rPr>
              <w:t>- Extending Educational and Career Counseling Services to help students from diverse social background and with different learning abilities.</w:t>
            </w:r>
          </w:p>
          <w:p w:rsidR="00AC17AF" w:rsidRPr="007A7801" w:rsidRDefault="00AC17AF" w:rsidP="00AC17AF">
            <w:pPr>
              <w:rPr>
                <w:sz w:val="20"/>
                <w:szCs w:val="20"/>
              </w:rPr>
            </w:pPr>
            <w:r w:rsidRPr="007A7801">
              <w:rPr>
                <w:sz w:val="20"/>
                <w:szCs w:val="20"/>
              </w:rPr>
              <w:t>- Upgrading vocational education through mechanisms of lifelong guidance and validation of acquired skills.</w:t>
            </w:r>
          </w:p>
          <w:p w:rsidR="00AC17AF" w:rsidRPr="007A7801" w:rsidRDefault="00AC17AF" w:rsidP="00AC17AF">
            <w:pPr>
              <w:rPr>
                <w:sz w:val="20"/>
                <w:szCs w:val="20"/>
              </w:rPr>
            </w:pPr>
            <w:r w:rsidRPr="007A7801">
              <w:rPr>
                <w:sz w:val="20"/>
                <w:szCs w:val="20"/>
              </w:rPr>
              <w:t>- Expansion of the Zones of Educational Priority (ZEP). In the ZEP schools a series of extra support measures are implemented.</w:t>
            </w:r>
          </w:p>
          <w:p w:rsidR="00AC17AF" w:rsidRPr="007A7801" w:rsidRDefault="00AC17AF" w:rsidP="00AC17AF">
            <w:pPr>
              <w:rPr>
                <w:sz w:val="20"/>
                <w:szCs w:val="20"/>
              </w:rPr>
            </w:pPr>
            <w:r w:rsidRPr="007A7801">
              <w:rPr>
                <w:sz w:val="20"/>
                <w:szCs w:val="20"/>
              </w:rPr>
              <w:t xml:space="preserve">- Establishment of a Committee of Direct Intervention to address the problem of violent and antisocial behavior in a holistic approach. </w:t>
            </w:r>
          </w:p>
        </w:tc>
        <w:tc>
          <w:tcPr>
            <w:tcW w:w="1808" w:type="dxa"/>
          </w:tcPr>
          <w:p w:rsidR="00AC17AF" w:rsidRPr="007A7801" w:rsidRDefault="00AC17AF" w:rsidP="00AC17AF">
            <w:pPr>
              <w:jc w:val="center"/>
              <w:rPr>
                <w:b/>
                <w:sz w:val="20"/>
                <w:szCs w:val="20"/>
                <w:u w:val="single"/>
              </w:rPr>
            </w:pPr>
            <w:r w:rsidRPr="007A7801">
              <w:rPr>
                <w:b/>
                <w:sz w:val="20"/>
                <w:szCs w:val="20"/>
                <w:u w:val="single"/>
              </w:rPr>
              <w:t>September 2009</w:t>
            </w:r>
          </w:p>
          <w:p w:rsidR="00AC17AF" w:rsidRPr="007A7801" w:rsidRDefault="00AC17AF" w:rsidP="00AC17AF">
            <w:pPr>
              <w:jc w:val="center"/>
              <w:rPr>
                <w:sz w:val="20"/>
                <w:szCs w:val="20"/>
              </w:rPr>
            </w:pPr>
            <w:r w:rsidRPr="007A7801">
              <w:rPr>
                <w:sz w:val="20"/>
                <w:szCs w:val="20"/>
              </w:rPr>
              <w:t>The ZEPs were expended to 20 schools (8 kindergartens a, 8 elementary schools 4 gymnasiums)</w:t>
            </w:r>
          </w:p>
          <w:p w:rsidR="00AC17AF" w:rsidRPr="007A7801" w:rsidRDefault="00AC17AF" w:rsidP="00AC17AF">
            <w:pPr>
              <w:jc w:val="center"/>
              <w:rPr>
                <w:sz w:val="20"/>
                <w:szCs w:val="20"/>
              </w:rPr>
            </w:pPr>
          </w:p>
          <w:p w:rsidR="00AC17AF" w:rsidRPr="007A7801" w:rsidRDefault="00AC17AF" w:rsidP="00AC17AF">
            <w:pPr>
              <w:jc w:val="center"/>
              <w:rPr>
                <w:b/>
                <w:sz w:val="20"/>
                <w:szCs w:val="20"/>
                <w:u w:val="single"/>
              </w:rPr>
            </w:pPr>
            <w:r w:rsidRPr="007A7801">
              <w:rPr>
                <w:b/>
                <w:sz w:val="20"/>
                <w:szCs w:val="20"/>
                <w:u w:val="single"/>
              </w:rPr>
              <w:t>September 2010</w:t>
            </w:r>
          </w:p>
          <w:p w:rsidR="00AC17AF" w:rsidRPr="007A7801" w:rsidRDefault="00AC17AF" w:rsidP="00AC17AF">
            <w:pPr>
              <w:jc w:val="center"/>
              <w:rPr>
                <w:sz w:val="20"/>
                <w:szCs w:val="20"/>
              </w:rPr>
            </w:pPr>
            <w:r w:rsidRPr="007A7801">
              <w:rPr>
                <w:sz w:val="20"/>
                <w:szCs w:val="20"/>
              </w:rPr>
              <w:t>An additional ZEP was established in the area of Lemesos.</w:t>
            </w:r>
          </w:p>
          <w:p w:rsidR="00AC17AF" w:rsidRPr="007A7801" w:rsidRDefault="00AC17AF" w:rsidP="00AC17AF">
            <w:pPr>
              <w:jc w:val="center"/>
              <w:rPr>
                <w:b/>
                <w:sz w:val="20"/>
                <w:szCs w:val="20"/>
                <w:u w:val="single"/>
              </w:rPr>
            </w:pPr>
            <w:r w:rsidRPr="007A7801">
              <w:rPr>
                <w:b/>
                <w:sz w:val="20"/>
                <w:szCs w:val="20"/>
                <w:u w:val="single"/>
              </w:rPr>
              <w:t>September 2012</w:t>
            </w:r>
          </w:p>
          <w:p w:rsidR="00AC17AF" w:rsidRPr="007A7801" w:rsidRDefault="00AC17AF" w:rsidP="00AC17AF">
            <w:pPr>
              <w:jc w:val="center"/>
              <w:rPr>
                <w:b/>
                <w:sz w:val="20"/>
                <w:szCs w:val="20"/>
                <w:u w:val="single"/>
              </w:rPr>
            </w:pPr>
            <w:r w:rsidRPr="007A7801">
              <w:rPr>
                <w:sz w:val="20"/>
                <w:szCs w:val="20"/>
              </w:rPr>
              <w:t>The ZEPs will expand to cover also upper secondary education (Lyceum)</w:t>
            </w:r>
          </w:p>
          <w:p w:rsidR="00AC17AF" w:rsidRPr="007A7801" w:rsidRDefault="00AC17AF" w:rsidP="00AC17AF">
            <w:pPr>
              <w:jc w:val="center"/>
              <w:rPr>
                <w:b/>
                <w:sz w:val="20"/>
                <w:szCs w:val="20"/>
                <w:u w:val="single"/>
              </w:rPr>
            </w:pPr>
          </w:p>
        </w:tc>
        <w:tc>
          <w:tcPr>
            <w:tcW w:w="1276" w:type="dxa"/>
          </w:tcPr>
          <w:p w:rsidR="00AC17AF" w:rsidRPr="007A7801" w:rsidRDefault="00AC17AF" w:rsidP="00AC17AF">
            <w:pPr>
              <w:jc w:val="center"/>
              <w:rPr>
                <w:sz w:val="20"/>
                <w:szCs w:val="20"/>
              </w:rPr>
            </w:pPr>
            <w:r w:rsidRPr="007A7801">
              <w:rPr>
                <w:sz w:val="20"/>
                <w:szCs w:val="20"/>
              </w:rPr>
              <w:t>-National Funds -Part of the operational costs for the ZEP  is financed by ESF (2007-2013 programming period)</w:t>
            </w:r>
            <w:r w:rsidR="0064223B">
              <w:rPr>
                <w:sz w:val="20"/>
                <w:szCs w:val="20"/>
              </w:rPr>
              <w:t>.</w:t>
            </w:r>
          </w:p>
        </w:tc>
        <w:tc>
          <w:tcPr>
            <w:tcW w:w="1162" w:type="dxa"/>
          </w:tcPr>
          <w:p w:rsidR="00AC17AF" w:rsidRPr="007A7801" w:rsidRDefault="00AC17AF" w:rsidP="00AC17AF">
            <w:pPr>
              <w:jc w:val="center"/>
              <w:rPr>
                <w:sz w:val="20"/>
                <w:szCs w:val="20"/>
              </w:rPr>
            </w:pPr>
          </w:p>
        </w:tc>
        <w:tc>
          <w:tcPr>
            <w:tcW w:w="1711" w:type="dxa"/>
          </w:tcPr>
          <w:p w:rsidR="00AC17AF" w:rsidRPr="007A7801" w:rsidRDefault="00AC17AF" w:rsidP="00AC17AF">
            <w:pPr>
              <w:jc w:val="center"/>
              <w:rPr>
                <w:sz w:val="20"/>
                <w:szCs w:val="20"/>
              </w:rPr>
            </w:pPr>
            <w:r w:rsidRPr="007A7801">
              <w:rPr>
                <w:sz w:val="20"/>
                <w:szCs w:val="20"/>
              </w:rPr>
              <w:t>15% of the total student population to be enrolled in an educational establishment that belongs to a ZEP.</w:t>
            </w:r>
          </w:p>
        </w:tc>
      </w:tr>
      <w:tr w:rsidR="00AC17AF" w:rsidRPr="007A7801" w:rsidTr="006C2BEE">
        <w:trPr>
          <w:cantSplit/>
          <w:jc w:val="center"/>
        </w:trPr>
        <w:tc>
          <w:tcPr>
            <w:tcW w:w="1945" w:type="dxa"/>
            <w:tcBorders>
              <w:bottom w:val="single" w:sz="4" w:space="0" w:color="auto"/>
            </w:tcBorders>
          </w:tcPr>
          <w:p w:rsidR="00AC17AF" w:rsidRPr="007A7801" w:rsidRDefault="00AC17AF" w:rsidP="00AC17AF">
            <w:pPr>
              <w:rPr>
                <w:b/>
                <w:sz w:val="20"/>
                <w:szCs w:val="20"/>
              </w:rPr>
            </w:pPr>
            <w:r w:rsidRPr="007A7801">
              <w:rPr>
                <w:b/>
                <w:sz w:val="20"/>
                <w:szCs w:val="20"/>
              </w:rPr>
              <w:t xml:space="preserve">Restructuring Secondary Technical and Vocational Education  </w:t>
            </w:r>
          </w:p>
        </w:tc>
        <w:tc>
          <w:tcPr>
            <w:tcW w:w="1445" w:type="dxa"/>
            <w:tcBorders>
              <w:bottom w:val="single" w:sz="4" w:space="0" w:color="auto"/>
            </w:tcBorders>
          </w:tcPr>
          <w:p w:rsidR="00AC17AF" w:rsidRPr="007A7801" w:rsidRDefault="00AC17AF" w:rsidP="00AC17AF">
            <w:pPr>
              <w:jc w:val="center"/>
              <w:rPr>
                <w:sz w:val="20"/>
                <w:szCs w:val="20"/>
              </w:rPr>
            </w:pPr>
            <w:r w:rsidRPr="007A7801">
              <w:rPr>
                <w:sz w:val="20"/>
                <w:szCs w:val="20"/>
              </w:rPr>
              <w:t>Improve Education and Training Systems</w:t>
            </w:r>
          </w:p>
        </w:tc>
        <w:tc>
          <w:tcPr>
            <w:tcW w:w="1249" w:type="dxa"/>
            <w:tcBorders>
              <w:bottom w:val="single" w:sz="4" w:space="0" w:color="auto"/>
            </w:tcBorders>
          </w:tcPr>
          <w:p w:rsidR="00AC17AF" w:rsidRPr="007A7801" w:rsidRDefault="00AC17AF" w:rsidP="00AC17AF">
            <w:pPr>
              <w:jc w:val="center"/>
              <w:rPr>
                <w:sz w:val="20"/>
                <w:szCs w:val="20"/>
              </w:rPr>
            </w:pPr>
            <w:r w:rsidRPr="007A7801">
              <w:rPr>
                <w:sz w:val="20"/>
                <w:szCs w:val="20"/>
              </w:rPr>
              <w:t>Ministry of Education and Culture</w:t>
            </w:r>
          </w:p>
        </w:tc>
        <w:tc>
          <w:tcPr>
            <w:tcW w:w="4280" w:type="dxa"/>
            <w:tcBorders>
              <w:bottom w:val="single" w:sz="4" w:space="0" w:color="auto"/>
            </w:tcBorders>
          </w:tcPr>
          <w:p w:rsidR="00AC17AF" w:rsidRPr="007A7801" w:rsidRDefault="00AC17AF" w:rsidP="00AC17AF">
            <w:pPr>
              <w:rPr>
                <w:sz w:val="20"/>
                <w:szCs w:val="20"/>
              </w:rPr>
            </w:pPr>
            <w:r w:rsidRPr="007A7801">
              <w:rPr>
                <w:sz w:val="20"/>
                <w:szCs w:val="20"/>
              </w:rPr>
              <w:t>Adoption of the labor force skills to labor demand restructuring.</w:t>
            </w:r>
          </w:p>
          <w:p w:rsidR="00AC17AF" w:rsidRPr="007A7801" w:rsidRDefault="00AC17AF" w:rsidP="00AC17AF">
            <w:pPr>
              <w:rPr>
                <w:sz w:val="20"/>
                <w:szCs w:val="20"/>
              </w:rPr>
            </w:pPr>
          </w:p>
          <w:p w:rsidR="00AC17AF" w:rsidRPr="007A7801" w:rsidRDefault="00AC17AF" w:rsidP="00AC17AF">
            <w:pPr>
              <w:rPr>
                <w:sz w:val="20"/>
                <w:szCs w:val="20"/>
              </w:rPr>
            </w:pPr>
            <w:r w:rsidRPr="007A7801">
              <w:rPr>
                <w:sz w:val="20"/>
                <w:szCs w:val="20"/>
              </w:rPr>
              <w:t xml:space="preserve">Increase attractiveness of TVE and match the specializations offered with the current needs of the labor market.  </w:t>
            </w:r>
          </w:p>
        </w:tc>
        <w:tc>
          <w:tcPr>
            <w:tcW w:w="1808" w:type="dxa"/>
            <w:tcBorders>
              <w:bottom w:val="single" w:sz="4" w:space="0" w:color="auto"/>
            </w:tcBorders>
          </w:tcPr>
          <w:p w:rsidR="00AC17AF" w:rsidRPr="00772BED" w:rsidRDefault="00602DA7" w:rsidP="00AC17AF">
            <w:pPr>
              <w:jc w:val="center"/>
              <w:rPr>
                <w:b/>
                <w:sz w:val="20"/>
                <w:szCs w:val="20"/>
              </w:rPr>
            </w:pPr>
            <w:r w:rsidRPr="00602DA7">
              <w:rPr>
                <w:b/>
                <w:sz w:val="20"/>
                <w:szCs w:val="20"/>
              </w:rPr>
              <w:t>September 2008 - September 2011</w:t>
            </w:r>
          </w:p>
          <w:p w:rsidR="00AC17AF" w:rsidRPr="007A7801" w:rsidRDefault="00AC17AF" w:rsidP="00AC17AF">
            <w:pPr>
              <w:jc w:val="center"/>
              <w:rPr>
                <w:color w:val="231F20"/>
                <w:sz w:val="20"/>
                <w:szCs w:val="20"/>
              </w:rPr>
            </w:pPr>
          </w:p>
          <w:p w:rsidR="00AC17AF" w:rsidRPr="007A7801" w:rsidRDefault="00AC17AF" w:rsidP="00AC17AF">
            <w:pPr>
              <w:jc w:val="center"/>
              <w:rPr>
                <w:b/>
                <w:sz w:val="20"/>
                <w:szCs w:val="20"/>
                <w:u w:val="single"/>
              </w:rPr>
            </w:pPr>
          </w:p>
        </w:tc>
        <w:tc>
          <w:tcPr>
            <w:tcW w:w="1276" w:type="dxa"/>
            <w:tcBorders>
              <w:bottom w:val="single" w:sz="4" w:space="0" w:color="auto"/>
            </w:tcBorders>
          </w:tcPr>
          <w:p w:rsidR="00AC17AF" w:rsidRPr="007A7801" w:rsidRDefault="00AC17AF" w:rsidP="00AC17AF">
            <w:pPr>
              <w:jc w:val="center"/>
              <w:rPr>
                <w:sz w:val="20"/>
                <w:szCs w:val="20"/>
              </w:rPr>
            </w:pPr>
            <w:r w:rsidRPr="007A7801">
              <w:rPr>
                <w:sz w:val="20"/>
                <w:szCs w:val="20"/>
              </w:rPr>
              <w:t>National Funds</w:t>
            </w:r>
          </w:p>
          <w:p w:rsidR="00AC17AF" w:rsidRPr="007A7801" w:rsidRDefault="00AC17AF" w:rsidP="00AC17AF">
            <w:pPr>
              <w:jc w:val="center"/>
              <w:rPr>
                <w:sz w:val="20"/>
                <w:szCs w:val="20"/>
              </w:rPr>
            </w:pPr>
            <w:r w:rsidRPr="007A7801">
              <w:rPr>
                <w:sz w:val="20"/>
                <w:szCs w:val="20"/>
              </w:rPr>
              <w:t>The option of including the aforementioned action to the 2007-2013 EFS programming period is currently examined by MOEC.</w:t>
            </w:r>
          </w:p>
          <w:p w:rsidR="00AC17AF" w:rsidRPr="007A7801" w:rsidRDefault="00AC17AF" w:rsidP="00AC17AF">
            <w:pPr>
              <w:jc w:val="center"/>
              <w:rPr>
                <w:sz w:val="20"/>
                <w:szCs w:val="20"/>
              </w:rPr>
            </w:pPr>
          </w:p>
        </w:tc>
        <w:tc>
          <w:tcPr>
            <w:tcW w:w="1162" w:type="dxa"/>
            <w:tcBorders>
              <w:bottom w:val="single" w:sz="4" w:space="0" w:color="auto"/>
            </w:tcBorders>
          </w:tcPr>
          <w:p w:rsidR="00AC17AF" w:rsidRPr="007A7801" w:rsidRDefault="00AC17AF" w:rsidP="00AC17AF">
            <w:pPr>
              <w:jc w:val="center"/>
              <w:rPr>
                <w:sz w:val="20"/>
                <w:szCs w:val="20"/>
              </w:rPr>
            </w:pPr>
          </w:p>
        </w:tc>
        <w:tc>
          <w:tcPr>
            <w:tcW w:w="1711" w:type="dxa"/>
            <w:tcBorders>
              <w:bottom w:val="single" w:sz="4" w:space="0" w:color="auto"/>
            </w:tcBorders>
          </w:tcPr>
          <w:p w:rsidR="00AC17AF" w:rsidRPr="007A7801" w:rsidRDefault="00AC17AF" w:rsidP="00AC17AF">
            <w:pPr>
              <w:jc w:val="center"/>
              <w:rPr>
                <w:sz w:val="20"/>
                <w:szCs w:val="20"/>
              </w:rPr>
            </w:pPr>
            <w:r w:rsidRPr="007A7801">
              <w:rPr>
                <w:sz w:val="20"/>
                <w:szCs w:val="20"/>
              </w:rPr>
              <w:t>-The establishment of Post Secondary Educational Institutions for Technical and Vocational Training.</w:t>
            </w:r>
          </w:p>
          <w:p w:rsidR="00AC17AF" w:rsidRPr="007A7801" w:rsidRDefault="00AC17AF" w:rsidP="00AC17AF">
            <w:pPr>
              <w:jc w:val="center"/>
              <w:rPr>
                <w:sz w:val="20"/>
                <w:szCs w:val="20"/>
              </w:rPr>
            </w:pPr>
          </w:p>
          <w:p w:rsidR="00AC17AF" w:rsidRDefault="00AC17AF" w:rsidP="00AC17AF">
            <w:pPr>
              <w:jc w:val="center"/>
              <w:rPr>
                <w:sz w:val="20"/>
                <w:szCs w:val="20"/>
              </w:rPr>
            </w:pPr>
            <w:r w:rsidRPr="007A7801">
              <w:rPr>
                <w:sz w:val="20"/>
                <w:szCs w:val="20"/>
              </w:rPr>
              <w:t>-The development of a new curriculum for Upper Secondary and Technical Vocational Education by 2015.</w:t>
            </w:r>
          </w:p>
          <w:p w:rsidR="00C46D30" w:rsidRDefault="00C46D30" w:rsidP="00AC17AF">
            <w:pPr>
              <w:jc w:val="center"/>
              <w:rPr>
                <w:sz w:val="20"/>
                <w:szCs w:val="20"/>
              </w:rPr>
            </w:pPr>
          </w:p>
          <w:p w:rsidR="00C46D30" w:rsidRDefault="00C46D30" w:rsidP="00AC17AF">
            <w:pPr>
              <w:jc w:val="center"/>
              <w:rPr>
                <w:sz w:val="20"/>
                <w:szCs w:val="20"/>
              </w:rPr>
            </w:pPr>
          </w:p>
          <w:p w:rsidR="00733868" w:rsidRPr="007A7801" w:rsidRDefault="00733868" w:rsidP="00AC17AF">
            <w:pPr>
              <w:jc w:val="center"/>
              <w:rPr>
                <w:sz w:val="20"/>
                <w:szCs w:val="20"/>
              </w:rPr>
            </w:pPr>
          </w:p>
          <w:p w:rsidR="00AC17AF" w:rsidRPr="007A7801" w:rsidRDefault="00AC17AF" w:rsidP="00AC17AF">
            <w:pPr>
              <w:jc w:val="center"/>
              <w:rPr>
                <w:sz w:val="20"/>
                <w:szCs w:val="20"/>
              </w:rPr>
            </w:pPr>
          </w:p>
        </w:tc>
      </w:tr>
    </w:tbl>
    <w:p w:rsidR="00C46D30" w:rsidRDefault="00C46D30" w:rsidP="00AC17AF">
      <w:pPr>
        <w:jc w:val="center"/>
        <w:rPr>
          <w:b/>
          <w:bCs/>
          <w:sz w:val="22"/>
          <w:szCs w:val="22"/>
        </w:rPr>
        <w:sectPr w:rsidR="00C46D30" w:rsidSect="00326D6D">
          <w:pgSz w:w="15840" w:h="12240" w:orient="landscape"/>
          <w:pgMar w:top="1440" w:right="1418"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4876"/>
      </w:tblGrid>
      <w:tr w:rsidR="00AC17AF" w:rsidRPr="007A7801" w:rsidTr="006C2BEE">
        <w:trPr>
          <w:cantSplit/>
          <w:trHeight w:val="454"/>
          <w:jc w:val="center"/>
        </w:trPr>
        <w:tc>
          <w:tcPr>
            <w:tcW w:w="14876" w:type="dxa"/>
            <w:shd w:val="clear" w:color="auto" w:fill="D9D9D9"/>
            <w:vAlign w:val="center"/>
          </w:tcPr>
          <w:p w:rsidR="00AC17AF" w:rsidRPr="007A7801" w:rsidRDefault="00AC17AF" w:rsidP="00AC17AF">
            <w:pPr>
              <w:jc w:val="center"/>
              <w:rPr>
                <w:b/>
                <w:sz w:val="22"/>
                <w:szCs w:val="22"/>
              </w:rPr>
            </w:pPr>
            <w:r w:rsidRPr="007A7801">
              <w:rPr>
                <w:b/>
                <w:bCs/>
                <w:sz w:val="22"/>
                <w:szCs w:val="22"/>
              </w:rPr>
              <w:lastRenderedPageBreak/>
              <w:t>4</w:t>
            </w:r>
            <w:r w:rsidR="00F86D8D">
              <w:rPr>
                <w:b/>
                <w:bCs/>
                <w:sz w:val="22"/>
                <w:szCs w:val="22"/>
              </w:rPr>
              <w:t>.</w:t>
            </w:r>
            <w:r w:rsidRPr="007A7801">
              <w:rPr>
                <w:b/>
                <w:bCs/>
                <w:sz w:val="22"/>
                <w:szCs w:val="22"/>
              </w:rPr>
              <w:t xml:space="preserve"> Improve Attractiveness of Work/Gender Equality</w:t>
            </w:r>
          </w:p>
        </w:tc>
      </w:tr>
    </w:tbl>
    <w:p w:rsidR="00326D6D" w:rsidRPr="00C46D30" w:rsidRDefault="00326D6D" w:rsidP="00AC17AF">
      <w:pPr>
        <w:rPr>
          <w:b/>
          <w:sz w:val="20"/>
          <w:szCs w:val="20"/>
        </w:rPr>
        <w:sectPr w:rsidR="00326D6D" w:rsidRPr="00C46D30" w:rsidSect="00C46D30">
          <w:type w:val="continuous"/>
          <w:pgSz w:w="15840" w:h="12240" w:orient="landscape"/>
          <w:pgMar w:top="1440" w:right="1418"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162"/>
        <w:gridCol w:w="1711"/>
      </w:tblGrid>
      <w:tr w:rsidR="00AC17AF" w:rsidRPr="007A7801" w:rsidTr="006C2BEE">
        <w:trPr>
          <w:cantSplit/>
          <w:jc w:val="center"/>
        </w:trPr>
        <w:tc>
          <w:tcPr>
            <w:tcW w:w="1945" w:type="dxa"/>
            <w:tcBorders>
              <w:bottom w:val="single" w:sz="4" w:space="0" w:color="auto"/>
            </w:tcBorders>
          </w:tcPr>
          <w:p w:rsidR="00AC17AF" w:rsidRPr="007A7801" w:rsidRDefault="00772BED" w:rsidP="00AC17AF">
            <w:pPr>
              <w:rPr>
                <w:b/>
                <w:sz w:val="20"/>
                <w:szCs w:val="20"/>
                <w:lang w:val="en-GB"/>
              </w:rPr>
            </w:pPr>
            <w:r>
              <w:rPr>
                <w:b/>
                <w:sz w:val="20"/>
                <w:szCs w:val="20"/>
                <w:lang w:val="en-GB"/>
              </w:rPr>
              <w:lastRenderedPageBreak/>
              <w:t>Hea</w:t>
            </w:r>
            <w:r w:rsidR="00AC17AF" w:rsidRPr="007A7801">
              <w:rPr>
                <w:b/>
                <w:sz w:val="20"/>
                <w:szCs w:val="20"/>
                <w:lang w:val="en-GB"/>
              </w:rPr>
              <w:t>lth and safety at work</w:t>
            </w:r>
          </w:p>
        </w:tc>
        <w:tc>
          <w:tcPr>
            <w:tcW w:w="1445" w:type="dxa"/>
            <w:tcBorders>
              <w:bottom w:val="single" w:sz="4" w:space="0" w:color="auto"/>
            </w:tcBorders>
          </w:tcPr>
          <w:p w:rsidR="00AC17AF" w:rsidRPr="007A7801" w:rsidRDefault="00AC17AF" w:rsidP="00AC17AF">
            <w:pPr>
              <w:jc w:val="center"/>
              <w:rPr>
                <w:sz w:val="20"/>
                <w:szCs w:val="20"/>
              </w:rPr>
            </w:pPr>
            <w:r w:rsidRPr="007A7801">
              <w:rPr>
                <w:sz w:val="20"/>
                <w:szCs w:val="20"/>
              </w:rPr>
              <w:t>Improve attractiveness of work</w:t>
            </w:r>
          </w:p>
        </w:tc>
        <w:tc>
          <w:tcPr>
            <w:tcW w:w="1249" w:type="dxa"/>
            <w:tcBorders>
              <w:bottom w:val="single" w:sz="4" w:space="0" w:color="auto"/>
            </w:tcBorders>
          </w:tcPr>
          <w:p w:rsidR="00AC17AF" w:rsidRPr="007A7801" w:rsidRDefault="00AC17AF" w:rsidP="00AC17AF">
            <w:pPr>
              <w:jc w:val="center"/>
              <w:rPr>
                <w:sz w:val="20"/>
                <w:szCs w:val="20"/>
                <w:lang w:val="en-GB"/>
              </w:rPr>
            </w:pPr>
            <w:r w:rsidRPr="007A7801">
              <w:rPr>
                <w:sz w:val="20"/>
                <w:szCs w:val="20"/>
                <w:lang w:val="en-GB"/>
              </w:rPr>
              <w:t>Human Resource Develo-</w:t>
            </w:r>
          </w:p>
          <w:p w:rsidR="00AC17AF" w:rsidRPr="007A7801" w:rsidRDefault="00AC17AF" w:rsidP="00AC17AF">
            <w:pPr>
              <w:jc w:val="center"/>
              <w:rPr>
                <w:sz w:val="20"/>
                <w:szCs w:val="20"/>
                <w:lang w:val="en-GB"/>
              </w:rPr>
            </w:pPr>
            <w:r w:rsidRPr="007A7801">
              <w:rPr>
                <w:sz w:val="20"/>
                <w:szCs w:val="20"/>
                <w:lang w:val="en-GB"/>
              </w:rPr>
              <w:t>pment Authority</w:t>
            </w:r>
          </w:p>
          <w:p w:rsidR="00AC17AF" w:rsidRPr="007A7801" w:rsidRDefault="00AC17AF" w:rsidP="00AC17AF">
            <w:pPr>
              <w:jc w:val="center"/>
              <w:rPr>
                <w:sz w:val="20"/>
                <w:szCs w:val="20"/>
              </w:rPr>
            </w:pPr>
            <w:r w:rsidRPr="007A7801">
              <w:rPr>
                <w:sz w:val="20"/>
                <w:szCs w:val="20"/>
                <w:lang w:val="en-GB"/>
              </w:rPr>
              <w:t>(HRDA)</w:t>
            </w:r>
          </w:p>
        </w:tc>
        <w:tc>
          <w:tcPr>
            <w:tcW w:w="4280" w:type="dxa"/>
            <w:tcBorders>
              <w:bottom w:val="single" w:sz="4" w:space="0" w:color="auto"/>
            </w:tcBorders>
          </w:tcPr>
          <w:p w:rsidR="00AC17AF" w:rsidRPr="007A7801" w:rsidRDefault="00AC17AF" w:rsidP="00AC17AF">
            <w:pPr>
              <w:rPr>
                <w:sz w:val="20"/>
                <w:szCs w:val="20"/>
              </w:rPr>
            </w:pPr>
            <w:r w:rsidRPr="007A7801">
              <w:rPr>
                <w:sz w:val="20"/>
                <w:szCs w:val="20"/>
                <w:lang w:val="en-GB"/>
              </w:rPr>
              <w:t xml:space="preserve">The HRDA supports financially a large number of training programmes which are delivered by training institutions and companies on the issue of health and safety at work. </w:t>
            </w:r>
            <w:r w:rsidR="00772BED">
              <w:rPr>
                <w:sz w:val="20"/>
                <w:szCs w:val="20"/>
                <w:lang w:val="en-GB"/>
              </w:rPr>
              <w:t>T</w:t>
            </w:r>
            <w:r w:rsidRPr="007A7801">
              <w:rPr>
                <w:sz w:val="20"/>
                <w:szCs w:val="20"/>
                <w:lang w:val="en-GB"/>
              </w:rPr>
              <w:t xml:space="preserve">he HRDA </w:t>
            </w:r>
            <w:r w:rsidR="00772BED">
              <w:rPr>
                <w:sz w:val="20"/>
                <w:szCs w:val="20"/>
                <w:lang w:val="en-GB"/>
              </w:rPr>
              <w:t xml:space="preserve">also </w:t>
            </w:r>
            <w:r w:rsidRPr="007A7801">
              <w:rPr>
                <w:sz w:val="20"/>
                <w:szCs w:val="20"/>
                <w:lang w:val="en-GB"/>
              </w:rPr>
              <w:t>implements an accelerated training scheme for newly recruited people in the labour market in the construction, quarrying and port sectors on this issue.</w:t>
            </w:r>
            <w:r w:rsidRPr="007A7801">
              <w:rPr>
                <w:b/>
                <w:sz w:val="20"/>
                <w:szCs w:val="20"/>
              </w:rPr>
              <w:t xml:space="preserve"> </w:t>
            </w:r>
          </w:p>
        </w:tc>
        <w:tc>
          <w:tcPr>
            <w:tcW w:w="1808" w:type="dxa"/>
            <w:tcBorders>
              <w:bottom w:val="single" w:sz="4" w:space="0" w:color="auto"/>
            </w:tcBorders>
          </w:tcPr>
          <w:p w:rsidR="00AC17AF" w:rsidRPr="007A7801" w:rsidRDefault="00AC17AF" w:rsidP="00AC17AF">
            <w:pPr>
              <w:jc w:val="center"/>
              <w:rPr>
                <w:sz w:val="20"/>
                <w:szCs w:val="20"/>
              </w:rPr>
            </w:pPr>
            <w:r w:rsidRPr="007A7801">
              <w:rPr>
                <w:sz w:val="20"/>
                <w:szCs w:val="20"/>
              </w:rPr>
              <w:t>On-going</w:t>
            </w:r>
          </w:p>
        </w:tc>
        <w:tc>
          <w:tcPr>
            <w:tcW w:w="1276" w:type="dxa"/>
            <w:tcBorders>
              <w:bottom w:val="single" w:sz="4" w:space="0" w:color="auto"/>
            </w:tcBorders>
          </w:tcPr>
          <w:p w:rsidR="00AC17AF" w:rsidRPr="007A7801" w:rsidRDefault="00AC17AF" w:rsidP="00AC17AF">
            <w:pPr>
              <w:jc w:val="center"/>
              <w:rPr>
                <w:sz w:val="20"/>
                <w:szCs w:val="20"/>
              </w:rPr>
            </w:pPr>
            <w:r w:rsidRPr="007A7801">
              <w:rPr>
                <w:sz w:val="20"/>
                <w:szCs w:val="20"/>
                <w:lang w:val="en-GB"/>
              </w:rPr>
              <w:t>€50.000 for 2011</w:t>
            </w:r>
          </w:p>
        </w:tc>
        <w:tc>
          <w:tcPr>
            <w:tcW w:w="1162" w:type="dxa"/>
            <w:tcBorders>
              <w:bottom w:val="single" w:sz="4" w:space="0" w:color="auto"/>
            </w:tcBorders>
          </w:tcPr>
          <w:p w:rsidR="00AC17AF" w:rsidRPr="007A7801" w:rsidRDefault="00AC17AF" w:rsidP="00AC17AF">
            <w:pPr>
              <w:jc w:val="center"/>
              <w:rPr>
                <w:sz w:val="20"/>
                <w:szCs w:val="20"/>
              </w:rPr>
            </w:pPr>
          </w:p>
        </w:tc>
        <w:tc>
          <w:tcPr>
            <w:tcW w:w="1711" w:type="dxa"/>
            <w:tcBorders>
              <w:bottom w:val="single" w:sz="4" w:space="0" w:color="auto"/>
            </w:tcBorders>
          </w:tcPr>
          <w:p w:rsidR="00AC17AF" w:rsidRPr="007A7801" w:rsidRDefault="00AC17AF" w:rsidP="00AC17AF">
            <w:pPr>
              <w:jc w:val="center"/>
              <w:rPr>
                <w:sz w:val="20"/>
                <w:szCs w:val="20"/>
              </w:rPr>
            </w:pPr>
            <w:r w:rsidRPr="007A7801">
              <w:rPr>
                <w:sz w:val="20"/>
                <w:szCs w:val="20"/>
              </w:rPr>
              <w:t>500 persons in 2011</w:t>
            </w:r>
          </w:p>
        </w:tc>
      </w:tr>
      <w:tr w:rsidR="00AC17AF" w:rsidRPr="007A7801" w:rsidTr="006C2BEE">
        <w:trPr>
          <w:cantSplit/>
          <w:jc w:val="center"/>
        </w:trPr>
        <w:tc>
          <w:tcPr>
            <w:tcW w:w="1945" w:type="dxa"/>
          </w:tcPr>
          <w:p w:rsidR="00AC17AF" w:rsidRPr="007A7801" w:rsidRDefault="00AC17AF" w:rsidP="00AC17AF">
            <w:pPr>
              <w:rPr>
                <w:b/>
                <w:bCs/>
                <w:sz w:val="20"/>
                <w:szCs w:val="20"/>
              </w:rPr>
            </w:pPr>
            <w:r w:rsidRPr="007A7801">
              <w:rPr>
                <w:b/>
                <w:bCs/>
                <w:sz w:val="20"/>
                <w:szCs w:val="20"/>
              </w:rPr>
              <w:t>Reduce gender pay gap</w:t>
            </w:r>
          </w:p>
        </w:tc>
        <w:tc>
          <w:tcPr>
            <w:tcW w:w="1445" w:type="dxa"/>
          </w:tcPr>
          <w:p w:rsidR="00AC17AF" w:rsidRPr="007A7801" w:rsidRDefault="00AC17AF" w:rsidP="00AC17AF">
            <w:pPr>
              <w:jc w:val="center"/>
              <w:rPr>
                <w:sz w:val="20"/>
                <w:szCs w:val="20"/>
              </w:rPr>
            </w:pPr>
            <w:r w:rsidRPr="007A7801">
              <w:rPr>
                <w:sz w:val="20"/>
                <w:szCs w:val="20"/>
              </w:rPr>
              <w:t>Improve attractiveness of work</w:t>
            </w:r>
          </w:p>
          <w:p w:rsidR="00AC17AF" w:rsidRPr="007A7801" w:rsidRDefault="00AC17AF" w:rsidP="00AC17AF">
            <w:pPr>
              <w:jc w:val="center"/>
              <w:rPr>
                <w:sz w:val="20"/>
                <w:szCs w:val="20"/>
              </w:rPr>
            </w:pPr>
            <w:r w:rsidRPr="007A7801">
              <w:rPr>
                <w:sz w:val="20"/>
                <w:szCs w:val="20"/>
              </w:rPr>
              <w:t>(Gender equality)</w:t>
            </w:r>
          </w:p>
        </w:tc>
        <w:tc>
          <w:tcPr>
            <w:tcW w:w="1249" w:type="dxa"/>
          </w:tcPr>
          <w:p w:rsidR="00AC17AF" w:rsidRPr="007A7801" w:rsidRDefault="00AC17AF" w:rsidP="00AC17AF">
            <w:pPr>
              <w:jc w:val="center"/>
              <w:rPr>
                <w:sz w:val="20"/>
                <w:szCs w:val="20"/>
              </w:rPr>
            </w:pPr>
            <w:r w:rsidRPr="007A7801">
              <w:rPr>
                <w:sz w:val="20"/>
                <w:szCs w:val="20"/>
              </w:rPr>
              <w:t>Department of Labour Relations</w:t>
            </w:r>
          </w:p>
        </w:tc>
        <w:tc>
          <w:tcPr>
            <w:tcW w:w="4280" w:type="dxa"/>
          </w:tcPr>
          <w:p w:rsidR="00AC17AF" w:rsidRPr="007A7801" w:rsidRDefault="00AC17AF" w:rsidP="00AC17AF">
            <w:pPr>
              <w:rPr>
                <w:sz w:val="20"/>
                <w:szCs w:val="20"/>
              </w:rPr>
            </w:pPr>
            <w:r w:rsidRPr="007A7801">
              <w:rPr>
                <w:sz w:val="20"/>
                <w:szCs w:val="20"/>
                <w:lang w:val="en-GB"/>
              </w:rPr>
              <w:t xml:space="preserve">Reducing gender pay gap thought the promotions of a broad mix of measures which include specialised training programmes for inspectors, with the purpose of establishing an effective </w:t>
            </w:r>
            <w:r w:rsidRPr="007A7801">
              <w:rPr>
                <w:spacing w:val="4"/>
                <w:sz w:val="20"/>
                <w:szCs w:val="20"/>
                <w:lang w:val="en-GB"/>
              </w:rPr>
              <w:t>inspection mechanism for the enforcement of equal pay legislation, the establishment of a gender equality Certification Body, as well as measures for eliminating occupational and sectoral segregation, such as interventions in education issues, campaigns for raising awareness on equal pay, training programmes for trade unions and employer associa</w:t>
            </w:r>
            <w:r w:rsidRPr="007A7801">
              <w:rPr>
                <w:spacing w:val="4"/>
                <w:sz w:val="20"/>
                <w:szCs w:val="20"/>
                <w:lang w:val="en-GB"/>
              </w:rPr>
              <w:softHyphen/>
              <w:t>tions, and development of manuals, guides and codes of practice for managers and human resource professionals</w:t>
            </w:r>
          </w:p>
        </w:tc>
        <w:tc>
          <w:tcPr>
            <w:tcW w:w="1808" w:type="dxa"/>
          </w:tcPr>
          <w:p w:rsidR="00AC17AF" w:rsidRPr="007A7801" w:rsidRDefault="00AC17AF" w:rsidP="00AC17AF">
            <w:pPr>
              <w:jc w:val="center"/>
              <w:rPr>
                <w:rFonts w:eastAsia="Arial Unicode MS"/>
                <w:sz w:val="20"/>
                <w:szCs w:val="20"/>
              </w:rPr>
            </w:pPr>
            <w:r w:rsidRPr="007A7801">
              <w:rPr>
                <w:rFonts w:eastAsia="Arial Unicode MS"/>
                <w:sz w:val="20"/>
                <w:szCs w:val="20"/>
              </w:rPr>
              <w:t>2010 - 2015</w:t>
            </w:r>
          </w:p>
        </w:tc>
        <w:tc>
          <w:tcPr>
            <w:tcW w:w="1276" w:type="dxa"/>
          </w:tcPr>
          <w:p w:rsidR="00AC17AF" w:rsidRPr="007A7801" w:rsidRDefault="00AC17AF" w:rsidP="00AC17AF">
            <w:pPr>
              <w:jc w:val="center"/>
              <w:rPr>
                <w:rFonts w:eastAsia="Arial Unicode MS"/>
                <w:sz w:val="20"/>
                <w:szCs w:val="20"/>
              </w:rPr>
            </w:pPr>
            <w:r w:rsidRPr="007A7801">
              <w:rPr>
                <w:rFonts w:eastAsia="Arial Unicode MS"/>
                <w:sz w:val="20"/>
                <w:szCs w:val="20"/>
              </w:rPr>
              <w:t>€3.300.000</w:t>
            </w:r>
          </w:p>
          <w:p w:rsidR="00AC17AF" w:rsidRPr="007A7801" w:rsidRDefault="00AC17AF" w:rsidP="00AC17AF">
            <w:pPr>
              <w:jc w:val="center"/>
              <w:rPr>
                <w:rFonts w:eastAsia="Arial Unicode MS"/>
                <w:sz w:val="20"/>
                <w:szCs w:val="20"/>
              </w:rPr>
            </w:pPr>
            <w:r w:rsidRPr="007A7801">
              <w:rPr>
                <w:rFonts w:eastAsia="Arial Unicode MS"/>
                <w:sz w:val="20"/>
                <w:szCs w:val="20"/>
              </w:rPr>
              <w:t>Co-financed by ESF (75%) and the Cyprus Government</w:t>
            </w:r>
          </w:p>
        </w:tc>
        <w:tc>
          <w:tcPr>
            <w:tcW w:w="1162" w:type="dxa"/>
          </w:tcPr>
          <w:p w:rsidR="00AC17AF" w:rsidRPr="007A7801" w:rsidRDefault="00AC17AF" w:rsidP="00AC17AF">
            <w:pPr>
              <w:jc w:val="center"/>
              <w:rPr>
                <w:sz w:val="20"/>
                <w:szCs w:val="20"/>
              </w:rPr>
            </w:pPr>
            <w:r w:rsidRPr="007A7801">
              <w:rPr>
                <w:sz w:val="20"/>
                <w:szCs w:val="20"/>
              </w:rPr>
              <w:t>The implementation of the measure will be done by the appointed Monitoring Unit</w:t>
            </w:r>
          </w:p>
        </w:tc>
        <w:tc>
          <w:tcPr>
            <w:tcW w:w="1711" w:type="dxa"/>
          </w:tcPr>
          <w:p w:rsidR="00AC17AF" w:rsidRPr="007A7801" w:rsidRDefault="00AC17AF" w:rsidP="00AC17AF">
            <w:pPr>
              <w:jc w:val="center"/>
              <w:rPr>
                <w:sz w:val="20"/>
                <w:szCs w:val="20"/>
              </w:rPr>
            </w:pPr>
            <w:r w:rsidRPr="007A7801">
              <w:rPr>
                <w:sz w:val="20"/>
                <w:szCs w:val="20"/>
              </w:rPr>
              <w:t>1.000 Inspections to</w:t>
            </w:r>
          </w:p>
          <w:p w:rsidR="00AC17AF" w:rsidRPr="007A7801" w:rsidRDefault="00AC17AF" w:rsidP="00AC17AF">
            <w:pPr>
              <w:jc w:val="center"/>
              <w:rPr>
                <w:sz w:val="20"/>
                <w:szCs w:val="20"/>
              </w:rPr>
            </w:pPr>
            <w:r w:rsidRPr="007A7801">
              <w:rPr>
                <w:sz w:val="20"/>
                <w:szCs w:val="20"/>
              </w:rPr>
              <w:t>Reduce Gender pay gap to 18pp by 2015</w:t>
            </w:r>
          </w:p>
        </w:tc>
      </w:tr>
    </w:tbl>
    <w:p w:rsidR="00C46D30" w:rsidRDefault="00C46D30" w:rsidP="00AC17AF">
      <w:pPr>
        <w:rPr>
          <w:b/>
          <w:bCs/>
          <w:sz w:val="20"/>
          <w:szCs w:val="20"/>
        </w:rPr>
        <w:sectPr w:rsidR="00C46D30" w:rsidSect="00326D6D">
          <w:type w:val="continuous"/>
          <w:pgSz w:w="15840" w:h="12240" w:orient="landscape"/>
          <w:pgMar w:top="1440" w:right="1418" w:bottom="1440" w:left="1296" w:header="720" w:footer="720" w:gutter="0"/>
          <w:cols w:space="720"/>
          <w:titlePg/>
          <w:docGrid w:linePitch="360"/>
        </w:sect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162"/>
        <w:gridCol w:w="1711"/>
      </w:tblGrid>
      <w:tr w:rsidR="00AC17AF" w:rsidRPr="007A7801" w:rsidTr="006C2BEE">
        <w:trPr>
          <w:cantSplit/>
          <w:jc w:val="center"/>
        </w:trPr>
        <w:tc>
          <w:tcPr>
            <w:tcW w:w="1945" w:type="dxa"/>
          </w:tcPr>
          <w:p w:rsidR="00AC17AF" w:rsidRPr="007A7801" w:rsidRDefault="00AC17AF" w:rsidP="00AC17AF">
            <w:pPr>
              <w:rPr>
                <w:b/>
                <w:bCs/>
                <w:sz w:val="20"/>
                <w:szCs w:val="20"/>
              </w:rPr>
            </w:pPr>
            <w:r w:rsidRPr="007A7801">
              <w:rPr>
                <w:b/>
                <w:bCs/>
                <w:sz w:val="20"/>
                <w:szCs w:val="20"/>
              </w:rPr>
              <w:lastRenderedPageBreak/>
              <w:t>Implementation of the  “Gender Equality Action Plan”</w:t>
            </w:r>
          </w:p>
        </w:tc>
        <w:tc>
          <w:tcPr>
            <w:tcW w:w="1445" w:type="dxa"/>
          </w:tcPr>
          <w:p w:rsidR="00AC17AF" w:rsidRPr="007A7801" w:rsidRDefault="00AC17AF" w:rsidP="00AC17AF">
            <w:pPr>
              <w:jc w:val="center"/>
              <w:rPr>
                <w:sz w:val="20"/>
                <w:szCs w:val="20"/>
              </w:rPr>
            </w:pPr>
            <w:r w:rsidRPr="007A7801">
              <w:rPr>
                <w:sz w:val="20"/>
                <w:szCs w:val="20"/>
              </w:rPr>
              <w:t>Improve attractiveness of work</w:t>
            </w:r>
          </w:p>
          <w:p w:rsidR="00AC17AF" w:rsidRPr="007A7801" w:rsidRDefault="00AC17AF" w:rsidP="00AC17AF">
            <w:pPr>
              <w:jc w:val="center"/>
              <w:rPr>
                <w:sz w:val="20"/>
                <w:szCs w:val="20"/>
              </w:rPr>
            </w:pPr>
            <w:r w:rsidRPr="007A7801">
              <w:rPr>
                <w:sz w:val="20"/>
                <w:szCs w:val="20"/>
              </w:rPr>
              <w:t>(Gender Equality)</w:t>
            </w:r>
          </w:p>
        </w:tc>
        <w:tc>
          <w:tcPr>
            <w:tcW w:w="1249" w:type="dxa"/>
          </w:tcPr>
          <w:p w:rsidR="00AC17AF" w:rsidRPr="007A7801" w:rsidRDefault="00AC17AF" w:rsidP="00AC17AF">
            <w:pPr>
              <w:jc w:val="center"/>
              <w:rPr>
                <w:sz w:val="20"/>
                <w:szCs w:val="20"/>
              </w:rPr>
            </w:pPr>
            <w:r w:rsidRPr="007A7801">
              <w:rPr>
                <w:sz w:val="20"/>
                <w:szCs w:val="20"/>
              </w:rPr>
              <w:t>Ministry of Justice and Order</w:t>
            </w:r>
          </w:p>
        </w:tc>
        <w:tc>
          <w:tcPr>
            <w:tcW w:w="4280" w:type="dxa"/>
          </w:tcPr>
          <w:p w:rsidR="00AC17AF" w:rsidRPr="007A7801" w:rsidRDefault="00AC17AF" w:rsidP="00AC17AF">
            <w:pPr>
              <w:rPr>
                <w:sz w:val="20"/>
                <w:szCs w:val="20"/>
              </w:rPr>
            </w:pPr>
            <w:r w:rsidRPr="007A7801">
              <w:rPr>
                <w:sz w:val="20"/>
                <w:szCs w:val="20"/>
              </w:rPr>
              <w:t xml:space="preserve">The National Action Plan on Gender Equality it incorporates a holistic approach to gender equality addressing six priority areas, namely: employment, education, decision making, social rights, violence and gender stereotypes. Under the chapter of Employment it covers, among others issues like gender pay gap, reconciliation of family and working life, the enhancement of women’s entrepreneurship, as well as awareness raising programmes and activities in this field. </w:t>
            </w:r>
          </w:p>
        </w:tc>
        <w:tc>
          <w:tcPr>
            <w:tcW w:w="1808" w:type="dxa"/>
          </w:tcPr>
          <w:p w:rsidR="00AC17AF" w:rsidRPr="007A7801" w:rsidRDefault="00AC17AF" w:rsidP="00AC17AF">
            <w:pPr>
              <w:jc w:val="center"/>
              <w:rPr>
                <w:rFonts w:eastAsia="Arial Unicode MS"/>
                <w:sz w:val="20"/>
                <w:szCs w:val="20"/>
              </w:rPr>
            </w:pPr>
            <w:r w:rsidRPr="007A7801">
              <w:rPr>
                <w:rFonts w:eastAsia="Arial Unicode MS"/>
                <w:sz w:val="20"/>
                <w:szCs w:val="20"/>
              </w:rPr>
              <w:t>2007 - 2013</w:t>
            </w:r>
          </w:p>
        </w:tc>
        <w:tc>
          <w:tcPr>
            <w:tcW w:w="1276" w:type="dxa"/>
          </w:tcPr>
          <w:p w:rsidR="00AC17AF" w:rsidRPr="007A7801" w:rsidRDefault="00AC17AF" w:rsidP="00AC17AF">
            <w:pPr>
              <w:jc w:val="center"/>
              <w:rPr>
                <w:rFonts w:eastAsia="Arial Unicode MS"/>
                <w:sz w:val="20"/>
                <w:szCs w:val="20"/>
              </w:rPr>
            </w:pPr>
            <w:r w:rsidRPr="007A7801">
              <w:rPr>
                <w:rFonts w:eastAsia="Arial Unicode MS"/>
                <w:sz w:val="20"/>
                <w:szCs w:val="20"/>
              </w:rPr>
              <w:t>Measures which are listed above and are contributing in this direction, represent the contribution of the respective Ministries/</w:t>
            </w:r>
            <w:r w:rsidR="00600258">
              <w:rPr>
                <w:rFonts w:eastAsia="Arial Unicode MS"/>
                <w:sz w:val="20"/>
                <w:szCs w:val="20"/>
              </w:rPr>
              <w:t xml:space="preserve"> </w:t>
            </w:r>
            <w:r w:rsidRPr="007A7801">
              <w:rPr>
                <w:rFonts w:eastAsia="Arial Unicode MS"/>
                <w:sz w:val="20"/>
                <w:szCs w:val="20"/>
              </w:rPr>
              <w:t xml:space="preserve">departments in the </w:t>
            </w:r>
            <w:r w:rsidR="00602DA7" w:rsidRPr="00602DA7">
              <w:rPr>
                <w:rFonts w:eastAsia="Arial Unicode MS"/>
                <w:sz w:val="18"/>
                <w:szCs w:val="18"/>
              </w:rPr>
              <w:t>implementation</w:t>
            </w:r>
            <w:r w:rsidRPr="007A7801">
              <w:rPr>
                <w:rFonts w:eastAsia="Arial Unicode MS"/>
                <w:sz w:val="20"/>
                <w:szCs w:val="20"/>
              </w:rPr>
              <w:t xml:space="preserve"> of the Action Plan</w:t>
            </w:r>
          </w:p>
        </w:tc>
        <w:tc>
          <w:tcPr>
            <w:tcW w:w="1162" w:type="dxa"/>
          </w:tcPr>
          <w:p w:rsidR="00AC17AF" w:rsidRPr="007A7801" w:rsidRDefault="00AC17AF" w:rsidP="00AC17AF">
            <w:pPr>
              <w:jc w:val="center"/>
              <w:rPr>
                <w:sz w:val="20"/>
                <w:szCs w:val="20"/>
              </w:rPr>
            </w:pPr>
            <w:r w:rsidRPr="007A7801">
              <w:rPr>
                <w:sz w:val="20"/>
                <w:szCs w:val="20"/>
              </w:rPr>
              <w:t xml:space="preserve">An interim evaluation of the progress achieved so far in the </w:t>
            </w:r>
            <w:r w:rsidR="00602DA7" w:rsidRPr="00602DA7">
              <w:rPr>
                <w:sz w:val="16"/>
                <w:szCs w:val="16"/>
              </w:rPr>
              <w:t>implementation</w:t>
            </w:r>
            <w:r w:rsidRPr="007A7801">
              <w:rPr>
                <w:sz w:val="20"/>
                <w:szCs w:val="20"/>
              </w:rPr>
              <w:t xml:space="preserve"> of the Action Plan has been assigned to an external consultant/evaluator</w:t>
            </w:r>
          </w:p>
        </w:tc>
        <w:tc>
          <w:tcPr>
            <w:tcW w:w="1711" w:type="dxa"/>
          </w:tcPr>
          <w:p w:rsidR="00AC17AF" w:rsidRPr="007A7801" w:rsidRDefault="00AC17AF" w:rsidP="00AC17AF">
            <w:pPr>
              <w:jc w:val="center"/>
              <w:rPr>
                <w:sz w:val="20"/>
                <w:szCs w:val="20"/>
              </w:rPr>
            </w:pPr>
          </w:p>
        </w:tc>
      </w:tr>
      <w:tr w:rsidR="00733868" w:rsidRPr="007A7801" w:rsidTr="00E578AE">
        <w:trPr>
          <w:cantSplit/>
          <w:trHeight w:val="454"/>
          <w:jc w:val="center"/>
        </w:trPr>
        <w:tc>
          <w:tcPr>
            <w:tcW w:w="14876" w:type="dxa"/>
            <w:gridSpan w:val="8"/>
            <w:shd w:val="clear" w:color="auto" w:fill="D9D9D9"/>
            <w:vAlign w:val="center"/>
          </w:tcPr>
          <w:p w:rsidR="00E578AE" w:rsidRPr="007A7801" w:rsidRDefault="00733868" w:rsidP="00E578AE">
            <w:pPr>
              <w:jc w:val="center"/>
              <w:rPr>
                <w:b/>
                <w:sz w:val="22"/>
                <w:szCs w:val="22"/>
              </w:rPr>
            </w:pPr>
            <w:r>
              <w:rPr>
                <w:b/>
                <w:sz w:val="22"/>
                <w:szCs w:val="22"/>
              </w:rPr>
              <w:t>5. Immigration Policies</w:t>
            </w:r>
          </w:p>
        </w:tc>
      </w:tr>
      <w:tr w:rsidR="00E57BC1" w:rsidRPr="007A7801" w:rsidTr="00E57BC1">
        <w:trPr>
          <w:cantSplit/>
          <w:trHeight w:val="454"/>
          <w:jc w:val="center"/>
        </w:trPr>
        <w:tc>
          <w:tcPr>
            <w:tcW w:w="14876" w:type="dxa"/>
            <w:gridSpan w:val="8"/>
            <w:shd w:val="clear" w:color="auto" w:fill="FFFFFF" w:themeFill="background1"/>
            <w:vAlign w:val="center"/>
          </w:tcPr>
          <w:tbl>
            <w:tblPr>
              <w:tblpPr w:leftFromText="180" w:rightFromText="180" w:vertAnchor="text" w:horzAnchor="margin" w:tblpY="-246"/>
              <w:tblOverlap w:val="neve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45"/>
              <w:gridCol w:w="1445"/>
              <w:gridCol w:w="1249"/>
              <w:gridCol w:w="4280"/>
              <w:gridCol w:w="1808"/>
              <w:gridCol w:w="1276"/>
              <w:gridCol w:w="1162"/>
              <w:gridCol w:w="1711"/>
            </w:tblGrid>
            <w:tr w:rsidR="00E57BC1" w:rsidRPr="007A7801" w:rsidTr="00E57BC1">
              <w:trPr>
                <w:cantSplit/>
              </w:trPr>
              <w:tc>
                <w:tcPr>
                  <w:tcW w:w="1945" w:type="dxa"/>
                  <w:tcBorders>
                    <w:bottom w:val="single" w:sz="4" w:space="0" w:color="auto"/>
                  </w:tcBorders>
                </w:tcPr>
                <w:p w:rsidR="00E57BC1" w:rsidRPr="007A7801" w:rsidRDefault="00E57BC1" w:rsidP="00E57BC1">
                  <w:pPr>
                    <w:rPr>
                      <w:b/>
                      <w:sz w:val="20"/>
                      <w:szCs w:val="20"/>
                      <w:lang w:val="en-GB"/>
                    </w:rPr>
                  </w:pPr>
                  <w:r>
                    <w:rPr>
                      <w:b/>
                      <w:sz w:val="20"/>
                      <w:szCs w:val="20"/>
                      <w:lang w:val="en-GB"/>
                    </w:rPr>
                    <w:t>Implementation of the Immigration Strategy and the implementation of the Action Plan for the integration of third country nationals</w:t>
                  </w:r>
                </w:p>
              </w:tc>
              <w:tc>
                <w:tcPr>
                  <w:tcW w:w="1445" w:type="dxa"/>
                  <w:tcBorders>
                    <w:bottom w:val="single" w:sz="4" w:space="0" w:color="auto"/>
                  </w:tcBorders>
                </w:tcPr>
                <w:p w:rsidR="00E57BC1" w:rsidRPr="007A7801" w:rsidRDefault="00E57BC1" w:rsidP="00E57BC1">
                  <w:pPr>
                    <w:jc w:val="center"/>
                    <w:rPr>
                      <w:sz w:val="20"/>
                      <w:szCs w:val="20"/>
                    </w:rPr>
                  </w:pPr>
                  <w:r>
                    <w:rPr>
                      <w:sz w:val="20"/>
                      <w:szCs w:val="20"/>
                    </w:rPr>
                    <w:t>Regulate legal immigration</w:t>
                  </w:r>
                </w:p>
              </w:tc>
              <w:tc>
                <w:tcPr>
                  <w:tcW w:w="1249" w:type="dxa"/>
                  <w:tcBorders>
                    <w:bottom w:val="single" w:sz="4" w:space="0" w:color="auto"/>
                  </w:tcBorders>
                </w:tcPr>
                <w:p w:rsidR="00E57BC1" w:rsidRPr="007A7801" w:rsidRDefault="00E57BC1" w:rsidP="00E57BC1">
                  <w:pPr>
                    <w:jc w:val="center"/>
                    <w:rPr>
                      <w:sz w:val="20"/>
                      <w:szCs w:val="20"/>
                    </w:rPr>
                  </w:pPr>
                  <w:r>
                    <w:rPr>
                      <w:sz w:val="20"/>
                      <w:szCs w:val="20"/>
                    </w:rPr>
                    <w:t xml:space="preserve">Ministry of Interior </w:t>
                  </w:r>
                </w:p>
              </w:tc>
              <w:tc>
                <w:tcPr>
                  <w:tcW w:w="4280" w:type="dxa"/>
                  <w:tcBorders>
                    <w:bottom w:val="single" w:sz="4" w:space="0" w:color="auto"/>
                  </w:tcBorders>
                </w:tcPr>
                <w:p w:rsidR="00E57BC1" w:rsidRPr="00733868" w:rsidRDefault="00E57BC1" w:rsidP="00E57BC1">
                  <w:pPr>
                    <w:rPr>
                      <w:sz w:val="20"/>
                      <w:szCs w:val="20"/>
                    </w:rPr>
                  </w:pPr>
                  <w:r>
                    <w:rPr>
                      <w:sz w:val="20"/>
                      <w:szCs w:val="20"/>
                    </w:rPr>
                    <w:t>Based on</w:t>
                  </w:r>
                  <w:r w:rsidRPr="00805202">
                    <w:rPr>
                      <w:sz w:val="20"/>
                      <w:szCs w:val="20"/>
                    </w:rPr>
                    <w:t xml:space="preserve"> the National Employment Strategy and the labour market needs in general, </w:t>
                  </w:r>
                  <w:r>
                    <w:rPr>
                      <w:sz w:val="20"/>
                      <w:szCs w:val="20"/>
                    </w:rPr>
                    <w:t xml:space="preserve">the Immigration Strategy aims </w:t>
                  </w:r>
                  <w:r w:rsidRPr="00805202">
                    <w:rPr>
                      <w:sz w:val="20"/>
                      <w:szCs w:val="20"/>
                    </w:rPr>
                    <w:t xml:space="preserve">to integrate legal immigrants into the society under conditions of increased social cohesion, to combat irregular immigration and illegal and undeclared employment, to provide international protection to people  in need and at the same time combat the abuse of the national asylum system, to combat trafficking and to guarantee human rights and dignity for all members of society and fight racism and xenophobia.  </w:t>
                  </w:r>
                  <w:r>
                    <w:rPr>
                      <w:sz w:val="20"/>
                      <w:szCs w:val="20"/>
                    </w:rPr>
                    <w:t>The Action Plan for the integration of third country nationals includes actions in a number of sectors such as education, vocational training, and learning of the Greek language, health, information and more.</w:t>
                  </w:r>
                </w:p>
              </w:tc>
              <w:tc>
                <w:tcPr>
                  <w:tcW w:w="1808" w:type="dxa"/>
                  <w:tcBorders>
                    <w:bottom w:val="single" w:sz="4" w:space="0" w:color="auto"/>
                  </w:tcBorders>
                </w:tcPr>
                <w:p w:rsidR="00E57BC1" w:rsidRPr="007A7801" w:rsidRDefault="00E57BC1" w:rsidP="00E57BC1">
                  <w:pPr>
                    <w:jc w:val="center"/>
                    <w:rPr>
                      <w:sz w:val="20"/>
                      <w:szCs w:val="20"/>
                    </w:rPr>
                  </w:pPr>
                  <w:r>
                    <w:rPr>
                      <w:sz w:val="20"/>
                      <w:szCs w:val="20"/>
                    </w:rPr>
                    <w:t>2010 onwards</w:t>
                  </w:r>
                </w:p>
              </w:tc>
              <w:tc>
                <w:tcPr>
                  <w:tcW w:w="1276" w:type="dxa"/>
                  <w:tcBorders>
                    <w:bottom w:val="single" w:sz="4" w:space="0" w:color="auto"/>
                  </w:tcBorders>
                </w:tcPr>
                <w:p w:rsidR="00E57BC1" w:rsidRDefault="00E57BC1" w:rsidP="00E57BC1">
                  <w:pPr>
                    <w:jc w:val="center"/>
                    <w:rPr>
                      <w:sz w:val="20"/>
                      <w:szCs w:val="20"/>
                    </w:rPr>
                  </w:pPr>
                  <w:r>
                    <w:rPr>
                      <w:sz w:val="20"/>
                      <w:szCs w:val="20"/>
                    </w:rPr>
                    <w:t>€8,5 mln annually.</w:t>
                  </w:r>
                </w:p>
                <w:p w:rsidR="00E57BC1" w:rsidRPr="007A7801" w:rsidRDefault="00E57BC1" w:rsidP="00E57BC1">
                  <w:pPr>
                    <w:jc w:val="center"/>
                    <w:rPr>
                      <w:sz w:val="20"/>
                      <w:szCs w:val="20"/>
                    </w:rPr>
                  </w:pPr>
                  <w:r>
                    <w:rPr>
                      <w:sz w:val="20"/>
                      <w:szCs w:val="20"/>
                    </w:rPr>
                    <w:t>The measure is co-financed by the ESF</w:t>
                  </w:r>
                </w:p>
              </w:tc>
              <w:tc>
                <w:tcPr>
                  <w:tcW w:w="1162" w:type="dxa"/>
                  <w:tcBorders>
                    <w:bottom w:val="single" w:sz="4" w:space="0" w:color="auto"/>
                  </w:tcBorders>
                </w:tcPr>
                <w:p w:rsidR="00E57BC1" w:rsidRPr="007A7801" w:rsidRDefault="00E57BC1" w:rsidP="00E57BC1">
                  <w:pPr>
                    <w:jc w:val="center"/>
                    <w:rPr>
                      <w:sz w:val="20"/>
                      <w:szCs w:val="20"/>
                    </w:rPr>
                  </w:pPr>
                </w:p>
              </w:tc>
              <w:tc>
                <w:tcPr>
                  <w:tcW w:w="1711" w:type="dxa"/>
                  <w:tcBorders>
                    <w:bottom w:val="single" w:sz="4" w:space="0" w:color="auto"/>
                  </w:tcBorders>
                </w:tcPr>
                <w:p w:rsidR="00E57BC1" w:rsidRPr="007A7801" w:rsidRDefault="00E57BC1" w:rsidP="00E57BC1">
                  <w:pPr>
                    <w:jc w:val="center"/>
                    <w:rPr>
                      <w:sz w:val="20"/>
                      <w:szCs w:val="20"/>
                    </w:rPr>
                  </w:pPr>
                </w:p>
              </w:tc>
            </w:tr>
          </w:tbl>
          <w:p w:rsidR="00E57BC1" w:rsidRDefault="00E57BC1" w:rsidP="00E578AE">
            <w:pPr>
              <w:jc w:val="center"/>
              <w:rPr>
                <w:b/>
                <w:sz w:val="22"/>
                <w:szCs w:val="22"/>
              </w:rPr>
            </w:pPr>
          </w:p>
        </w:tc>
      </w:tr>
    </w:tbl>
    <w:p w:rsidR="00733868" w:rsidRPr="00C46D30" w:rsidRDefault="00733868" w:rsidP="00733868">
      <w:pPr>
        <w:rPr>
          <w:b/>
          <w:sz w:val="20"/>
          <w:szCs w:val="20"/>
        </w:rPr>
        <w:sectPr w:rsidR="00733868" w:rsidRPr="00C46D30" w:rsidSect="00C46D30">
          <w:type w:val="continuous"/>
          <w:pgSz w:w="15840" w:h="12240" w:orient="landscape"/>
          <w:pgMar w:top="1440" w:right="1418" w:bottom="1440" w:left="1296" w:header="720" w:footer="720" w:gutter="0"/>
          <w:cols w:space="720"/>
          <w:titlePg/>
          <w:docGrid w:linePitch="360"/>
        </w:sectPr>
      </w:pPr>
    </w:p>
    <w:p w:rsidR="006246DD" w:rsidRPr="007A7801" w:rsidRDefault="006246DD" w:rsidP="00C916DB">
      <w:pPr>
        <w:pStyle w:val="Heading1"/>
        <w:spacing w:before="0"/>
        <w:rPr>
          <w:rFonts w:cs="Times New Roman"/>
          <w:szCs w:val="40"/>
        </w:rPr>
      </w:pPr>
      <w:bookmarkStart w:id="78" w:name="_Toc292454637"/>
      <w:r w:rsidRPr="007A7801">
        <w:rPr>
          <w:rFonts w:cs="Times New Roman"/>
        </w:rPr>
        <w:lastRenderedPageBreak/>
        <w:t>10</w:t>
      </w:r>
      <w:r w:rsidRPr="007A7801">
        <w:rPr>
          <w:rFonts w:cs="Times New Roman"/>
          <w:szCs w:val="40"/>
        </w:rPr>
        <w:t>. FIGHTING POVERTY</w:t>
      </w:r>
      <w:bookmarkEnd w:id="78"/>
    </w:p>
    <w:p w:rsidR="00D361C0" w:rsidRPr="007A7801" w:rsidRDefault="00D361C0" w:rsidP="00C916DB">
      <w:pPr>
        <w:rPr>
          <w:sz w:val="40"/>
          <w:szCs w:val="40"/>
        </w:rPr>
      </w:pPr>
    </w:p>
    <w:p w:rsidR="006246DD" w:rsidRPr="007A7801" w:rsidRDefault="006246DD" w:rsidP="006246DD">
      <w:pPr>
        <w:jc w:val="both"/>
        <w:rPr>
          <w:b/>
        </w:rPr>
      </w:pPr>
    </w:p>
    <w:tbl>
      <w:tblPr>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B8CCE4" w:themeFill="accent1" w:themeFillTint="66"/>
        <w:tblLook w:val="04A0"/>
      </w:tblPr>
      <w:tblGrid>
        <w:gridCol w:w="9356"/>
      </w:tblGrid>
      <w:tr w:rsidR="006246DD" w:rsidRPr="007A7801" w:rsidTr="00B8671F">
        <w:trPr>
          <w:trHeight w:val="1684"/>
        </w:trPr>
        <w:tc>
          <w:tcPr>
            <w:tcW w:w="9356" w:type="dxa"/>
            <w:shd w:val="clear" w:color="auto" w:fill="B8CCE4" w:themeFill="accent1" w:themeFillTint="66"/>
            <w:vAlign w:val="center"/>
          </w:tcPr>
          <w:p w:rsidR="006246DD" w:rsidRPr="007A7801" w:rsidRDefault="006246DD" w:rsidP="001965A0">
            <w:pPr>
              <w:spacing w:before="120"/>
              <w:rPr>
                <w:b/>
                <w:color w:val="365F91" w:themeColor="accent1" w:themeShade="BF"/>
                <w:sz w:val="28"/>
                <w:szCs w:val="32"/>
                <w:lang w:val="en-GB"/>
              </w:rPr>
            </w:pPr>
            <w:r w:rsidRPr="007A7801">
              <w:rPr>
                <w:b/>
                <w:color w:val="365F91" w:themeColor="accent1" w:themeShade="BF"/>
                <w:sz w:val="28"/>
                <w:szCs w:val="32"/>
                <w:u w:val="single"/>
                <w:lang w:val="en-GB"/>
              </w:rPr>
              <w:t>National target</w:t>
            </w:r>
            <w:r w:rsidRPr="007A7801">
              <w:rPr>
                <w:b/>
                <w:color w:val="365F91" w:themeColor="accent1" w:themeShade="BF"/>
                <w:sz w:val="28"/>
                <w:szCs w:val="32"/>
                <w:lang w:val="en-GB"/>
              </w:rPr>
              <w:t xml:space="preserve">: </w:t>
            </w:r>
          </w:p>
          <w:p w:rsidR="006246DD" w:rsidRPr="007A7801" w:rsidRDefault="006246DD" w:rsidP="001965A0">
            <w:pPr>
              <w:spacing w:before="120"/>
              <w:rPr>
                <w:b/>
                <w:color w:val="365F91" w:themeColor="accent1" w:themeShade="BF"/>
                <w:sz w:val="32"/>
                <w:szCs w:val="32"/>
              </w:rPr>
            </w:pPr>
            <w:r w:rsidRPr="007A7801">
              <w:rPr>
                <w:b/>
                <w:color w:val="365F91" w:themeColor="accent1" w:themeShade="BF"/>
                <w:sz w:val="28"/>
                <w:szCs w:val="32"/>
                <w:lang w:val="en-GB"/>
              </w:rPr>
              <w:t xml:space="preserve">Reduce </w:t>
            </w:r>
            <w:r w:rsidRPr="007A7801">
              <w:rPr>
                <w:b/>
                <w:color w:val="365F91" w:themeColor="accent1" w:themeShade="BF"/>
                <w:sz w:val="28"/>
                <w:szCs w:val="32"/>
              </w:rPr>
              <w:t>the number of people at risk of poverty and social exclusion</w:t>
            </w:r>
            <w:r w:rsidRPr="007A7801">
              <w:rPr>
                <w:rStyle w:val="FootnoteReference"/>
                <w:color w:val="365F91" w:themeColor="accent1" w:themeShade="BF"/>
                <w:sz w:val="28"/>
                <w:szCs w:val="32"/>
              </w:rPr>
              <w:footnoteReference w:id="6"/>
            </w:r>
            <w:r w:rsidRPr="007A7801">
              <w:rPr>
                <w:b/>
                <w:color w:val="365F91" w:themeColor="accent1" w:themeShade="BF"/>
                <w:sz w:val="28"/>
                <w:szCs w:val="32"/>
                <w:lang w:val="en-GB"/>
              </w:rPr>
              <w:t xml:space="preserve"> by </w:t>
            </w:r>
            <w:r w:rsidRPr="007A7801">
              <w:rPr>
                <w:b/>
                <w:color w:val="365F91" w:themeColor="accent1" w:themeShade="BF"/>
                <w:sz w:val="28"/>
                <w:szCs w:val="32"/>
              </w:rPr>
              <w:t>27</w:t>
            </w:r>
            <w:r w:rsidRPr="007A7801">
              <w:rPr>
                <w:b/>
                <w:color w:val="365F91" w:themeColor="accent1" w:themeShade="BF"/>
                <w:sz w:val="28"/>
                <w:szCs w:val="32"/>
                <w:lang w:val="en-GB"/>
              </w:rPr>
              <w:t xml:space="preserve">.000 </w:t>
            </w:r>
            <w:r w:rsidRPr="007A7801">
              <w:rPr>
                <w:b/>
                <w:color w:val="365F91" w:themeColor="accent1" w:themeShade="BF"/>
                <w:sz w:val="28"/>
                <w:szCs w:val="32"/>
              </w:rPr>
              <w:t>people or decrease the percentage of people at-risk-of-poverty and social exclusion from 22,4% to 19,3</w:t>
            </w:r>
            <w:r w:rsidRPr="007A7801">
              <w:rPr>
                <w:b/>
                <w:color w:val="365F91" w:themeColor="accent1" w:themeShade="BF"/>
                <w:sz w:val="28"/>
                <w:szCs w:val="32"/>
                <w:lang w:val="en-GB"/>
              </w:rPr>
              <w:t>% by 2020</w:t>
            </w:r>
            <w:r w:rsidRPr="007A7801">
              <w:rPr>
                <w:b/>
                <w:color w:val="365F91" w:themeColor="accent1" w:themeShade="BF"/>
                <w:sz w:val="28"/>
                <w:szCs w:val="32"/>
              </w:rPr>
              <w:t>.</w:t>
            </w:r>
          </w:p>
        </w:tc>
      </w:tr>
    </w:tbl>
    <w:p w:rsidR="006246DD" w:rsidRPr="007A7801" w:rsidRDefault="006246DD" w:rsidP="006246DD">
      <w:pPr>
        <w:jc w:val="both"/>
        <w:rPr>
          <w:color w:val="FF0000"/>
          <w:sz w:val="32"/>
          <w:szCs w:val="32"/>
        </w:rPr>
      </w:pPr>
    </w:p>
    <w:p w:rsidR="006246DD" w:rsidRPr="00C916DB" w:rsidRDefault="006246DD" w:rsidP="006246DD">
      <w:pPr>
        <w:jc w:val="both"/>
        <w:rPr>
          <w:b/>
          <w:i/>
          <w:caps/>
          <w:color w:val="365F91" w:themeColor="accent1" w:themeShade="BF"/>
          <w:sz w:val="32"/>
          <w:szCs w:val="32"/>
        </w:rPr>
      </w:pPr>
      <w:r w:rsidRPr="00C916DB">
        <w:rPr>
          <w:b/>
          <w:i/>
          <w:color w:val="365F91" w:themeColor="accent1" w:themeShade="BF"/>
          <w:lang w:val="en-GB"/>
        </w:rPr>
        <w:t>Guideline 10: “Promoting social inclusion and combating poverty”</w:t>
      </w:r>
    </w:p>
    <w:p w:rsidR="006246DD" w:rsidRPr="007A7801" w:rsidRDefault="006246DD" w:rsidP="006246DD">
      <w:pPr>
        <w:jc w:val="both"/>
      </w:pPr>
    </w:p>
    <w:p w:rsidR="006246DD" w:rsidRPr="007A7801" w:rsidRDefault="006246DD" w:rsidP="00D361C0">
      <w:pPr>
        <w:pStyle w:val="Heading2"/>
      </w:pPr>
      <w:bookmarkStart w:id="79" w:name="_Toc292454638"/>
      <w:r w:rsidRPr="007A7801">
        <w:t>CURRENT SITUATION</w:t>
      </w:r>
      <w:bookmarkEnd w:id="79"/>
    </w:p>
    <w:p w:rsidR="006246DD" w:rsidRPr="007A7801" w:rsidRDefault="006246DD" w:rsidP="006246DD">
      <w:pPr>
        <w:tabs>
          <w:tab w:val="left" w:pos="0"/>
        </w:tabs>
        <w:jc w:val="both"/>
        <w:rPr>
          <w:b/>
          <w:u w:val="single"/>
        </w:rPr>
      </w:pPr>
    </w:p>
    <w:p w:rsidR="006246DD" w:rsidRPr="007A7801" w:rsidRDefault="006246DD" w:rsidP="006246DD">
      <w:pPr>
        <w:jc w:val="both"/>
      </w:pPr>
      <w:r w:rsidRPr="007A7801">
        <w:t xml:space="preserve">The Cyprus Government is strongly committed to the promotion of social inclusion and the fight against poverty with targeted policies. The goal of </w:t>
      </w:r>
      <w:smartTag w:uri="urn:schemas-microsoft-com:office:smarttags" w:element="place">
        <w:smartTag w:uri="urn:schemas-microsoft-com:office:smarttags" w:element="country-region">
          <w:r w:rsidRPr="007A7801">
            <w:t>Cyprus</w:t>
          </w:r>
        </w:smartTag>
      </w:smartTag>
      <w:r w:rsidRPr="007A7801">
        <w:t xml:space="preserve"> for the decade 2010-2020 is the promotion of social inclusion in particular through reducing the poverty rate, increasing employment and providing better standards of living for all citizens legally residing in the country. </w:t>
      </w:r>
    </w:p>
    <w:p w:rsidR="006246DD" w:rsidRPr="007A7801" w:rsidRDefault="006246DD" w:rsidP="006246DD">
      <w:pPr>
        <w:tabs>
          <w:tab w:val="left" w:pos="0"/>
        </w:tabs>
        <w:jc w:val="both"/>
        <w:rPr>
          <w:highlight w:val="yellow"/>
        </w:rPr>
      </w:pPr>
    </w:p>
    <w:p w:rsidR="006246DD" w:rsidRPr="007A7801" w:rsidRDefault="006246DD" w:rsidP="006246DD">
      <w:pPr>
        <w:tabs>
          <w:tab w:val="left" w:pos="0"/>
        </w:tabs>
        <w:jc w:val="both"/>
      </w:pPr>
      <w:r w:rsidRPr="007A7801">
        <w:t>In 2009, 176.000 people were at-risk-of poverty and social exclusion. 128.000 people were at-risk-of-poverty, 62.000 people were living in conditions of severe material deprivation and 26.000 people were living in households with very low work intensity</w:t>
      </w:r>
      <w:r w:rsidRPr="007A7801">
        <w:rPr>
          <w:rStyle w:val="FootnoteReference"/>
        </w:rPr>
        <w:footnoteReference w:id="7"/>
      </w:r>
      <w:r w:rsidRPr="007A7801">
        <w:t xml:space="preserve">. </w:t>
      </w:r>
    </w:p>
    <w:p w:rsidR="006246DD" w:rsidRPr="007A7801" w:rsidRDefault="006246DD" w:rsidP="006246DD">
      <w:pPr>
        <w:tabs>
          <w:tab w:val="left" w:pos="0"/>
        </w:tabs>
        <w:jc w:val="both"/>
      </w:pPr>
    </w:p>
    <w:p w:rsidR="006246DD" w:rsidRPr="007A7801" w:rsidRDefault="006246DD" w:rsidP="006246DD">
      <w:pPr>
        <w:tabs>
          <w:tab w:val="left" w:pos="0"/>
        </w:tabs>
        <w:jc w:val="both"/>
        <w:rPr>
          <w:lang w:val="en-GB"/>
        </w:rPr>
      </w:pPr>
      <w:r w:rsidRPr="007A7801">
        <w:t xml:space="preserve">During the last 5 years, </w:t>
      </w:r>
      <w:smartTag w:uri="urn:schemas-microsoft-com:office:smarttags" w:element="place">
        <w:smartTag w:uri="urn:schemas-microsoft-com:office:smarttags" w:element="country-region">
          <w:r w:rsidRPr="007A7801">
            <w:t>Cyprus</w:t>
          </w:r>
        </w:smartTag>
      </w:smartTag>
      <w:r w:rsidRPr="007A7801">
        <w:t xml:space="preserve"> has shown a steady at-risk-of-poverty rate. According to 2009 data, the at-risk-of-poverty rate for Cyprus was 16,2% compared to the EU27 of 16,5%. However, this rate has presented fluctuations during the past few years for certain groups of the population. In particular, the at-risk-of-poverty rate for </w:t>
      </w:r>
      <w:r w:rsidR="00023680">
        <w:t>people</w:t>
      </w:r>
      <w:r w:rsidR="00023680" w:rsidRPr="007A7801">
        <w:t xml:space="preserve"> </w:t>
      </w:r>
      <w:r w:rsidRPr="007A7801">
        <w:t>65+ has decreased from 51% in 2005 to 48,6% in 2009, for children aged 0-17 it has increased from 11,5% in 2006 to 13,6% in 2008 and dropped to 12% in 2009, for single parent households with at least one child it has decreased from 34,4% in 2006 to 31,5% in 2008 but rose to 37,1% in 2009 whereas for households with 2 adults with 3 or more dependent children it has increased from 14,1% in 2005 to 19,7% in 2008 and 22,2% in 200</w:t>
      </w:r>
      <w:r w:rsidRPr="007A7801">
        <w:rPr>
          <w:lang w:val="en-GB"/>
        </w:rPr>
        <w:t>9. Furthermore, women exhibit higher at-risk-of-poverty rate than men.</w:t>
      </w:r>
    </w:p>
    <w:p w:rsidR="006246DD" w:rsidRDefault="006246DD" w:rsidP="006246DD">
      <w:pPr>
        <w:tabs>
          <w:tab w:val="left" w:pos="426"/>
        </w:tabs>
        <w:autoSpaceDE w:val="0"/>
        <w:autoSpaceDN w:val="0"/>
        <w:adjustRightInd w:val="0"/>
        <w:jc w:val="both"/>
        <w:rPr>
          <w:lang w:val="en-GB"/>
        </w:rPr>
      </w:pPr>
    </w:p>
    <w:p w:rsidR="00F5083E" w:rsidRDefault="00F5083E" w:rsidP="006246DD">
      <w:pPr>
        <w:tabs>
          <w:tab w:val="left" w:pos="426"/>
        </w:tabs>
        <w:autoSpaceDE w:val="0"/>
        <w:autoSpaceDN w:val="0"/>
        <w:adjustRightInd w:val="0"/>
        <w:jc w:val="both"/>
        <w:rPr>
          <w:lang w:val="en-GB"/>
        </w:rPr>
      </w:pPr>
    </w:p>
    <w:p w:rsidR="00F5083E" w:rsidRDefault="00F5083E" w:rsidP="006246DD">
      <w:pPr>
        <w:tabs>
          <w:tab w:val="left" w:pos="426"/>
        </w:tabs>
        <w:autoSpaceDE w:val="0"/>
        <w:autoSpaceDN w:val="0"/>
        <w:adjustRightInd w:val="0"/>
        <w:jc w:val="both"/>
        <w:rPr>
          <w:lang w:val="en-GB"/>
        </w:rPr>
      </w:pPr>
    </w:p>
    <w:p w:rsidR="00F5083E" w:rsidRPr="007A7801" w:rsidRDefault="00F5083E" w:rsidP="006246DD">
      <w:pPr>
        <w:tabs>
          <w:tab w:val="left" w:pos="426"/>
        </w:tabs>
        <w:autoSpaceDE w:val="0"/>
        <w:autoSpaceDN w:val="0"/>
        <w:adjustRightInd w:val="0"/>
        <w:jc w:val="both"/>
        <w:rPr>
          <w:lang w:val="en-GB"/>
        </w:rPr>
      </w:pPr>
    </w:p>
    <w:p w:rsidR="00F5083E" w:rsidRDefault="00F5083E" w:rsidP="006246DD">
      <w:pPr>
        <w:tabs>
          <w:tab w:val="left" w:pos="426"/>
        </w:tabs>
        <w:autoSpaceDE w:val="0"/>
        <w:autoSpaceDN w:val="0"/>
        <w:adjustRightInd w:val="0"/>
        <w:jc w:val="both"/>
        <w:rPr>
          <w:lang w:val="en-GB"/>
        </w:rPr>
        <w:sectPr w:rsidR="00F5083E" w:rsidSect="00C46D30">
          <w:headerReference w:type="default" r:id="rId47"/>
          <w:headerReference w:type="first" r:id="rId48"/>
          <w:pgSz w:w="12240" w:h="15840"/>
          <w:pgMar w:top="1418" w:right="1440" w:bottom="1296" w:left="1440" w:header="720" w:footer="720" w:gutter="0"/>
          <w:cols w:space="720"/>
          <w:titlePg/>
          <w:docGrid w:linePitch="360"/>
        </w:sectPr>
      </w:pPr>
    </w:p>
    <w:p w:rsidR="006246DD" w:rsidRPr="007A7801" w:rsidRDefault="006246DD" w:rsidP="006246DD">
      <w:pPr>
        <w:tabs>
          <w:tab w:val="left" w:pos="426"/>
        </w:tabs>
        <w:autoSpaceDE w:val="0"/>
        <w:autoSpaceDN w:val="0"/>
        <w:adjustRightInd w:val="0"/>
        <w:jc w:val="both"/>
        <w:rPr>
          <w:lang w:val="en-GB"/>
        </w:rPr>
      </w:pPr>
      <w:r w:rsidRPr="007A7801">
        <w:rPr>
          <w:lang w:val="en-GB"/>
        </w:rPr>
        <w:lastRenderedPageBreak/>
        <w:t>People living in severe material deprivation</w:t>
      </w:r>
      <w:r w:rsidRPr="007A7801">
        <w:rPr>
          <w:rStyle w:val="FootnoteReference"/>
          <w:lang w:val="en-GB"/>
        </w:rPr>
        <w:footnoteReference w:id="8"/>
      </w:r>
      <w:r w:rsidRPr="007A7801">
        <w:rPr>
          <w:lang w:val="en-GB"/>
        </w:rPr>
        <w:t xml:space="preserve"> ha</w:t>
      </w:r>
      <w:r w:rsidRPr="007A7801">
        <w:t>ve</w:t>
      </w:r>
      <w:r w:rsidRPr="007A7801">
        <w:rPr>
          <w:lang w:val="en-GB"/>
        </w:rPr>
        <w:t xml:space="preserve"> decreased from 8,2% in 2008 to 7,9% in 2009, however, in the sub-indicator ‘arrears (mortgage or rent, utility bil</w:t>
      </w:r>
      <w:r w:rsidR="00937D03">
        <w:rPr>
          <w:lang w:val="en-GB"/>
        </w:rPr>
        <w:t>ls or hire purchase)’ there ha</w:t>
      </w:r>
      <w:r w:rsidR="00B55732">
        <w:rPr>
          <w:lang w:val="en-GB"/>
        </w:rPr>
        <w:t>s</w:t>
      </w:r>
      <w:r w:rsidR="00F5083E">
        <w:rPr>
          <w:lang w:val="en-GB"/>
        </w:rPr>
        <w:t xml:space="preserve"> </w:t>
      </w:r>
      <w:r w:rsidRPr="007A7801">
        <w:rPr>
          <w:lang w:val="en-GB"/>
        </w:rPr>
        <w:t>been an increase of 7,5% from 13,2% in 2008 to 20,7% in 2009. People living in households with very low work intensity</w:t>
      </w:r>
      <w:r w:rsidRPr="007A7801">
        <w:rPr>
          <w:rStyle w:val="FootnoteReference"/>
          <w:lang w:val="en-GB"/>
        </w:rPr>
        <w:footnoteReference w:id="9"/>
      </w:r>
      <w:r w:rsidRPr="007A7801">
        <w:rPr>
          <w:lang w:val="en-GB"/>
        </w:rPr>
        <w:t xml:space="preserve"> decreased by 0,1% from 2008 to 2009. It must be noted that 6.736 (0,9%) people are at risk of poverty, deprived and jobless, whereas 12,1% are only at risk of poverty, 4,4% are only deprived and 1,4% are only jobless</w:t>
      </w:r>
      <w:r w:rsidRPr="007A7801">
        <w:rPr>
          <w:rStyle w:val="FootnoteReference"/>
          <w:lang w:val="en-GB"/>
        </w:rPr>
        <w:footnoteReference w:id="10"/>
      </w:r>
      <w:r w:rsidRPr="007A7801">
        <w:rPr>
          <w:lang w:val="en-GB"/>
        </w:rPr>
        <w:t>.</w:t>
      </w:r>
    </w:p>
    <w:p w:rsidR="006246DD" w:rsidRPr="007A7801" w:rsidRDefault="006246DD" w:rsidP="006246DD">
      <w:pPr>
        <w:tabs>
          <w:tab w:val="left" w:pos="426"/>
        </w:tabs>
        <w:autoSpaceDE w:val="0"/>
        <w:autoSpaceDN w:val="0"/>
        <w:adjustRightInd w:val="0"/>
        <w:jc w:val="both"/>
        <w:rPr>
          <w:lang w:val="en-GB"/>
        </w:rPr>
      </w:pPr>
    </w:p>
    <w:p w:rsidR="006246DD" w:rsidRPr="007A7801" w:rsidRDefault="006246DD" w:rsidP="006246DD">
      <w:pPr>
        <w:tabs>
          <w:tab w:val="left" w:pos="426"/>
        </w:tabs>
        <w:autoSpaceDE w:val="0"/>
        <w:autoSpaceDN w:val="0"/>
        <w:adjustRightInd w:val="0"/>
        <w:jc w:val="both"/>
        <w:rPr>
          <w:b/>
          <w:color w:val="17365D"/>
          <w:u w:val="single"/>
        </w:rPr>
      </w:pPr>
    </w:p>
    <w:p w:rsidR="006246DD" w:rsidRPr="007A7801" w:rsidRDefault="006246DD" w:rsidP="006246DD">
      <w:pPr>
        <w:tabs>
          <w:tab w:val="left" w:pos="426"/>
        </w:tabs>
        <w:autoSpaceDE w:val="0"/>
        <w:autoSpaceDN w:val="0"/>
        <w:adjustRightInd w:val="0"/>
        <w:jc w:val="both"/>
        <w:rPr>
          <w:b/>
        </w:rPr>
      </w:pPr>
      <w:r w:rsidRPr="007A7801">
        <w:rPr>
          <w:b/>
          <w:u w:val="single"/>
        </w:rPr>
        <w:t>Bottlenecks</w:t>
      </w:r>
      <w:r w:rsidRPr="007A7801">
        <w:rPr>
          <w:b/>
        </w:rPr>
        <w:t xml:space="preserve">: </w:t>
      </w:r>
    </w:p>
    <w:p w:rsidR="006246DD" w:rsidRPr="007A7801" w:rsidRDefault="006246DD" w:rsidP="006246DD">
      <w:pPr>
        <w:tabs>
          <w:tab w:val="left" w:pos="426"/>
        </w:tabs>
        <w:autoSpaceDE w:val="0"/>
        <w:autoSpaceDN w:val="0"/>
        <w:adjustRightInd w:val="0"/>
        <w:jc w:val="both"/>
        <w:rPr>
          <w:b/>
        </w:rPr>
      </w:pPr>
    </w:p>
    <w:p w:rsidR="006246DD" w:rsidRPr="007A7801" w:rsidRDefault="006246DD" w:rsidP="006246DD">
      <w:pPr>
        <w:tabs>
          <w:tab w:val="left" w:pos="426"/>
        </w:tabs>
        <w:autoSpaceDE w:val="0"/>
        <w:autoSpaceDN w:val="0"/>
        <w:adjustRightInd w:val="0"/>
        <w:jc w:val="both"/>
        <w:rPr>
          <w:lang w:val="en-GB"/>
        </w:rPr>
      </w:pPr>
      <w:r w:rsidRPr="007A7801">
        <w:rPr>
          <w:lang w:val="en-GB"/>
        </w:rPr>
        <w:t xml:space="preserve">Before the financial crisis, when </w:t>
      </w:r>
      <w:smartTag w:uri="urn:schemas-microsoft-com:office:smarttags" w:element="place">
        <w:smartTag w:uri="urn:schemas-microsoft-com:office:smarttags" w:element="country-region">
          <w:r w:rsidRPr="007A7801">
            <w:rPr>
              <w:lang w:val="en-GB"/>
            </w:rPr>
            <w:t>Cyprus</w:t>
          </w:r>
        </w:smartTag>
      </w:smartTag>
      <w:r w:rsidRPr="007A7801">
        <w:rPr>
          <w:lang w:val="en-GB"/>
        </w:rPr>
        <w:t xml:space="preserve"> was functioning in near full employment, conditions for achieving social cohesion were more favourable. However, low growth and the rise of unemployment rate in 2009 and 2010 to 5,3% and 6,2% respectively, necessitated the </w:t>
      </w:r>
      <w:r w:rsidR="00607105">
        <w:rPr>
          <w:lang w:val="en-GB"/>
        </w:rPr>
        <w:t>G</w:t>
      </w:r>
      <w:r w:rsidRPr="007A7801">
        <w:rPr>
          <w:lang w:val="en-GB"/>
        </w:rPr>
        <w:t>overnment to follow a strict fiscal policy, and it put considerable pressure on public spending and social protection.</w:t>
      </w:r>
    </w:p>
    <w:p w:rsidR="006246DD" w:rsidRPr="007A7801" w:rsidRDefault="006246DD" w:rsidP="006246DD">
      <w:pPr>
        <w:tabs>
          <w:tab w:val="left" w:pos="426"/>
        </w:tabs>
        <w:autoSpaceDE w:val="0"/>
        <w:autoSpaceDN w:val="0"/>
        <w:adjustRightInd w:val="0"/>
        <w:jc w:val="both"/>
        <w:rPr>
          <w:lang w:val="en-GB"/>
        </w:rPr>
      </w:pPr>
    </w:p>
    <w:p w:rsidR="006246DD" w:rsidRPr="007A7801" w:rsidRDefault="006246DD" w:rsidP="00D361C0">
      <w:pPr>
        <w:pStyle w:val="Heading2"/>
        <w:rPr>
          <w:lang w:val="en-GB"/>
        </w:rPr>
      </w:pPr>
      <w:bookmarkStart w:id="80" w:name="_Toc292454639"/>
      <w:r w:rsidRPr="007A7801">
        <w:rPr>
          <w:lang w:val="en-GB"/>
        </w:rPr>
        <w:t>NATIONAL TARGETS</w:t>
      </w:r>
      <w:bookmarkEnd w:id="80"/>
    </w:p>
    <w:p w:rsidR="00B8671F" w:rsidRPr="007A7801" w:rsidRDefault="006246DD" w:rsidP="00B8671F">
      <w:pPr>
        <w:spacing w:before="240"/>
        <w:jc w:val="both"/>
        <w:rPr>
          <w:lang w:val="en-GB"/>
        </w:rPr>
      </w:pPr>
      <w:r w:rsidRPr="007A7801">
        <w:rPr>
          <w:lang w:val="en-GB"/>
        </w:rPr>
        <w:t>To achieve the national target of reducing the number of people at-risk-of-poverty and social exclusion by 27.000 people (or reducing the percentage of people at-risk-of-poverty and social exclusion to 19,3%), four sub-targets have been put in place:</w:t>
      </w:r>
    </w:p>
    <w:p w:rsidR="006246DD" w:rsidRPr="007A7801" w:rsidRDefault="006246DD" w:rsidP="001D09A7">
      <w:pPr>
        <w:pStyle w:val="ListParagraph"/>
        <w:numPr>
          <w:ilvl w:val="0"/>
          <w:numId w:val="35"/>
        </w:numPr>
        <w:spacing w:before="240"/>
        <w:ind w:left="426" w:hanging="426"/>
        <w:jc w:val="both"/>
        <w:rPr>
          <w:lang w:val="en-GB"/>
        </w:rPr>
      </w:pPr>
      <w:r w:rsidRPr="007A7801">
        <w:rPr>
          <w:lang w:val="en-GB"/>
        </w:rPr>
        <w:t xml:space="preserve">Decrease the at-risk-of-poverty rate after social transfers (2008: 16,2%, 128.000 people). </w:t>
      </w:r>
      <w:r w:rsidRPr="007A7801">
        <w:t>It should be noted that in Cyprus there is a trend of high rates of house ownership (according to the Census 2001 data, 86,2%</w:t>
      </w:r>
      <w:r w:rsidRPr="007A7801">
        <w:rPr>
          <w:rStyle w:val="FootnoteReference"/>
        </w:rPr>
        <w:footnoteReference w:id="11"/>
      </w:r>
      <w:r w:rsidRPr="007A7801">
        <w:t xml:space="preserve"> of the population reside in non-rented houses) and in parallel there is a trend for people to have savings, which significantly contribute to a higher standard of living and a more comfortable life. </w:t>
      </w:r>
    </w:p>
    <w:p w:rsidR="006246DD" w:rsidRPr="007A7801" w:rsidRDefault="006246DD" w:rsidP="001D09A7">
      <w:pPr>
        <w:numPr>
          <w:ilvl w:val="0"/>
          <w:numId w:val="34"/>
        </w:numPr>
        <w:tabs>
          <w:tab w:val="left" w:pos="426"/>
        </w:tabs>
        <w:spacing w:before="240" w:after="240"/>
        <w:ind w:left="426" w:hanging="426"/>
        <w:jc w:val="both"/>
        <w:rPr>
          <w:b/>
          <w:lang w:val="en-GB"/>
        </w:rPr>
      </w:pPr>
      <w:r w:rsidRPr="007A7801">
        <w:rPr>
          <w:lang w:val="en-GB"/>
        </w:rPr>
        <w:t xml:space="preserve">Decrease the </w:t>
      </w:r>
      <w:r w:rsidRPr="007A7801">
        <w:t xml:space="preserve">number of people living in households with </w:t>
      </w:r>
      <w:r w:rsidRPr="007A7801">
        <w:rPr>
          <w:lang w:val="en-GB"/>
        </w:rPr>
        <w:t xml:space="preserve">very low work intensity </w:t>
      </w:r>
      <w:r w:rsidRPr="007A7801">
        <w:t>(WI</w:t>
      </w:r>
      <w:r w:rsidRPr="007A7801">
        <w:rPr>
          <w:lang w:val="en-GB"/>
        </w:rPr>
        <w:t xml:space="preserve">≤0.20, 2008: 3,4%, 27.000 people), especially for those farthest from the labour market, by targeted actions to encourage active participation in the labour market. </w:t>
      </w:r>
    </w:p>
    <w:p w:rsidR="00F5083E" w:rsidRDefault="006246DD" w:rsidP="001D09A7">
      <w:pPr>
        <w:numPr>
          <w:ilvl w:val="0"/>
          <w:numId w:val="34"/>
        </w:numPr>
        <w:spacing w:before="240" w:after="240"/>
        <w:ind w:left="426" w:hanging="426"/>
        <w:jc w:val="both"/>
        <w:sectPr w:rsidR="00F5083E" w:rsidSect="00326D6D">
          <w:type w:val="continuous"/>
          <w:pgSz w:w="12240" w:h="15840"/>
          <w:pgMar w:top="1418" w:right="1440" w:bottom="1296" w:left="1440" w:header="720" w:footer="720" w:gutter="0"/>
          <w:cols w:space="720"/>
          <w:titlePg/>
          <w:docGrid w:linePitch="360"/>
        </w:sectPr>
      </w:pPr>
      <w:r w:rsidRPr="007A7801">
        <w:rPr>
          <w:lang w:val="en-GB"/>
        </w:rPr>
        <w:t>Decrease severe material deprivation (lacking 4/9 material deprivation items, 2008: 8,2%, 64.000 persons).</w:t>
      </w:r>
      <w:r w:rsidRPr="007A7801">
        <w:t xml:space="preserve"> Cyprus exhibits comparatively higher risk rates in three deprivation items – keeping the home adequately warm, ability to pay for one week’s annual holiday away from home and capacity to face unexpected financial expenses. Further investigation is needed, in </w:t>
      </w:r>
    </w:p>
    <w:p w:rsidR="006246DD" w:rsidRPr="007A7801" w:rsidRDefault="006246DD" w:rsidP="00F5083E">
      <w:pPr>
        <w:spacing w:before="240" w:after="240"/>
        <w:ind w:left="426"/>
        <w:jc w:val="both"/>
        <w:rPr>
          <w:b/>
          <w:lang w:val="en-GB"/>
        </w:rPr>
      </w:pPr>
      <w:r w:rsidRPr="007A7801">
        <w:lastRenderedPageBreak/>
        <w:t xml:space="preserve">order to find the reasons for high risk in the area of ‘keeping the home adequately warm’ as well as for the ‘ability to pay for one week’s annual holiday away’ deprivation items, given that Cyprus has a mild climate and is a tourist destination. </w:t>
      </w:r>
    </w:p>
    <w:p w:rsidR="006246DD" w:rsidRPr="007A7801" w:rsidRDefault="006246DD" w:rsidP="001D09A7">
      <w:pPr>
        <w:numPr>
          <w:ilvl w:val="0"/>
          <w:numId w:val="34"/>
        </w:numPr>
        <w:ind w:left="426" w:hanging="426"/>
        <w:jc w:val="both"/>
      </w:pPr>
      <w:r w:rsidRPr="007A7801">
        <w:t>Poverty gap</w:t>
      </w:r>
      <w:r w:rsidRPr="007A7801">
        <w:rPr>
          <w:lang w:val="en-GB"/>
        </w:rPr>
        <w:t>: The aim of the Cyprus Republic is not only to decrease the at-risk-of-poverty rate but also to decrease poverty intensity and thus the depth of poverty. The relative median at-risk-of poverty-gap was reduced from 19,4% in 2005 to 16,6% in 2008.</w:t>
      </w:r>
    </w:p>
    <w:p w:rsidR="006246DD" w:rsidRPr="007A7801" w:rsidRDefault="006246DD" w:rsidP="006246DD">
      <w:pPr>
        <w:tabs>
          <w:tab w:val="left" w:pos="360"/>
        </w:tabs>
        <w:jc w:val="both"/>
        <w:rPr>
          <w:b/>
          <w:caps/>
          <w:u w:val="single"/>
          <w:lang w:val="en-GB"/>
        </w:rPr>
      </w:pPr>
    </w:p>
    <w:p w:rsidR="006246DD" w:rsidRPr="007A7801" w:rsidRDefault="00D361C0" w:rsidP="00D361C0">
      <w:pPr>
        <w:pStyle w:val="Heading2"/>
        <w:rPr>
          <w:lang w:val="en-GB"/>
        </w:rPr>
      </w:pPr>
      <w:bookmarkStart w:id="81" w:name="_Toc292454640"/>
      <w:r w:rsidRPr="007A7801">
        <w:rPr>
          <w:lang w:val="en-GB"/>
        </w:rPr>
        <w:t>KEY MEASURES TO REACH TARGET AND TACKLE BOTTLENECKS</w:t>
      </w:r>
      <w:bookmarkEnd w:id="81"/>
    </w:p>
    <w:p w:rsidR="006246DD" w:rsidRPr="007A7801" w:rsidRDefault="006246DD" w:rsidP="006246DD">
      <w:pPr>
        <w:jc w:val="both"/>
        <w:rPr>
          <w:lang w:val="en-GB"/>
        </w:rPr>
      </w:pPr>
    </w:p>
    <w:p w:rsidR="006246DD" w:rsidRPr="007A7801" w:rsidRDefault="006246DD" w:rsidP="006246DD">
      <w:pPr>
        <w:jc w:val="both"/>
      </w:pPr>
      <w:r w:rsidRPr="007A7801">
        <w:rPr>
          <w:lang w:val="en-GB"/>
        </w:rPr>
        <w:t>Towards</w:t>
      </w:r>
      <w:r w:rsidRPr="007A7801">
        <w:t xml:space="preserve"> achieving the national target,</w:t>
      </w:r>
      <w:r w:rsidRPr="007A7801">
        <w:rPr>
          <w:lang w:val="en-GB"/>
        </w:rPr>
        <w:t xml:space="preserve"> Cyprus has identified the following target groups </w:t>
      </w:r>
      <w:r w:rsidR="00347769">
        <w:rPr>
          <w:lang w:val="en-GB"/>
        </w:rPr>
        <w:t xml:space="preserve">for prioritising </w:t>
      </w:r>
      <w:r w:rsidRPr="007A7801">
        <w:rPr>
          <w:lang w:val="en-GB"/>
        </w:rPr>
        <w:t xml:space="preserve">its actions: </w:t>
      </w:r>
    </w:p>
    <w:p w:rsidR="006246DD" w:rsidRPr="007A7801" w:rsidRDefault="006246DD" w:rsidP="006246DD">
      <w:pPr>
        <w:jc w:val="both"/>
      </w:pPr>
    </w:p>
    <w:p w:rsidR="006246DD" w:rsidRPr="007A7801" w:rsidRDefault="006246DD" w:rsidP="001D09A7">
      <w:pPr>
        <w:pStyle w:val="ListParagraph"/>
        <w:numPr>
          <w:ilvl w:val="0"/>
          <w:numId w:val="8"/>
        </w:numPr>
        <w:tabs>
          <w:tab w:val="left" w:pos="0"/>
        </w:tabs>
        <w:ind w:left="284" w:hanging="284"/>
        <w:contextualSpacing/>
        <w:jc w:val="both"/>
        <w:rPr>
          <w:b/>
        </w:rPr>
      </w:pPr>
      <w:r w:rsidRPr="007A7801">
        <w:rPr>
          <w:b/>
        </w:rPr>
        <w:t>Pe</w:t>
      </w:r>
      <w:r w:rsidR="00023680">
        <w:rPr>
          <w:b/>
        </w:rPr>
        <w:t>ople</w:t>
      </w:r>
      <w:r w:rsidRPr="007A7801">
        <w:rPr>
          <w:b/>
        </w:rPr>
        <w:t xml:space="preserve"> aged 65+</w:t>
      </w:r>
    </w:p>
    <w:p w:rsidR="006246DD" w:rsidRPr="007A7801" w:rsidRDefault="006246DD" w:rsidP="006246DD">
      <w:pPr>
        <w:pStyle w:val="ListParagraph"/>
        <w:tabs>
          <w:tab w:val="left" w:pos="0"/>
        </w:tabs>
        <w:jc w:val="both"/>
      </w:pPr>
    </w:p>
    <w:p w:rsidR="006246DD" w:rsidRPr="007A7801" w:rsidRDefault="006246DD" w:rsidP="006246DD">
      <w:pPr>
        <w:tabs>
          <w:tab w:val="left" w:pos="0"/>
        </w:tabs>
        <w:jc w:val="both"/>
      </w:pPr>
      <w:r w:rsidRPr="007A7801">
        <w:t xml:space="preserve">Despite the decrease in the at-risk-of poverty rate for the age group 65+ in 2009, this group exhibits the highest at-risk-of poverty rate among all age groups. </w:t>
      </w:r>
    </w:p>
    <w:p w:rsidR="006246DD" w:rsidRPr="007A7801" w:rsidRDefault="006246DD" w:rsidP="006246DD">
      <w:pPr>
        <w:tabs>
          <w:tab w:val="left" w:pos="0"/>
        </w:tabs>
        <w:jc w:val="both"/>
      </w:pPr>
    </w:p>
    <w:p w:rsidR="006246DD" w:rsidRPr="007A7801" w:rsidRDefault="006246DD" w:rsidP="00A073EF">
      <w:pPr>
        <w:pStyle w:val="ListParagraph"/>
        <w:numPr>
          <w:ilvl w:val="0"/>
          <w:numId w:val="67"/>
        </w:numPr>
        <w:tabs>
          <w:tab w:val="left" w:pos="0"/>
        </w:tabs>
        <w:ind w:left="426" w:hanging="426"/>
        <w:jc w:val="both"/>
      </w:pPr>
      <w:r w:rsidRPr="0021652D">
        <w:rPr>
          <w:b/>
        </w:rPr>
        <w:t>Income support</w:t>
      </w:r>
      <w:r w:rsidR="00D361C0" w:rsidRPr="0021652D">
        <w:rPr>
          <w:b/>
        </w:rPr>
        <w:t xml:space="preserve">: </w:t>
      </w:r>
      <w:r w:rsidRPr="007A7801">
        <w:t>In order to</w:t>
      </w:r>
      <w:r w:rsidRPr="0021652D">
        <w:rPr>
          <w:b/>
        </w:rPr>
        <w:t xml:space="preserve"> </w:t>
      </w:r>
      <w:r w:rsidRPr="007A7801">
        <w:t>minimi</w:t>
      </w:r>
      <w:r w:rsidR="00023680">
        <w:t>s</w:t>
      </w:r>
      <w:r w:rsidRPr="007A7801">
        <w:t>e the effects of poverty among this age group, Cyprus will continue to provide income support to pensioners whose income is below the poverty line.</w:t>
      </w:r>
      <w:r w:rsidRPr="0021652D">
        <w:rPr>
          <w:b/>
        </w:rPr>
        <w:t xml:space="preserve"> </w:t>
      </w:r>
      <w:r w:rsidRPr="007A7801">
        <w:t>This is a cash benefit scheme that was initiated in 2009 with a budget of €60 mln up to October 2010 and is addressed to pensioners´ households whose total annual income is below the poverty threshold. This measure replaces the special allowance given to pensioners whose pension is below a fixed amount. It must be noted that the household income taken into consideration for the provision of this benefit refers to the income of all individuals within the household deriving from: pensions from any source (within and outside Cyprus), existing special allowance granted to pensioners, employment or self-employment, rent income, interest, and dividends.</w:t>
      </w:r>
    </w:p>
    <w:p w:rsidR="006246DD" w:rsidRPr="007A7801" w:rsidRDefault="006246DD" w:rsidP="0021652D">
      <w:pPr>
        <w:tabs>
          <w:tab w:val="left" w:pos="0"/>
        </w:tabs>
        <w:ind w:left="426" w:hanging="426"/>
        <w:jc w:val="both"/>
      </w:pPr>
    </w:p>
    <w:p w:rsidR="006246DD" w:rsidRPr="007A7801" w:rsidRDefault="006246DD" w:rsidP="00377323">
      <w:pPr>
        <w:pStyle w:val="ListParagraph"/>
        <w:ind w:left="426"/>
        <w:jc w:val="both"/>
      </w:pPr>
      <w:r w:rsidRPr="007A7801">
        <w:t>Another income support policy measure is the annual Easter a</w:t>
      </w:r>
      <w:r w:rsidR="0021652D">
        <w:t xml:space="preserve">llowance provided to pensioners </w:t>
      </w:r>
      <w:r w:rsidRPr="007A7801">
        <w:t xml:space="preserve">whose income is not exceeding €13.000 per year. </w:t>
      </w:r>
    </w:p>
    <w:p w:rsidR="006246DD" w:rsidRPr="007A7801" w:rsidRDefault="006246DD" w:rsidP="0021652D">
      <w:pPr>
        <w:tabs>
          <w:tab w:val="left" w:pos="0"/>
          <w:tab w:val="left" w:pos="1425"/>
        </w:tabs>
        <w:ind w:left="426" w:hanging="426"/>
        <w:jc w:val="both"/>
      </w:pPr>
    </w:p>
    <w:p w:rsidR="006246DD" w:rsidRPr="007A7801" w:rsidRDefault="006246DD" w:rsidP="00A073EF">
      <w:pPr>
        <w:pStyle w:val="ListParagraph"/>
        <w:numPr>
          <w:ilvl w:val="0"/>
          <w:numId w:val="67"/>
        </w:numPr>
        <w:tabs>
          <w:tab w:val="left" w:pos="0"/>
        </w:tabs>
        <w:ind w:left="426" w:hanging="426"/>
        <w:jc w:val="both"/>
      </w:pPr>
      <w:r w:rsidRPr="0021652D">
        <w:rPr>
          <w:b/>
        </w:rPr>
        <w:t>Health and long-term care services</w:t>
      </w:r>
      <w:r w:rsidR="00D361C0" w:rsidRPr="0021652D">
        <w:rPr>
          <w:b/>
        </w:rPr>
        <w:t xml:space="preserve">: </w:t>
      </w:r>
      <w:r w:rsidRPr="007A7801">
        <w:t>Cyprus has a high rate of life expectancy and also a high rate of healthy life</w:t>
      </w:r>
      <w:r w:rsidRPr="0021652D">
        <w:rPr>
          <w:color w:val="FF0000"/>
        </w:rPr>
        <w:t xml:space="preserve"> </w:t>
      </w:r>
      <w:r w:rsidRPr="007A7801">
        <w:t>expectancy at birth</w:t>
      </w:r>
      <w:r w:rsidRPr="0021652D">
        <w:rPr>
          <w:color w:val="FF0000"/>
        </w:rPr>
        <w:t xml:space="preserve"> </w:t>
      </w:r>
      <w:r w:rsidRPr="007A7801">
        <w:t>but relatively low healthy life expectancy rate at age 65. This poses a challenge on future care service provision. Currently, social care is provided by the private sector and the community, i.e. NGOs or local authorities</w:t>
      </w:r>
      <w:r w:rsidRPr="0021652D">
        <w:rPr>
          <w:b/>
          <w:i/>
        </w:rPr>
        <w:t xml:space="preserve">.  </w:t>
      </w:r>
      <w:r w:rsidRPr="007A7801">
        <w:t>Home care is also provided and supported by the State. Within 2011, it is expected that a consultation for reforming long-term social care provision will be promoted. This consultation will address service provision as well as means for financial support of its users (see reform of the public assistance legislation below) and the revision of the existing framework of quality standards for social care. Furthermore, one of our long-term priorities is to promote preventative and curative</w:t>
      </w:r>
      <w:r w:rsidRPr="0021652D">
        <w:rPr>
          <w:color w:val="FF0000"/>
        </w:rPr>
        <w:t xml:space="preserve"> </w:t>
      </w:r>
      <w:r w:rsidRPr="007A7801">
        <w:t xml:space="preserve">measures in order to safeguard an increase in the healthy life expectancy rate. </w:t>
      </w:r>
    </w:p>
    <w:p w:rsidR="001965A0" w:rsidRPr="007A7801" w:rsidRDefault="001965A0" w:rsidP="006246DD">
      <w:pPr>
        <w:tabs>
          <w:tab w:val="left" w:pos="0"/>
        </w:tabs>
        <w:jc w:val="both"/>
        <w:rPr>
          <w:b/>
          <w:i/>
          <w:u w:val="single"/>
        </w:rPr>
      </w:pPr>
    </w:p>
    <w:p w:rsidR="001965A0" w:rsidRDefault="001965A0" w:rsidP="006246DD">
      <w:pPr>
        <w:tabs>
          <w:tab w:val="left" w:pos="0"/>
        </w:tabs>
        <w:jc w:val="both"/>
        <w:rPr>
          <w:b/>
          <w:i/>
          <w:u w:val="single"/>
        </w:rPr>
      </w:pPr>
    </w:p>
    <w:p w:rsidR="00F5083E" w:rsidRPr="007A7801" w:rsidRDefault="00F5083E" w:rsidP="006246DD">
      <w:pPr>
        <w:tabs>
          <w:tab w:val="left" w:pos="0"/>
        </w:tabs>
        <w:jc w:val="both"/>
        <w:rPr>
          <w:b/>
          <w:i/>
          <w:u w:val="single"/>
        </w:rPr>
      </w:pPr>
    </w:p>
    <w:p w:rsidR="00F5083E" w:rsidRDefault="00F5083E" w:rsidP="001D09A7">
      <w:pPr>
        <w:pStyle w:val="ListParagraph"/>
        <w:numPr>
          <w:ilvl w:val="0"/>
          <w:numId w:val="8"/>
        </w:numPr>
        <w:tabs>
          <w:tab w:val="left" w:pos="0"/>
        </w:tabs>
        <w:ind w:left="284" w:hanging="284"/>
        <w:contextualSpacing/>
        <w:jc w:val="both"/>
        <w:rPr>
          <w:b/>
        </w:rPr>
        <w:sectPr w:rsidR="00F5083E" w:rsidSect="00326D6D">
          <w:type w:val="continuous"/>
          <w:pgSz w:w="12240" w:h="15840"/>
          <w:pgMar w:top="1418" w:right="1440" w:bottom="1296" w:left="1440" w:header="720" w:footer="720" w:gutter="0"/>
          <w:cols w:space="720"/>
          <w:titlePg/>
          <w:docGrid w:linePitch="360"/>
        </w:sectPr>
      </w:pPr>
    </w:p>
    <w:p w:rsidR="006246DD" w:rsidRPr="007A7801" w:rsidRDefault="006246DD" w:rsidP="001D09A7">
      <w:pPr>
        <w:pStyle w:val="ListParagraph"/>
        <w:numPr>
          <w:ilvl w:val="0"/>
          <w:numId w:val="8"/>
        </w:numPr>
        <w:tabs>
          <w:tab w:val="left" w:pos="0"/>
        </w:tabs>
        <w:ind w:left="284" w:hanging="284"/>
        <w:contextualSpacing/>
        <w:jc w:val="both"/>
        <w:rPr>
          <w:b/>
        </w:rPr>
      </w:pPr>
      <w:r w:rsidRPr="007A7801">
        <w:rPr>
          <w:b/>
        </w:rPr>
        <w:lastRenderedPageBreak/>
        <w:t>Children experiencing poverty and social exclusion</w:t>
      </w:r>
    </w:p>
    <w:p w:rsidR="006246DD" w:rsidRPr="007A7801" w:rsidRDefault="006246DD" w:rsidP="006246DD">
      <w:pPr>
        <w:tabs>
          <w:tab w:val="left" w:pos="0"/>
        </w:tabs>
        <w:jc w:val="both"/>
      </w:pPr>
    </w:p>
    <w:p w:rsidR="006246DD" w:rsidRPr="007A7801" w:rsidRDefault="006246DD" w:rsidP="006246DD">
      <w:pPr>
        <w:tabs>
          <w:tab w:val="left" w:pos="0"/>
        </w:tabs>
        <w:jc w:val="both"/>
      </w:pPr>
      <w:r w:rsidRPr="007A7801">
        <w:t xml:space="preserve">Tackling child poverty and social exclusion is a priority for Cyprus. It includes providing quality child care services to address the needs of the child and working families, measures to address intergenerational </w:t>
      </w:r>
      <w:r w:rsidR="00D361C0" w:rsidRPr="007A7801">
        <w:t xml:space="preserve">transmission of </w:t>
      </w:r>
      <w:r w:rsidRPr="007A7801">
        <w:t>poverty as well as measures to promote high educational participation levels of children and young people (see chapter 5 “Education”). Within 2011, it is also expected that a consultation for supportive measures for lone parents will be initiated (see reform of the public assistance legislation below).</w:t>
      </w:r>
    </w:p>
    <w:p w:rsidR="006246DD" w:rsidRPr="007A7801" w:rsidRDefault="006246DD" w:rsidP="006246DD">
      <w:pPr>
        <w:tabs>
          <w:tab w:val="left" w:pos="0"/>
        </w:tabs>
        <w:jc w:val="both"/>
      </w:pPr>
    </w:p>
    <w:p w:rsidR="006246DD" w:rsidRPr="007A7801" w:rsidRDefault="006246DD" w:rsidP="00A073EF">
      <w:pPr>
        <w:pStyle w:val="ListParagraph"/>
        <w:numPr>
          <w:ilvl w:val="0"/>
          <w:numId w:val="67"/>
        </w:numPr>
        <w:tabs>
          <w:tab w:val="left" w:pos="426"/>
        </w:tabs>
        <w:ind w:left="426" w:hanging="426"/>
        <w:contextualSpacing/>
        <w:jc w:val="both"/>
      </w:pPr>
      <w:r w:rsidRPr="007A7801">
        <w:rPr>
          <w:b/>
        </w:rPr>
        <w:t>Child benefit</w:t>
      </w:r>
      <w:r w:rsidR="00D361C0" w:rsidRPr="007A7801">
        <w:rPr>
          <w:b/>
        </w:rPr>
        <w:t xml:space="preserve">: </w:t>
      </w:r>
      <w:r w:rsidRPr="007A7801">
        <w:t>This is a c</w:t>
      </w:r>
      <w:r w:rsidRPr="007A7801">
        <w:rPr>
          <w:lang w:val="en-GB"/>
        </w:rPr>
        <w:t>ash benefit scheme, implemented since 2002, covering all families with children residing in the Republic of Cyprus. The benefit is awarded according to the number of children (basic benefit) and the family’s annual income (supplementary benefit).</w:t>
      </w:r>
      <w:r w:rsidRPr="007A7801">
        <w:t xml:space="preserve"> The budget for 2010 was €180 mln.</w:t>
      </w:r>
    </w:p>
    <w:p w:rsidR="006246DD" w:rsidRPr="007A7801" w:rsidRDefault="006246DD" w:rsidP="0021652D">
      <w:pPr>
        <w:tabs>
          <w:tab w:val="left" w:pos="0"/>
        </w:tabs>
        <w:ind w:left="426" w:hanging="426"/>
        <w:jc w:val="both"/>
      </w:pPr>
    </w:p>
    <w:p w:rsidR="006246DD" w:rsidRPr="007A7801" w:rsidRDefault="006246DD" w:rsidP="00A073EF">
      <w:pPr>
        <w:pStyle w:val="ListParagraph"/>
        <w:numPr>
          <w:ilvl w:val="0"/>
          <w:numId w:val="67"/>
        </w:numPr>
        <w:tabs>
          <w:tab w:val="left" w:pos="0"/>
        </w:tabs>
        <w:ind w:left="426" w:hanging="426"/>
        <w:jc w:val="both"/>
      </w:pPr>
      <w:r w:rsidRPr="0021652D">
        <w:rPr>
          <w:b/>
        </w:rPr>
        <w:t>Care services</w:t>
      </w:r>
      <w:r w:rsidR="00D361C0" w:rsidRPr="0021652D">
        <w:rPr>
          <w:b/>
        </w:rPr>
        <w:t xml:space="preserve">: </w:t>
      </w:r>
      <w:r w:rsidRPr="007A7801">
        <w:t xml:space="preserve">A new measure that is planned to be implemented in 2011 concerns the reimbursement of part of the cost of care services for children, older people and </w:t>
      </w:r>
      <w:r w:rsidR="00023680">
        <w:t>people</w:t>
      </w:r>
      <w:r w:rsidR="00023680" w:rsidRPr="007A7801">
        <w:t xml:space="preserve"> </w:t>
      </w:r>
      <w:r w:rsidRPr="007A7801">
        <w:t xml:space="preserve">with disabilities. The aim is twofold: to motivate economically inactive or unemployed women to enter the labour market and to </w:t>
      </w:r>
      <w:r w:rsidR="001D3DFC" w:rsidRPr="007A7801">
        <w:t>minimi</w:t>
      </w:r>
      <w:r w:rsidR="00023680">
        <w:t>s</w:t>
      </w:r>
      <w:r w:rsidR="001D3DFC" w:rsidRPr="007A7801">
        <w:t>e</w:t>
      </w:r>
      <w:r w:rsidRPr="007A7801">
        <w:t xml:space="preserve"> the burden of care cost for women who (re) enter the labour market. This measure will be co-financed by the ESF with a budget of €3 mln for the period 2011-2015. </w:t>
      </w:r>
    </w:p>
    <w:p w:rsidR="006246DD" w:rsidRPr="007A7801" w:rsidRDefault="006246DD" w:rsidP="0021652D">
      <w:pPr>
        <w:ind w:left="426" w:hanging="426"/>
        <w:jc w:val="both"/>
      </w:pPr>
    </w:p>
    <w:p w:rsidR="006246DD" w:rsidRPr="007A7801" w:rsidRDefault="006246DD" w:rsidP="00377323">
      <w:pPr>
        <w:pStyle w:val="ListParagraph"/>
        <w:ind w:left="426"/>
        <w:jc w:val="both"/>
      </w:pPr>
      <w:r w:rsidRPr="007A7801">
        <w:t xml:space="preserve">Furthermore, the role of the local authorities is essential in this field. There is a close cooperation with local authorities with the aim of enhancing their legislative capacity to contribute even further in this field. A dialogue regarding the type of cooperation, financing etc. is planned to commence in 2011. </w:t>
      </w:r>
    </w:p>
    <w:p w:rsidR="006246DD" w:rsidRPr="007A7801" w:rsidRDefault="006246DD" w:rsidP="0021652D">
      <w:pPr>
        <w:tabs>
          <w:tab w:val="left" w:pos="0"/>
        </w:tabs>
        <w:ind w:left="426" w:hanging="426"/>
        <w:jc w:val="both"/>
      </w:pPr>
    </w:p>
    <w:p w:rsidR="006246DD" w:rsidRPr="007A7801" w:rsidRDefault="006246DD" w:rsidP="0021652D">
      <w:pPr>
        <w:tabs>
          <w:tab w:val="left" w:pos="0"/>
        </w:tabs>
        <w:ind w:left="426" w:hanging="426"/>
        <w:jc w:val="both"/>
      </w:pPr>
    </w:p>
    <w:p w:rsidR="006246DD" w:rsidRPr="007A7801" w:rsidRDefault="006246DD" w:rsidP="00A073EF">
      <w:pPr>
        <w:pStyle w:val="ListParagraph"/>
        <w:numPr>
          <w:ilvl w:val="0"/>
          <w:numId w:val="67"/>
        </w:numPr>
        <w:tabs>
          <w:tab w:val="left" w:pos="0"/>
        </w:tabs>
        <w:ind w:left="426" w:hanging="426"/>
        <w:jc w:val="both"/>
      </w:pPr>
      <w:r w:rsidRPr="0021652D">
        <w:rPr>
          <w:b/>
        </w:rPr>
        <w:t>Education</w:t>
      </w:r>
      <w:r w:rsidR="00D361C0" w:rsidRPr="0021652D">
        <w:rPr>
          <w:b/>
        </w:rPr>
        <w:t xml:space="preserve">: </w:t>
      </w:r>
      <w:r w:rsidRPr="007A7801">
        <w:t>Conditions of poverty can lead to low education attainment and subsequently to lack of employment opportunities. Early identification of learning difficulties, promoting integration programmes for migrants as well as promoting programmes for vocational education are among the priorities (see Chapter 5 “Education”).</w:t>
      </w:r>
    </w:p>
    <w:p w:rsidR="006246DD" w:rsidRPr="007A7801" w:rsidRDefault="006246DD" w:rsidP="006246DD">
      <w:pPr>
        <w:jc w:val="both"/>
        <w:rPr>
          <w:b/>
          <w:i/>
          <w:u w:val="single"/>
        </w:rPr>
      </w:pPr>
    </w:p>
    <w:p w:rsidR="00D361C0" w:rsidRPr="007A7801" w:rsidRDefault="00D361C0" w:rsidP="006246DD">
      <w:pPr>
        <w:jc w:val="both"/>
        <w:rPr>
          <w:b/>
          <w:i/>
          <w:u w:val="single"/>
        </w:rPr>
      </w:pPr>
    </w:p>
    <w:p w:rsidR="006246DD" w:rsidRPr="007A7801" w:rsidRDefault="006246DD" w:rsidP="001D09A7">
      <w:pPr>
        <w:pStyle w:val="ListParagraph"/>
        <w:numPr>
          <w:ilvl w:val="0"/>
          <w:numId w:val="8"/>
        </w:numPr>
        <w:ind w:left="284" w:hanging="284"/>
        <w:contextualSpacing/>
        <w:jc w:val="both"/>
        <w:rPr>
          <w:b/>
        </w:rPr>
      </w:pPr>
      <w:r w:rsidRPr="007A7801">
        <w:rPr>
          <w:b/>
        </w:rPr>
        <w:t>Working poor</w:t>
      </w:r>
    </w:p>
    <w:p w:rsidR="006246DD" w:rsidRPr="007A7801" w:rsidRDefault="006246DD" w:rsidP="006246DD">
      <w:pPr>
        <w:tabs>
          <w:tab w:val="left" w:pos="0"/>
        </w:tabs>
        <w:jc w:val="both"/>
        <w:rPr>
          <w:b/>
        </w:rPr>
      </w:pPr>
    </w:p>
    <w:p w:rsidR="006246DD" w:rsidRPr="007A7801" w:rsidRDefault="006246DD" w:rsidP="006246DD">
      <w:pPr>
        <w:tabs>
          <w:tab w:val="left" w:pos="0"/>
        </w:tabs>
        <w:jc w:val="both"/>
      </w:pPr>
      <w:r w:rsidRPr="007A7801">
        <w:rPr>
          <w:b/>
        </w:rPr>
        <w:t>Revision of Minimum Wage</w:t>
      </w:r>
      <w:r w:rsidR="00D361C0" w:rsidRPr="007A7801">
        <w:rPr>
          <w:b/>
        </w:rPr>
        <w:t>:</w:t>
      </w:r>
      <w:r w:rsidR="00D361C0" w:rsidRPr="007A7801">
        <w:t xml:space="preserve"> </w:t>
      </w:r>
      <w:r w:rsidRPr="007A7801">
        <w:t>The minimum monthly wage upon recruitment was revised on 1</w:t>
      </w:r>
      <w:r w:rsidRPr="007A7801">
        <w:rPr>
          <w:vertAlign w:val="superscript"/>
        </w:rPr>
        <w:t>st</w:t>
      </w:r>
      <w:r w:rsidRPr="007A7801">
        <w:t xml:space="preserve"> April 2010 to €835 (compared to €791 in 2009), while the minimum monthly wage for employees who have completed a six month period of employment at the same employer, was revised to €887, compared to €835 in 2009. As a result of the significant revisions during the last few years, the minimum wage is currently estimated to have exceeded the target of 50% of the national median wage. This increase in minimum wages </w:t>
      </w:r>
      <w:r w:rsidR="001D3DFC" w:rsidRPr="007A7801">
        <w:t>favours</w:t>
      </w:r>
      <w:r w:rsidRPr="007A7801">
        <w:t xml:space="preserve"> women who usually hold the working positions covered by the Order</w:t>
      </w:r>
      <w:r w:rsidRPr="007A7801">
        <w:rPr>
          <w:rStyle w:val="FootnoteReference"/>
        </w:rPr>
        <w:footnoteReference w:id="12"/>
      </w:r>
      <w:r w:rsidRPr="007A7801">
        <w:t>.</w:t>
      </w:r>
    </w:p>
    <w:p w:rsidR="006246DD" w:rsidRPr="007A7801" w:rsidRDefault="006246DD" w:rsidP="006246DD">
      <w:pPr>
        <w:tabs>
          <w:tab w:val="left" w:pos="0"/>
        </w:tabs>
        <w:jc w:val="both"/>
      </w:pPr>
    </w:p>
    <w:p w:rsidR="00F5083E" w:rsidRDefault="00F5083E" w:rsidP="006246DD">
      <w:pPr>
        <w:tabs>
          <w:tab w:val="left" w:pos="0"/>
        </w:tabs>
        <w:jc w:val="both"/>
        <w:sectPr w:rsidR="00F5083E" w:rsidSect="00326D6D">
          <w:type w:val="continuous"/>
          <w:pgSz w:w="12240" w:h="15840"/>
          <w:pgMar w:top="1418" w:right="1440" w:bottom="1296" w:left="1440" w:header="720" w:footer="720" w:gutter="0"/>
          <w:cols w:space="720"/>
          <w:titlePg/>
          <w:docGrid w:linePitch="360"/>
        </w:sectPr>
      </w:pPr>
    </w:p>
    <w:p w:rsidR="001965A0" w:rsidRDefault="006246DD" w:rsidP="006246DD">
      <w:pPr>
        <w:tabs>
          <w:tab w:val="left" w:pos="0"/>
        </w:tabs>
        <w:jc w:val="both"/>
      </w:pPr>
      <w:r w:rsidRPr="007A7801">
        <w:lastRenderedPageBreak/>
        <w:t xml:space="preserve">Within the framework of the reform of the public assistance legislation (see reform of the public assistance legislation below) a consultation process will be initiated on the financial support of the working poor through a specific scheme. </w:t>
      </w:r>
    </w:p>
    <w:p w:rsidR="00377323" w:rsidRDefault="00377323" w:rsidP="006246DD">
      <w:pPr>
        <w:tabs>
          <w:tab w:val="left" w:pos="0"/>
        </w:tabs>
        <w:jc w:val="both"/>
      </w:pPr>
    </w:p>
    <w:p w:rsidR="00377323" w:rsidRPr="007A7801" w:rsidRDefault="00377323" w:rsidP="006246DD">
      <w:pPr>
        <w:tabs>
          <w:tab w:val="left" w:pos="0"/>
        </w:tabs>
        <w:jc w:val="both"/>
      </w:pPr>
    </w:p>
    <w:p w:rsidR="006246DD" w:rsidRPr="007A7801" w:rsidRDefault="006246DD" w:rsidP="001D09A7">
      <w:pPr>
        <w:pStyle w:val="ListParagraph"/>
        <w:numPr>
          <w:ilvl w:val="0"/>
          <w:numId w:val="8"/>
        </w:numPr>
        <w:tabs>
          <w:tab w:val="left" w:pos="0"/>
        </w:tabs>
        <w:ind w:left="426" w:hanging="426"/>
        <w:contextualSpacing/>
        <w:jc w:val="both"/>
        <w:rPr>
          <w:b/>
        </w:rPr>
      </w:pPr>
      <w:r w:rsidRPr="007A7801">
        <w:rPr>
          <w:b/>
        </w:rPr>
        <w:t xml:space="preserve">Unemployed and inactive population (employable people) </w:t>
      </w:r>
    </w:p>
    <w:p w:rsidR="006246DD" w:rsidRPr="007A7801" w:rsidRDefault="006246DD" w:rsidP="006246DD">
      <w:pPr>
        <w:ind w:left="720"/>
        <w:jc w:val="both"/>
      </w:pPr>
    </w:p>
    <w:p w:rsidR="006246DD" w:rsidRPr="007A7801" w:rsidRDefault="006246DD" w:rsidP="006246DD">
      <w:pPr>
        <w:jc w:val="both"/>
      </w:pPr>
      <w:r w:rsidRPr="007A7801">
        <w:t>Safeguarding equal opportunities to employment is the best guard against poverty and social exclusion. There is a direct correlation between employment and combating poverty. Within the scope of combating poverty,</w:t>
      </w:r>
      <w:r w:rsidRPr="007A7801">
        <w:rPr>
          <w:color w:val="FF0000"/>
        </w:rPr>
        <w:t xml:space="preserve"> </w:t>
      </w:r>
      <w:r w:rsidRPr="007A7801">
        <w:t>a key priority of the Cypr</w:t>
      </w:r>
      <w:r w:rsidR="00920E59">
        <w:t>iot</w:t>
      </w:r>
      <w:r w:rsidRPr="007A7801">
        <w:t xml:space="preserve"> Government is the provision of opportunities to people from disadvantaged backgrounds (such as with low educational or technical qualifications), through further training and lifelong learning programmes, to acquire the necessary skills to cope with the labour market needs. For people farthest from the labour market specialised services are planned to be reinforced (for more elaboration on labour market measures including training for the unemployed please refer to Chapter 9 “Employment and Skills”). </w:t>
      </w:r>
    </w:p>
    <w:p w:rsidR="006246DD" w:rsidRPr="007A7801" w:rsidRDefault="006246DD" w:rsidP="006246DD">
      <w:pPr>
        <w:jc w:val="both"/>
      </w:pPr>
    </w:p>
    <w:p w:rsidR="006246DD" w:rsidRPr="007A7801" w:rsidRDefault="006246DD" w:rsidP="006246DD">
      <w:pPr>
        <w:tabs>
          <w:tab w:val="left" w:pos="0"/>
        </w:tabs>
        <w:jc w:val="both"/>
      </w:pPr>
      <w:r w:rsidRPr="007A7801">
        <w:t xml:space="preserve">During 2010, a </w:t>
      </w:r>
      <w:r w:rsidR="00920E59">
        <w:t>s</w:t>
      </w:r>
      <w:r w:rsidRPr="007A7801">
        <w:t xml:space="preserve">cheme for hiring disadvantaged individuals in the private sector and local authorities was initiated. The </w:t>
      </w:r>
      <w:r w:rsidR="00920E59">
        <w:t>s</w:t>
      </w:r>
      <w:r w:rsidRPr="007A7801">
        <w:t xml:space="preserve">cheme encourages employers to recruit disadvantaged individuals by providing financial aid of 65% of the annual wage cost with a maximum amount of €13.000 per person per year for the first 12 months of employment. An additional allowance for transportation costs to and from the workplace is offered to employees. The target is the employment of 750 unemployed disadvantaged individuals. The </w:t>
      </w:r>
      <w:r w:rsidR="00920E59">
        <w:t>p</w:t>
      </w:r>
      <w:r w:rsidRPr="007A7801">
        <w:t xml:space="preserve">roject is co-financed by the ESF. The timeline of the </w:t>
      </w:r>
      <w:r w:rsidR="00920E59">
        <w:t>s</w:t>
      </w:r>
      <w:r w:rsidRPr="007A7801">
        <w:t>cheme is 2010-2014 with a budget of €9 mln.</w:t>
      </w:r>
    </w:p>
    <w:p w:rsidR="006246DD" w:rsidRPr="007A7801" w:rsidRDefault="006246DD" w:rsidP="006246DD">
      <w:pPr>
        <w:jc w:val="both"/>
      </w:pPr>
    </w:p>
    <w:p w:rsidR="006246DD" w:rsidRPr="007A7801" w:rsidRDefault="006246DD" w:rsidP="006246DD">
      <w:pPr>
        <w:tabs>
          <w:tab w:val="left" w:pos="0"/>
        </w:tabs>
        <w:jc w:val="both"/>
      </w:pPr>
      <w:r w:rsidRPr="007A7801">
        <w:t xml:space="preserve">Special note should be given to a new </w:t>
      </w:r>
      <w:r w:rsidR="00920E59">
        <w:t>p</w:t>
      </w:r>
      <w:r w:rsidRPr="007A7801">
        <w:t>roject to be promoted in 2011 for enhancing the social skills of disadvantaged individuals in order to prepare them to enter further vocational training or find employment.</w:t>
      </w:r>
      <w:r w:rsidRPr="007A7801">
        <w:rPr>
          <w:color w:val="FF0000"/>
        </w:rPr>
        <w:t xml:space="preserve"> </w:t>
      </w:r>
      <w:r w:rsidRPr="007A7801">
        <w:t xml:space="preserve">Additionally, this </w:t>
      </w:r>
      <w:r w:rsidR="00920E59">
        <w:t>p</w:t>
      </w:r>
      <w:r w:rsidRPr="007A7801">
        <w:t xml:space="preserve">roject includes the promotion of a programme for financing </w:t>
      </w:r>
      <w:r w:rsidR="00F07A53">
        <w:t>l</w:t>
      </w:r>
      <w:r w:rsidRPr="007A7801">
        <w:t xml:space="preserve">ocal </w:t>
      </w:r>
      <w:r w:rsidR="00F07A53">
        <w:t>a</w:t>
      </w:r>
      <w:r w:rsidRPr="007A7801">
        <w:t xml:space="preserve">uthorities or </w:t>
      </w:r>
      <w:r w:rsidR="00F07A53">
        <w:t>l</w:t>
      </w:r>
      <w:r w:rsidRPr="007A7801">
        <w:t xml:space="preserve">ocal </w:t>
      </w:r>
      <w:r w:rsidR="00F07A53">
        <w:t>a</w:t>
      </w:r>
      <w:r w:rsidRPr="007A7801">
        <w:t xml:space="preserve">uthorities in cooperation with NGO for the implementation of Street Social Work addressing people who are farthest from the labour market and other societal institutions. The </w:t>
      </w:r>
      <w:r w:rsidR="00920E59">
        <w:t>p</w:t>
      </w:r>
      <w:r w:rsidRPr="007A7801">
        <w:t xml:space="preserve">roject is co-financed by the ESF with a budget of €2 mln for the period 2011-2015. </w:t>
      </w:r>
    </w:p>
    <w:p w:rsidR="006246DD" w:rsidRPr="007A7801" w:rsidRDefault="006246DD" w:rsidP="006246DD">
      <w:pPr>
        <w:jc w:val="both"/>
      </w:pPr>
    </w:p>
    <w:p w:rsidR="006246DD" w:rsidRPr="007A7801" w:rsidRDefault="006246DD" w:rsidP="006246DD">
      <w:pPr>
        <w:jc w:val="both"/>
      </w:pPr>
      <w:r w:rsidRPr="007A7801">
        <w:t xml:space="preserve">In addition, provision of care services are of equal importance and safeguarding affordable care services can be an incentive for inactive parents, especially women (see </w:t>
      </w:r>
      <w:r w:rsidR="00347769">
        <w:t xml:space="preserve">measure </w:t>
      </w:r>
      <w:r w:rsidRPr="007A7801">
        <w:t xml:space="preserve">2.2 above). </w:t>
      </w:r>
    </w:p>
    <w:p w:rsidR="006246DD" w:rsidRPr="007A7801" w:rsidRDefault="006246DD" w:rsidP="006246DD">
      <w:pPr>
        <w:tabs>
          <w:tab w:val="left" w:pos="0"/>
        </w:tabs>
        <w:jc w:val="both"/>
      </w:pPr>
    </w:p>
    <w:p w:rsidR="006246DD" w:rsidRPr="007A7801" w:rsidRDefault="006246DD" w:rsidP="006246DD">
      <w:pPr>
        <w:pStyle w:val="ListParagraph"/>
        <w:tabs>
          <w:tab w:val="left" w:pos="0"/>
        </w:tabs>
        <w:jc w:val="both"/>
      </w:pPr>
    </w:p>
    <w:p w:rsidR="006246DD" w:rsidRPr="007A7801" w:rsidRDefault="006246DD" w:rsidP="001D09A7">
      <w:pPr>
        <w:pStyle w:val="ListParagraph"/>
        <w:numPr>
          <w:ilvl w:val="0"/>
          <w:numId w:val="8"/>
        </w:numPr>
        <w:tabs>
          <w:tab w:val="left" w:pos="0"/>
        </w:tabs>
        <w:ind w:left="284" w:hanging="284"/>
        <w:contextualSpacing/>
        <w:jc w:val="both"/>
      </w:pPr>
      <w:r w:rsidRPr="007A7801">
        <w:rPr>
          <w:b/>
        </w:rPr>
        <w:t xml:space="preserve">Vulnerable groups of the population experiencing poverty and social exclusion </w:t>
      </w:r>
    </w:p>
    <w:p w:rsidR="006246DD" w:rsidRPr="007A7801" w:rsidRDefault="006246DD" w:rsidP="006246DD">
      <w:pPr>
        <w:pStyle w:val="ListParagraph"/>
        <w:tabs>
          <w:tab w:val="left" w:pos="0"/>
        </w:tabs>
        <w:jc w:val="both"/>
      </w:pPr>
    </w:p>
    <w:p w:rsidR="006246DD" w:rsidRPr="007A7801" w:rsidRDefault="006246DD" w:rsidP="00A073EF">
      <w:pPr>
        <w:pStyle w:val="ListParagraph"/>
        <w:numPr>
          <w:ilvl w:val="0"/>
          <w:numId w:val="67"/>
        </w:numPr>
        <w:ind w:left="284" w:hanging="284"/>
        <w:jc w:val="both"/>
      </w:pPr>
      <w:r w:rsidRPr="00377323">
        <w:rPr>
          <w:b/>
        </w:rPr>
        <w:t>Safeguarding a week’s holiday for vulnerable groups</w:t>
      </w:r>
      <w:r w:rsidR="00D361C0" w:rsidRPr="00377323">
        <w:rPr>
          <w:b/>
        </w:rPr>
        <w:t xml:space="preserve">: </w:t>
      </w:r>
      <w:r w:rsidRPr="00377323">
        <w:rPr>
          <w:lang w:val="en-GB"/>
        </w:rPr>
        <w:t xml:space="preserve">Towards this aim, schemes for providing holiday allowance to pensioners, </w:t>
      </w:r>
      <w:r w:rsidR="00920E59">
        <w:rPr>
          <w:lang w:val="en-GB"/>
        </w:rPr>
        <w:t>people</w:t>
      </w:r>
      <w:r w:rsidR="00920E59" w:rsidRPr="00377323">
        <w:rPr>
          <w:lang w:val="en-GB"/>
        </w:rPr>
        <w:t xml:space="preserve"> </w:t>
      </w:r>
      <w:r w:rsidRPr="00377323">
        <w:rPr>
          <w:lang w:val="en-GB"/>
        </w:rPr>
        <w:t xml:space="preserve">with low incomes, </w:t>
      </w:r>
      <w:r w:rsidR="00920E59">
        <w:rPr>
          <w:lang w:val="en-GB"/>
        </w:rPr>
        <w:t>people</w:t>
      </w:r>
      <w:r w:rsidR="00920E59" w:rsidRPr="00377323">
        <w:rPr>
          <w:lang w:val="en-GB"/>
        </w:rPr>
        <w:t xml:space="preserve"> </w:t>
      </w:r>
      <w:r w:rsidRPr="00377323">
        <w:rPr>
          <w:lang w:val="en-GB"/>
        </w:rPr>
        <w:t xml:space="preserve">with disabilities and public assistance recipients are being successfully implemented. </w:t>
      </w:r>
      <w:r w:rsidRPr="007A7801">
        <w:t xml:space="preserve">The purpose of these allowances is to </w:t>
      </w:r>
      <w:r w:rsidR="00307C28" w:rsidRPr="007A7801">
        <w:t>subsidi</w:t>
      </w:r>
      <w:r w:rsidR="00920E59">
        <w:t>s</w:t>
      </w:r>
      <w:r w:rsidR="00307C28" w:rsidRPr="007A7801">
        <w:t>e</w:t>
      </w:r>
      <w:r w:rsidRPr="007A7801">
        <w:t xml:space="preserve"> the cost for holidays for vulnerable groups of the population, mainly </w:t>
      </w:r>
      <w:r w:rsidR="00920E59">
        <w:t xml:space="preserve">people </w:t>
      </w:r>
      <w:r w:rsidRPr="007A7801">
        <w:t>with low income.</w:t>
      </w:r>
    </w:p>
    <w:p w:rsidR="006246DD" w:rsidRPr="007A7801" w:rsidRDefault="006246DD" w:rsidP="00377323">
      <w:pPr>
        <w:overflowPunct w:val="0"/>
        <w:autoSpaceDE w:val="0"/>
        <w:autoSpaceDN w:val="0"/>
        <w:adjustRightInd w:val="0"/>
        <w:ind w:left="284" w:hanging="284"/>
        <w:jc w:val="both"/>
        <w:textAlignment w:val="baseline"/>
        <w:rPr>
          <w:b/>
        </w:rPr>
      </w:pPr>
    </w:p>
    <w:p w:rsidR="00F5083E" w:rsidRDefault="00F5083E" w:rsidP="00A073EF">
      <w:pPr>
        <w:pStyle w:val="ListParagraph"/>
        <w:numPr>
          <w:ilvl w:val="0"/>
          <w:numId w:val="67"/>
        </w:numPr>
        <w:overflowPunct w:val="0"/>
        <w:autoSpaceDE w:val="0"/>
        <w:autoSpaceDN w:val="0"/>
        <w:adjustRightInd w:val="0"/>
        <w:ind w:left="284" w:hanging="284"/>
        <w:jc w:val="both"/>
        <w:textAlignment w:val="baseline"/>
        <w:rPr>
          <w:b/>
        </w:rPr>
        <w:sectPr w:rsidR="00F5083E" w:rsidSect="00326D6D">
          <w:type w:val="continuous"/>
          <w:pgSz w:w="12240" w:h="15840"/>
          <w:pgMar w:top="1418" w:right="1440" w:bottom="1296" w:left="1440" w:header="720" w:footer="720" w:gutter="0"/>
          <w:cols w:space="720"/>
          <w:titlePg/>
          <w:docGrid w:linePitch="360"/>
        </w:sectPr>
      </w:pPr>
    </w:p>
    <w:p w:rsidR="009C76E0" w:rsidRDefault="006246DD" w:rsidP="00A073EF">
      <w:pPr>
        <w:pStyle w:val="ListParagraph"/>
        <w:numPr>
          <w:ilvl w:val="0"/>
          <w:numId w:val="67"/>
        </w:numPr>
        <w:overflowPunct w:val="0"/>
        <w:autoSpaceDE w:val="0"/>
        <w:autoSpaceDN w:val="0"/>
        <w:adjustRightInd w:val="0"/>
        <w:ind w:left="284" w:hanging="284"/>
        <w:jc w:val="both"/>
        <w:textAlignment w:val="baseline"/>
        <w:sectPr w:rsidR="009C76E0" w:rsidSect="00326D6D">
          <w:type w:val="continuous"/>
          <w:pgSz w:w="12240" w:h="15840"/>
          <w:pgMar w:top="1418" w:right="1440" w:bottom="1296" w:left="1440" w:header="720" w:footer="720" w:gutter="0"/>
          <w:cols w:space="720"/>
          <w:titlePg/>
          <w:docGrid w:linePitch="360"/>
        </w:sectPr>
      </w:pPr>
      <w:r w:rsidRPr="00377323">
        <w:rPr>
          <w:b/>
        </w:rPr>
        <w:lastRenderedPageBreak/>
        <w:t>Ensuring proper housing for low incomers</w:t>
      </w:r>
      <w:r w:rsidR="00D361C0" w:rsidRPr="00377323">
        <w:rPr>
          <w:b/>
        </w:rPr>
        <w:t xml:space="preserve">: </w:t>
      </w:r>
      <w:r w:rsidRPr="007A7801">
        <w:t>Loans and grants-in-aid for the construction, renovation or improvement of homes</w:t>
      </w:r>
      <w:r w:rsidRPr="00377323">
        <w:rPr>
          <w:b/>
        </w:rPr>
        <w:t xml:space="preserve"> </w:t>
      </w:r>
      <w:r w:rsidRPr="007A7801">
        <w:t xml:space="preserve">have been provided since 2007 through the Unified </w:t>
      </w:r>
    </w:p>
    <w:p w:rsidR="00F17721" w:rsidRDefault="00CB49AE" w:rsidP="00F17721">
      <w:pPr>
        <w:tabs>
          <w:tab w:val="left" w:pos="284"/>
        </w:tabs>
        <w:overflowPunct w:val="0"/>
        <w:autoSpaceDE w:val="0"/>
        <w:autoSpaceDN w:val="0"/>
        <w:adjustRightInd w:val="0"/>
        <w:ind w:left="284" w:hanging="284"/>
        <w:jc w:val="both"/>
        <w:textAlignment w:val="baseline"/>
      </w:pPr>
      <w:r>
        <w:lastRenderedPageBreak/>
        <w:t xml:space="preserve">    </w:t>
      </w:r>
      <w:r w:rsidR="006246DD" w:rsidRPr="007A7801">
        <w:t xml:space="preserve">Housing Scheme. The </w:t>
      </w:r>
      <w:r w:rsidR="00920E59">
        <w:t>s</w:t>
      </w:r>
      <w:r w:rsidR="006246DD" w:rsidRPr="007A7801">
        <w:t xml:space="preserve">cheme targets large families, </w:t>
      </w:r>
      <w:r w:rsidR="00920E59">
        <w:t>people</w:t>
      </w:r>
      <w:r w:rsidR="00920E59" w:rsidRPr="007A7801">
        <w:t xml:space="preserve"> </w:t>
      </w:r>
      <w:r w:rsidR="006246DD" w:rsidRPr="007A7801">
        <w:t xml:space="preserve">with disabilities and </w:t>
      </w:r>
      <w:r w:rsidR="00920E59">
        <w:t>people</w:t>
      </w:r>
      <w:r w:rsidR="00920E59" w:rsidRPr="007A7801">
        <w:t xml:space="preserve"> </w:t>
      </w:r>
      <w:r w:rsidR="006246DD" w:rsidRPr="007A7801">
        <w:t>wishing to reside in specified areas i.e. small or distant communities, communities along the Green Line in Nicosia and communities along the Buffer Zone. Furthermore, Cyprus intends to investigate new methods for covering the cost of rent for vulnerable people (see reform of the public assistance legislation below).</w:t>
      </w:r>
    </w:p>
    <w:p w:rsidR="006246DD" w:rsidRPr="007A7801" w:rsidRDefault="006246DD" w:rsidP="00377323">
      <w:pPr>
        <w:overflowPunct w:val="0"/>
        <w:autoSpaceDE w:val="0"/>
        <w:autoSpaceDN w:val="0"/>
        <w:adjustRightInd w:val="0"/>
        <w:ind w:left="284" w:hanging="284"/>
        <w:jc w:val="both"/>
        <w:textAlignment w:val="baseline"/>
      </w:pPr>
    </w:p>
    <w:p w:rsidR="006246DD" w:rsidRPr="00377323" w:rsidRDefault="006246DD" w:rsidP="00A073EF">
      <w:pPr>
        <w:pStyle w:val="ListParagraph"/>
        <w:numPr>
          <w:ilvl w:val="0"/>
          <w:numId w:val="67"/>
        </w:numPr>
        <w:tabs>
          <w:tab w:val="left" w:pos="0"/>
        </w:tabs>
        <w:ind w:left="284" w:hanging="284"/>
        <w:jc w:val="both"/>
        <w:rPr>
          <w:color w:val="FF0000"/>
          <w:u w:val="single"/>
        </w:rPr>
      </w:pPr>
      <w:r w:rsidRPr="00377323">
        <w:rPr>
          <w:b/>
        </w:rPr>
        <w:t>Labour market integration of Persons with Disabilities</w:t>
      </w:r>
      <w:r w:rsidR="00D361C0" w:rsidRPr="00377323">
        <w:rPr>
          <w:b/>
        </w:rPr>
        <w:t xml:space="preserve">: </w:t>
      </w:r>
      <w:r w:rsidRPr="007A7801">
        <w:t xml:space="preserve">The development of a </w:t>
      </w:r>
      <w:r w:rsidR="00920E59">
        <w:t>s</w:t>
      </w:r>
      <w:r w:rsidRPr="007A7801">
        <w:t xml:space="preserve">ystem for the Assessment of Disability and Functioning is in progress. Through this new system, </w:t>
      </w:r>
      <w:r w:rsidR="00920E59">
        <w:t>people</w:t>
      </w:r>
      <w:r w:rsidR="00920E59" w:rsidRPr="007A7801">
        <w:t xml:space="preserve"> </w:t>
      </w:r>
      <w:r w:rsidRPr="007A7801">
        <w:t xml:space="preserve">with disabilities will pass a credible and reliable assessment in order to document the necessary interventions (including training and employment) for their social inclusion. The timeline for the development of this </w:t>
      </w:r>
      <w:r w:rsidR="00920E59">
        <w:t>s</w:t>
      </w:r>
      <w:r w:rsidRPr="007A7801">
        <w:t xml:space="preserve">ystem is 2010-2013 with a budget of €6 mln. In parallel, a project has been initiated and is in progress for the establishment of an Organisation for the Vocational Training and Employment of </w:t>
      </w:r>
      <w:r w:rsidR="00920E59" w:rsidRPr="007A7801">
        <w:t>P</w:t>
      </w:r>
      <w:r w:rsidR="00920E59">
        <w:t>eople</w:t>
      </w:r>
      <w:r w:rsidR="00920E59" w:rsidRPr="007A7801">
        <w:t xml:space="preserve"> </w:t>
      </w:r>
      <w:r w:rsidRPr="007A7801">
        <w:t xml:space="preserve">with Disabilities that will promote new training programmes combined with supported employment or social entrepreneurship programmes for persons with disabilities. The timeline for setting up this </w:t>
      </w:r>
      <w:r w:rsidR="00920E59">
        <w:t>o</w:t>
      </w:r>
      <w:r w:rsidRPr="007A7801">
        <w:t>rganisation is 2009-2012.</w:t>
      </w:r>
    </w:p>
    <w:p w:rsidR="006246DD" w:rsidRPr="007A7801" w:rsidRDefault="006246DD" w:rsidP="00377323">
      <w:pPr>
        <w:ind w:left="284" w:hanging="284"/>
        <w:jc w:val="both"/>
      </w:pPr>
    </w:p>
    <w:p w:rsidR="006246DD" w:rsidRPr="007A7801" w:rsidRDefault="00920E59" w:rsidP="00377323">
      <w:pPr>
        <w:ind w:left="284"/>
        <w:jc w:val="both"/>
      </w:pPr>
      <w:r>
        <w:t>People</w:t>
      </w:r>
      <w:r w:rsidRPr="007A7801">
        <w:t xml:space="preserve"> </w:t>
      </w:r>
      <w:r w:rsidR="006246DD" w:rsidRPr="007A7801">
        <w:t xml:space="preserve">with disabilities who fulfill certain objective criteria are entitled to be recruited in public organisations up to a quota of 10% of vacant posts through the new Law for the “Recruitment of </w:t>
      </w:r>
      <w:r>
        <w:t xml:space="preserve">People </w:t>
      </w:r>
      <w:r w:rsidR="006246DD" w:rsidRPr="007A7801">
        <w:t>with Disabilities in the Wider Public Sector”</w:t>
      </w:r>
      <w:r w:rsidR="006246DD" w:rsidRPr="007A7801">
        <w:rPr>
          <w:i/>
        </w:rPr>
        <w:t xml:space="preserve"> </w:t>
      </w:r>
      <w:r w:rsidR="006246DD" w:rsidRPr="007A7801">
        <w:t>which was approved in 2009.</w:t>
      </w:r>
    </w:p>
    <w:p w:rsidR="006246DD" w:rsidRPr="007A7801" w:rsidRDefault="006246DD" w:rsidP="00377323">
      <w:pPr>
        <w:tabs>
          <w:tab w:val="left" w:pos="0"/>
        </w:tabs>
        <w:ind w:left="284"/>
        <w:jc w:val="both"/>
        <w:rPr>
          <w:b/>
        </w:rPr>
      </w:pPr>
    </w:p>
    <w:p w:rsidR="006246DD" w:rsidRPr="007A7801" w:rsidRDefault="002167AC" w:rsidP="00377323">
      <w:pPr>
        <w:tabs>
          <w:tab w:val="left" w:pos="0"/>
        </w:tabs>
        <w:ind w:left="284"/>
        <w:jc w:val="both"/>
      </w:pPr>
      <w:r>
        <w:t>F</w:t>
      </w:r>
      <w:r w:rsidR="006246DD" w:rsidRPr="007A7801">
        <w:t>inancial aid of 75% of the wage cost with a maximum amount of €15.000 per person per year is provided to employers who employ people with disabilities for the first 24 months of employment.</w:t>
      </w:r>
      <w:r w:rsidR="006246DD" w:rsidRPr="007A7801">
        <w:rPr>
          <w:b/>
        </w:rPr>
        <w:t xml:space="preserve"> </w:t>
      </w:r>
      <w:r w:rsidR="006246DD" w:rsidRPr="007A7801">
        <w:t>Additionally, financial aid up to 25% of the eligible costs with a maximum amount of €5.000 per person, for adapting premises, adapting or acquiring equipment, or acquiring and validating software for use by workers with disabilities, where the beneficiary provides sheltered employment, the costs of constructing, installing or expanding the establishment concerned, and any costs of administration and transport which result directly from the employment of disabled workers. The target is the employment of 120 unemployed people with disabilities. The project is co-financed by the ESF. The implementation period of the scheme is 2009-2014 with a budget of €1 mln.</w:t>
      </w:r>
    </w:p>
    <w:p w:rsidR="006246DD" w:rsidRPr="007A7801" w:rsidRDefault="006246DD" w:rsidP="00377323">
      <w:pPr>
        <w:tabs>
          <w:tab w:val="left" w:pos="0"/>
        </w:tabs>
        <w:ind w:left="284"/>
        <w:jc w:val="both"/>
        <w:rPr>
          <w:b/>
          <w:u w:val="single"/>
        </w:rPr>
      </w:pPr>
    </w:p>
    <w:p w:rsidR="006246DD" w:rsidRPr="007A7801" w:rsidRDefault="006246DD" w:rsidP="00377323">
      <w:pPr>
        <w:tabs>
          <w:tab w:val="left" w:pos="0"/>
        </w:tabs>
        <w:ind w:left="284"/>
        <w:jc w:val="both"/>
      </w:pPr>
      <w:r w:rsidRPr="007A7801">
        <w:t>As regards people with mental health problems, the MERA programme was extended in 2010. This programme provides speciali</w:t>
      </w:r>
      <w:r w:rsidR="00920E59">
        <w:t>s</w:t>
      </w:r>
      <w:r w:rsidRPr="007A7801">
        <w:t xml:space="preserve">ed vocational rehabilitation in order to facilitate their integration in the labour market as well as support to individuals while they are at work in order to safeguard their adjustment. </w:t>
      </w:r>
    </w:p>
    <w:p w:rsidR="006246DD" w:rsidRPr="007A7801" w:rsidRDefault="006246DD" w:rsidP="00377323">
      <w:pPr>
        <w:tabs>
          <w:tab w:val="left" w:pos="0"/>
        </w:tabs>
        <w:ind w:left="284"/>
        <w:jc w:val="both"/>
      </w:pPr>
    </w:p>
    <w:p w:rsidR="006246DD" w:rsidRPr="007A7801" w:rsidRDefault="002167AC" w:rsidP="00377323">
      <w:pPr>
        <w:tabs>
          <w:tab w:val="left" w:pos="0"/>
        </w:tabs>
        <w:ind w:left="284"/>
        <w:jc w:val="both"/>
      </w:pPr>
      <w:r>
        <w:t>W</w:t>
      </w:r>
      <w:r w:rsidR="006246DD" w:rsidRPr="007A7801">
        <w:t xml:space="preserve">ithin the reform of the public assistance legislation, people with disabilities are among the groups of the population that will be addressed (see the reform of public assistance legislation below). </w:t>
      </w:r>
    </w:p>
    <w:p w:rsidR="006246DD" w:rsidRPr="007A7801" w:rsidRDefault="006246DD" w:rsidP="006246DD">
      <w:pPr>
        <w:tabs>
          <w:tab w:val="left" w:pos="0"/>
        </w:tabs>
        <w:jc w:val="both"/>
      </w:pPr>
    </w:p>
    <w:p w:rsidR="00F5083E" w:rsidRDefault="006246DD" w:rsidP="00A073EF">
      <w:pPr>
        <w:pStyle w:val="ListParagraph"/>
        <w:numPr>
          <w:ilvl w:val="0"/>
          <w:numId w:val="68"/>
        </w:numPr>
        <w:tabs>
          <w:tab w:val="left" w:pos="0"/>
        </w:tabs>
        <w:ind w:left="284" w:hanging="284"/>
        <w:jc w:val="both"/>
        <w:sectPr w:rsidR="00F5083E" w:rsidSect="00326D6D">
          <w:type w:val="continuous"/>
          <w:pgSz w:w="12240" w:h="15840"/>
          <w:pgMar w:top="1418" w:right="1440" w:bottom="1296" w:left="1440" w:header="720" w:footer="720" w:gutter="0"/>
          <w:cols w:space="720"/>
          <w:titlePg/>
          <w:docGrid w:linePitch="360"/>
        </w:sectPr>
      </w:pPr>
      <w:r w:rsidRPr="00377323">
        <w:rPr>
          <w:b/>
        </w:rPr>
        <w:t>“Social Card” benefits for disadvantaged groups of the population</w:t>
      </w:r>
      <w:r w:rsidR="00D361C0" w:rsidRPr="00377323">
        <w:rPr>
          <w:b/>
        </w:rPr>
        <w:t xml:space="preserve">: </w:t>
      </w:r>
      <w:r w:rsidRPr="007A7801">
        <w:t>Benefits for holders of the “Social Card” which is issued to all persons aged 63 or over and to invalidity pensioners regardless of age, include free transport by bus</w:t>
      </w:r>
      <w:r w:rsidR="00E62B5F">
        <w:t xml:space="preserve"> in rural and urban areas, free</w:t>
      </w:r>
    </w:p>
    <w:p w:rsidR="00E62B5F" w:rsidRDefault="00E62B5F">
      <w:pPr>
        <w:spacing w:after="200" w:line="276" w:lineRule="auto"/>
      </w:pPr>
      <w:r>
        <w:lastRenderedPageBreak/>
        <w:br w:type="page"/>
      </w:r>
    </w:p>
    <w:p w:rsidR="00E62B5F" w:rsidRDefault="00E62B5F" w:rsidP="00E62B5F">
      <w:pPr>
        <w:tabs>
          <w:tab w:val="left" w:pos="284"/>
        </w:tabs>
        <w:ind w:left="284"/>
        <w:jc w:val="both"/>
        <w:sectPr w:rsidR="00E62B5F" w:rsidSect="00E62B5F">
          <w:headerReference w:type="default" r:id="rId49"/>
          <w:type w:val="continuous"/>
          <w:pgSz w:w="12240" w:h="15840"/>
          <w:pgMar w:top="1418" w:right="1440" w:bottom="1296" w:left="1440" w:header="720" w:footer="720" w:gutter="0"/>
          <w:cols w:space="720"/>
          <w:titlePg/>
          <w:docGrid w:linePitch="360"/>
        </w:sectPr>
      </w:pPr>
    </w:p>
    <w:p w:rsidR="006246DD" w:rsidRPr="007A7801" w:rsidRDefault="00E62B5F" w:rsidP="00E62B5F">
      <w:pPr>
        <w:tabs>
          <w:tab w:val="left" w:pos="284"/>
        </w:tabs>
        <w:ind w:left="284"/>
        <w:jc w:val="both"/>
      </w:pPr>
      <w:r>
        <w:lastRenderedPageBreak/>
        <w:t>t</w:t>
      </w:r>
      <w:r w:rsidR="006246DD" w:rsidRPr="007A7801">
        <w:t>heatre tickets, reduced fares for cruises, reduced hotel fees and reductions for social events. Enlarging the scope of the benefits of the Social Card to include free access to museums and archaeological sites, reduced tickets for sport and other events, is under consideration.</w:t>
      </w:r>
    </w:p>
    <w:p w:rsidR="006246DD" w:rsidRPr="007A7801" w:rsidRDefault="006246DD" w:rsidP="00377323">
      <w:pPr>
        <w:tabs>
          <w:tab w:val="left" w:pos="0"/>
        </w:tabs>
        <w:ind w:left="284" w:hanging="284"/>
        <w:jc w:val="both"/>
      </w:pPr>
    </w:p>
    <w:p w:rsidR="006246DD" w:rsidRPr="007A7801" w:rsidRDefault="006246DD" w:rsidP="00A073EF">
      <w:pPr>
        <w:pStyle w:val="ListParagraph"/>
        <w:numPr>
          <w:ilvl w:val="0"/>
          <w:numId w:val="68"/>
        </w:numPr>
        <w:tabs>
          <w:tab w:val="left" w:pos="0"/>
        </w:tabs>
        <w:ind w:left="284" w:hanging="284"/>
        <w:jc w:val="both"/>
      </w:pPr>
      <w:r w:rsidRPr="00377323">
        <w:rPr>
          <w:b/>
        </w:rPr>
        <w:t>Integration of Migrants</w:t>
      </w:r>
      <w:r w:rsidR="00D361C0" w:rsidRPr="00377323">
        <w:rPr>
          <w:b/>
        </w:rPr>
        <w:t xml:space="preserve">: </w:t>
      </w:r>
      <w:r w:rsidRPr="007A7801">
        <w:t xml:space="preserve">Several actions are being promoted within the programming period 2008–2013 of the European Refugee Fund which ends on 30.6.2015 and targets the integration of beneficiaries of international protection (refugees and persons with subsidiary protection). More specifically, a number of actions are currently in progress or about to restart, covering all the main cities. These actions include Greek language programmes, orientation and vocational training programmes, as well as a programme for raising awareness and informing the public about the target group. </w:t>
      </w:r>
    </w:p>
    <w:p w:rsidR="006246DD" w:rsidRPr="007A7801" w:rsidRDefault="006246DD" w:rsidP="006246DD">
      <w:pPr>
        <w:tabs>
          <w:tab w:val="left" w:pos="0"/>
        </w:tabs>
        <w:jc w:val="both"/>
        <w:rPr>
          <w:b/>
          <w:u w:val="single"/>
        </w:rPr>
      </w:pPr>
    </w:p>
    <w:p w:rsidR="006246DD" w:rsidRPr="007A7801" w:rsidRDefault="006246DD" w:rsidP="00377323">
      <w:pPr>
        <w:ind w:left="284"/>
        <w:jc w:val="both"/>
        <w:rPr>
          <w:lang w:val="en-GB"/>
        </w:rPr>
      </w:pPr>
      <w:r w:rsidRPr="007A7801">
        <w:rPr>
          <w:lang w:val="en-GB"/>
        </w:rPr>
        <w:t>Furthermore, actions promoting the integration of third country nationals are co-financed by the European Integration Fund for Third Country Nationals and the Republic of Cyprus. These actions include among others</w:t>
      </w:r>
      <w:r w:rsidRPr="007A7801">
        <w:t>,</w:t>
      </w:r>
      <w:r w:rsidRPr="007A7801">
        <w:rPr>
          <w:lang w:val="en-GB"/>
        </w:rPr>
        <w:t xml:space="preserve"> Greek language programmes for adults and children, multicultural camps, training seminars for public officials and research on migration issues. Future actions will include a public awareness campaign, publication of informational guides regarding </w:t>
      </w:r>
      <w:smartTag w:uri="urn:schemas-microsoft-com:office:smarttags" w:element="place">
        <w:smartTag w:uri="urn:schemas-microsoft-com:office:smarttags" w:element="country-region">
          <w:r w:rsidRPr="007A7801">
            <w:rPr>
              <w:lang w:val="en-GB"/>
            </w:rPr>
            <w:t>Cyprus</w:t>
          </w:r>
        </w:smartTag>
      </w:smartTag>
      <w:r w:rsidRPr="007A7801">
        <w:rPr>
          <w:lang w:val="en-GB"/>
        </w:rPr>
        <w:t xml:space="preserve"> in various languages and programmes promoting third country nationals’ awareness on traffic rules.</w:t>
      </w:r>
    </w:p>
    <w:p w:rsidR="006246DD" w:rsidRPr="007A7801" w:rsidRDefault="006246DD" w:rsidP="006246DD">
      <w:pPr>
        <w:tabs>
          <w:tab w:val="left" w:pos="0"/>
        </w:tabs>
        <w:jc w:val="both"/>
        <w:rPr>
          <w:b/>
        </w:rPr>
      </w:pPr>
    </w:p>
    <w:p w:rsidR="006246DD" w:rsidRPr="00377323" w:rsidRDefault="006246DD" w:rsidP="00A073EF">
      <w:pPr>
        <w:pStyle w:val="ListParagraph"/>
        <w:numPr>
          <w:ilvl w:val="0"/>
          <w:numId w:val="69"/>
        </w:numPr>
        <w:tabs>
          <w:tab w:val="left" w:pos="0"/>
        </w:tabs>
        <w:ind w:left="284" w:hanging="284"/>
        <w:contextualSpacing/>
        <w:jc w:val="both"/>
        <w:rPr>
          <w:b/>
        </w:rPr>
      </w:pPr>
      <w:r w:rsidRPr="00377323">
        <w:rPr>
          <w:b/>
        </w:rPr>
        <w:t xml:space="preserve">Income Support measures and other services for the most vulnerable groups of the population </w:t>
      </w:r>
    </w:p>
    <w:p w:rsidR="006246DD" w:rsidRPr="007A7801" w:rsidRDefault="006246DD" w:rsidP="006246DD">
      <w:pPr>
        <w:jc w:val="both"/>
      </w:pPr>
    </w:p>
    <w:p w:rsidR="00A66431" w:rsidRDefault="006246DD" w:rsidP="00A073EF">
      <w:pPr>
        <w:pStyle w:val="ListParagraph"/>
        <w:numPr>
          <w:ilvl w:val="0"/>
          <w:numId w:val="70"/>
        </w:numPr>
        <w:ind w:hanging="436"/>
        <w:jc w:val="both"/>
      </w:pPr>
      <w:r w:rsidRPr="007A7801">
        <w:rPr>
          <w:b/>
        </w:rPr>
        <w:t>Reform of the Public Assistance</w:t>
      </w:r>
      <w:r w:rsidR="00A66431" w:rsidRPr="007A7801">
        <w:rPr>
          <w:b/>
        </w:rPr>
        <w:t xml:space="preserve">: </w:t>
      </w:r>
      <w:r w:rsidRPr="007A7801">
        <w:t>Through the years, the current system for public assistance provision has become so complex that it has led to disfunctionalities and distortions which dictate its reformation. We are currently under consultation for a framework which will</w:t>
      </w:r>
      <w:r w:rsidRPr="007A7801">
        <w:rPr>
          <w:color w:val="FF0000"/>
        </w:rPr>
        <w:t xml:space="preserve"> </w:t>
      </w:r>
      <w:r w:rsidRPr="007A7801">
        <w:t>better address the needs of vulnerable groups. The timeline of this reform is 2011-2012.</w:t>
      </w:r>
    </w:p>
    <w:p w:rsidR="00377323" w:rsidRPr="007A7801" w:rsidRDefault="00377323" w:rsidP="00377323">
      <w:pPr>
        <w:pStyle w:val="ListParagraph"/>
        <w:jc w:val="both"/>
      </w:pPr>
    </w:p>
    <w:p w:rsidR="00120C78" w:rsidRDefault="006246DD" w:rsidP="00A073EF">
      <w:pPr>
        <w:pStyle w:val="ListParagraph"/>
        <w:numPr>
          <w:ilvl w:val="0"/>
          <w:numId w:val="70"/>
        </w:numPr>
        <w:tabs>
          <w:tab w:val="left" w:pos="0"/>
        </w:tabs>
        <w:spacing w:before="120" w:after="200"/>
        <w:ind w:hanging="436"/>
        <w:jc w:val="both"/>
      </w:pPr>
      <w:r w:rsidRPr="00120C78">
        <w:rPr>
          <w:b/>
        </w:rPr>
        <w:t>Compensatory Measures for a VAT imposition on foodstuffs and medicines</w:t>
      </w:r>
      <w:r w:rsidR="00A66431" w:rsidRPr="00120C78">
        <w:rPr>
          <w:b/>
        </w:rPr>
        <w:t xml:space="preserve">: </w:t>
      </w:r>
      <w:r w:rsidRPr="007A7801">
        <w:t xml:space="preserve">Due to the recent VAT </w:t>
      </w:r>
      <w:r w:rsidR="002167AC">
        <w:t xml:space="preserve">imposition </w:t>
      </w:r>
      <w:r w:rsidRPr="007A7801">
        <w:t xml:space="preserve">of 5% on foodstuffs and medicines </w:t>
      </w:r>
      <w:r w:rsidR="002167AC">
        <w:t>(of previously zero rate)</w:t>
      </w:r>
      <w:r w:rsidR="002167AC" w:rsidRPr="007A7801">
        <w:t xml:space="preserve"> </w:t>
      </w:r>
      <w:r w:rsidRPr="007A7801">
        <w:t>a new package of compensatory measures</w:t>
      </w:r>
      <w:r w:rsidR="00FD3920">
        <w:t xml:space="preserve"> amounting to approximately €19,</w:t>
      </w:r>
      <w:r w:rsidRPr="007A7801">
        <w:t>1 mln for 2011 was recently introduced, targeted at low income pensioners, low income working households and long</w:t>
      </w:r>
      <w:r w:rsidR="00607105">
        <w:t>-</w:t>
      </w:r>
      <w:r w:rsidRPr="007A7801">
        <w:t xml:space="preserve">term unemployed households, </w:t>
      </w:r>
      <w:r w:rsidR="00920E59">
        <w:t>people</w:t>
      </w:r>
      <w:r w:rsidR="00920E59" w:rsidRPr="007A7801">
        <w:t xml:space="preserve"> </w:t>
      </w:r>
      <w:r w:rsidRPr="007A7801">
        <w:t>with disabilities and public assistance recipients.</w:t>
      </w:r>
      <w:bookmarkStart w:id="82" w:name="_Toc290458747"/>
    </w:p>
    <w:p w:rsidR="00120C78" w:rsidRDefault="00120C78" w:rsidP="00E73F30">
      <w:pPr>
        <w:pStyle w:val="ListParagraph"/>
      </w:pPr>
    </w:p>
    <w:p w:rsidR="00120C78" w:rsidRDefault="00120C78" w:rsidP="00E73F30">
      <w:pPr>
        <w:tabs>
          <w:tab w:val="left" w:pos="0"/>
        </w:tabs>
        <w:spacing w:before="120" w:after="200"/>
        <w:jc w:val="both"/>
      </w:pPr>
    </w:p>
    <w:p w:rsidR="00120C78" w:rsidRDefault="00120C78" w:rsidP="00120C78">
      <w:pPr>
        <w:tabs>
          <w:tab w:val="left" w:pos="0"/>
        </w:tabs>
        <w:spacing w:before="120" w:after="200" w:line="276" w:lineRule="auto"/>
        <w:jc w:val="both"/>
      </w:pPr>
    </w:p>
    <w:p w:rsidR="00120C78" w:rsidRDefault="00120C78" w:rsidP="00120C78">
      <w:pPr>
        <w:tabs>
          <w:tab w:val="left" w:pos="0"/>
        </w:tabs>
        <w:spacing w:before="120" w:after="200" w:line="276" w:lineRule="auto"/>
        <w:jc w:val="both"/>
      </w:pPr>
    </w:p>
    <w:p w:rsidR="00120C78" w:rsidRDefault="00120C78" w:rsidP="00120C78">
      <w:pPr>
        <w:tabs>
          <w:tab w:val="left" w:pos="0"/>
        </w:tabs>
        <w:spacing w:before="120" w:after="200" w:line="276" w:lineRule="auto"/>
        <w:jc w:val="both"/>
      </w:pPr>
    </w:p>
    <w:p w:rsidR="00120C78" w:rsidRDefault="00120C78" w:rsidP="00120C78">
      <w:pPr>
        <w:tabs>
          <w:tab w:val="left" w:pos="0"/>
        </w:tabs>
        <w:spacing w:before="120" w:after="200" w:line="276" w:lineRule="auto"/>
        <w:jc w:val="both"/>
      </w:pPr>
    </w:p>
    <w:p w:rsidR="004E6645" w:rsidRPr="002E39AE" w:rsidRDefault="004E6645" w:rsidP="004E6645">
      <w:pPr>
        <w:pStyle w:val="Heading1"/>
      </w:pPr>
      <w:bookmarkStart w:id="83" w:name="_Toc292454641"/>
      <w:bookmarkEnd w:id="82"/>
      <w:r w:rsidRPr="002E39AE">
        <w:lastRenderedPageBreak/>
        <w:t>11. HORIZONTAL AND            METHODOLOGICAL ISSUES</w:t>
      </w:r>
      <w:bookmarkEnd w:id="83"/>
    </w:p>
    <w:p w:rsidR="004E6645" w:rsidRPr="002E39AE" w:rsidRDefault="004E6645" w:rsidP="004E6645">
      <w:pPr>
        <w:jc w:val="both"/>
      </w:pPr>
    </w:p>
    <w:p w:rsidR="004E6645" w:rsidRPr="002E39AE" w:rsidRDefault="004E6645" w:rsidP="004E6645">
      <w:pPr>
        <w:jc w:val="both"/>
      </w:pPr>
    </w:p>
    <w:p w:rsidR="004E6645" w:rsidRPr="002E39AE" w:rsidRDefault="004E6645" w:rsidP="004E6645">
      <w:pPr>
        <w:jc w:val="both"/>
      </w:pPr>
      <w:r w:rsidRPr="002E39AE">
        <w:t>The National Reform Programme (NRP) of Cyprus presents the structural reforms   for growth and social cohesion under eight priority chapters, one for each flagship initiative of the Strategy EU2020 and one on macro- structural changes. The rationale for including the two additional chapters on Digital Society and on Competitiveness is their great significance to achieving the EU2020 overall goals in Cyprus and the fact that, all of these priorities are interconnected and they have all been identified in the Communication of 3</w:t>
      </w:r>
      <w:r w:rsidRPr="002E39AE">
        <w:rPr>
          <w:vertAlign w:val="superscript"/>
        </w:rPr>
        <w:t>rd</w:t>
      </w:r>
      <w:r w:rsidRPr="002E39AE">
        <w:t xml:space="preserve"> March 2010 (COM (2010)/2020) as crucial for the achievement of smart, green growth without inequalities. </w:t>
      </w:r>
    </w:p>
    <w:p w:rsidR="004E6645" w:rsidRPr="002E39AE" w:rsidRDefault="004E6645" w:rsidP="004E6645">
      <w:pPr>
        <w:jc w:val="both"/>
      </w:pPr>
    </w:p>
    <w:p w:rsidR="004E6645" w:rsidRPr="002E39AE" w:rsidRDefault="004E6645" w:rsidP="004E6645">
      <w:pPr>
        <w:jc w:val="both"/>
      </w:pPr>
      <w:r w:rsidRPr="002E39AE">
        <w:t>The NRP has been prepared in collaboration</w:t>
      </w:r>
      <w:r w:rsidR="002E39AE">
        <w:t xml:space="preserve"> with all pertinent Ministries and in consultation with social partners and </w:t>
      </w:r>
      <w:r w:rsidRPr="002E39AE">
        <w:t>political parties.  The Programme was also presented on the 4</w:t>
      </w:r>
      <w:r w:rsidRPr="002E39AE">
        <w:rPr>
          <w:vertAlign w:val="superscript"/>
        </w:rPr>
        <w:t>th</w:t>
      </w:r>
      <w:r w:rsidR="002E39AE">
        <w:t xml:space="preserve"> of</w:t>
      </w:r>
      <w:r w:rsidRPr="002E39AE">
        <w:t xml:space="preserve"> April 2011</w:t>
      </w:r>
      <w:r w:rsidR="002E39AE">
        <w:t xml:space="preserve"> by the Minister of Finance to</w:t>
      </w:r>
      <w:r w:rsidR="00CB49AE">
        <w:t xml:space="preserve"> the </w:t>
      </w:r>
      <w:r w:rsidR="002E39AE">
        <w:t xml:space="preserve"> </w:t>
      </w:r>
      <w:r w:rsidRPr="002E39AE">
        <w:t>Parliamentary Committee on European Affairs, in the presence of the social partners, who expressed their satisfaction with the degree of their involvement in the preparation stage. They have also expressed the request to be equally involved in the implementation process as well</w:t>
      </w:r>
      <w:r w:rsidR="002E39AE">
        <w:t xml:space="preserve">, which the </w:t>
      </w:r>
      <w:r w:rsidRPr="002E39AE">
        <w:t>Government committed to continue.  The main results from the public consultation are analysed below.</w:t>
      </w:r>
    </w:p>
    <w:p w:rsidR="004E6645" w:rsidRPr="002E39AE" w:rsidRDefault="004E6645" w:rsidP="004E6645">
      <w:pPr>
        <w:jc w:val="both"/>
        <w:rPr>
          <w:b/>
          <w:u w:val="single"/>
        </w:rPr>
      </w:pPr>
    </w:p>
    <w:p w:rsidR="004E6645" w:rsidRPr="00292ADE" w:rsidRDefault="004E6645" w:rsidP="00292ADE">
      <w:pPr>
        <w:pStyle w:val="Heading2"/>
        <w:rPr>
          <w:sz w:val="24"/>
          <w:szCs w:val="24"/>
        </w:rPr>
      </w:pPr>
      <w:bookmarkStart w:id="84" w:name="_Toc292454642"/>
      <w:r w:rsidRPr="00292ADE">
        <w:rPr>
          <w:sz w:val="24"/>
          <w:szCs w:val="24"/>
        </w:rPr>
        <w:t>PUBLIC CONSULTATION</w:t>
      </w:r>
      <w:bookmarkEnd w:id="84"/>
    </w:p>
    <w:p w:rsidR="004E6645" w:rsidRPr="002E39AE" w:rsidRDefault="004E6645" w:rsidP="004E6645">
      <w:pPr>
        <w:jc w:val="both"/>
        <w:rPr>
          <w:b/>
          <w:u w:val="single"/>
        </w:rPr>
      </w:pPr>
    </w:p>
    <w:p w:rsidR="004E6645" w:rsidRPr="002E39AE" w:rsidRDefault="004E6645" w:rsidP="004E6645">
      <w:pPr>
        <w:jc w:val="both"/>
      </w:pPr>
      <w:r w:rsidRPr="002E39AE">
        <w:t>On the 8</w:t>
      </w:r>
      <w:r w:rsidRPr="002E39AE">
        <w:rPr>
          <w:vertAlign w:val="superscript"/>
        </w:rPr>
        <w:t>th</w:t>
      </w:r>
      <w:r w:rsidRPr="002E39AE">
        <w:t xml:space="preserve"> of February 2011 a public consultation  was held with all stakeholders (political actors, social partners and civil society), where the draft NRP  was presented and the participants were </w:t>
      </w:r>
      <w:r w:rsidR="00CB49AE">
        <w:t>asked  to come forward with any</w:t>
      </w:r>
      <w:r w:rsidRPr="002E39AE">
        <w:t xml:space="preserve"> comments and recommendations for potential new measures or priority areas for the final NRP. Some general comments raised were the following:</w:t>
      </w:r>
    </w:p>
    <w:p w:rsidR="004E6645" w:rsidRPr="002E39AE" w:rsidRDefault="004E6645" w:rsidP="004E6645">
      <w:pPr>
        <w:jc w:val="both"/>
      </w:pPr>
    </w:p>
    <w:p w:rsidR="004E6645" w:rsidRPr="002E39AE" w:rsidRDefault="004E6645" w:rsidP="004E6645">
      <w:pPr>
        <w:pStyle w:val="ListParagraph"/>
        <w:numPr>
          <w:ilvl w:val="0"/>
          <w:numId w:val="71"/>
        </w:numPr>
        <w:ind w:left="426" w:hanging="426"/>
        <w:jc w:val="both"/>
      </w:pPr>
      <w:r w:rsidRPr="002E39AE">
        <w:t xml:space="preserve">Wage-setting has always been the result of collective agreements that always take into account the conditions in the economy. MS should be allowed to a certain degree to take into account their national specificities and different starting points. </w:t>
      </w:r>
    </w:p>
    <w:p w:rsidR="004E6645" w:rsidRPr="002E39AE" w:rsidRDefault="004E6645" w:rsidP="004E6645">
      <w:pPr>
        <w:pStyle w:val="ListParagraph"/>
        <w:numPr>
          <w:ilvl w:val="0"/>
          <w:numId w:val="71"/>
        </w:numPr>
        <w:ind w:left="426" w:hanging="426"/>
        <w:jc w:val="both"/>
      </w:pPr>
      <w:r w:rsidRPr="002E39AE">
        <w:t xml:space="preserve">Concerted effort should be exerted towards ensuring conditions of perfect competition, </w:t>
      </w:r>
    </w:p>
    <w:p w:rsidR="004E6645" w:rsidRPr="002E39AE" w:rsidRDefault="004E6645" w:rsidP="004E6645">
      <w:pPr>
        <w:pStyle w:val="ListParagraph"/>
        <w:numPr>
          <w:ilvl w:val="0"/>
          <w:numId w:val="71"/>
        </w:numPr>
        <w:ind w:left="426" w:hanging="426"/>
        <w:jc w:val="both"/>
      </w:pPr>
      <w:r w:rsidRPr="002E39AE">
        <w:t>Wages in the public sector should be contained whereas wages in the private se</w:t>
      </w:r>
      <w:r w:rsidR="002E39AE">
        <w:t xml:space="preserve">ctor </w:t>
      </w:r>
      <w:r w:rsidRPr="002E39AE">
        <w:t xml:space="preserve">raised. </w:t>
      </w:r>
    </w:p>
    <w:p w:rsidR="004E6645" w:rsidRPr="002E39AE" w:rsidRDefault="004E6645" w:rsidP="004E6645">
      <w:pPr>
        <w:pStyle w:val="ListParagraph"/>
        <w:numPr>
          <w:ilvl w:val="0"/>
          <w:numId w:val="71"/>
        </w:numPr>
        <w:ind w:left="426" w:hanging="426"/>
        <w:jc w:val="both"/>
      </w:pPr>
      <w:r w:rsidRPr="002E39AE">
        <w:t xml:space="preserve">More emphasis should be put on the implementation of the National Health Insurance System and the reorganisation of hospitals. </w:t>
      </w:r>
    </w:p>
    <w:p w:rsidR="004E6645" w:rsidRPr="002E39AE" w:rsidRDefault="004E6645" w:rsidP="004E6645">
      <w:pPr>
        <w:pStyle w:val="ListParagraph"/>
        <w:numPr>
          <w:ilvl w:val="0"/>
          <w:numId w:val="71"/>
        </w:numPr>
        <w:ind w:left="426" w:hanging="426"/>
        <w:jc w:val="both"/>
        <w:rPr>
          <w:b/>
          <w:bCs/>
          <w:lang w:eastAsia="el-GR"/>
        </w:rPr>
      </w:pPr>
      <w:r w:rsidRPr="002E39AE">
        <w:rPr>
          <w:rStyle w:val="hps"/>
        </w:rPr>
        <w:t>Incentives</w:t>
      </w:r>
      <w:r w:rsidRPr="002E39AE">
        <w:t xml:space="preserve"> </w:t>
      </w:r>
      <w:r w:rsidRPr="002E39AE">
        <w:rPr>
          <w:rStyle w:val="hps"/>
        </w:rPr>
        <w:t>and</w:t>
      </w:r>
      <w:r w:rsidRPr="002E39AE">
        <w:t xml:space="preserve"> </w:t>
      </w:r>
      <w:r w:rsidRPr="002E39AE">
        <w:rPr>
          <w:rStyle w:val="hps"/>
        </w:rPr>
        <w:t>possible</w:t>
      </w:r>
      <w:r w:rsidRPr="002E39AE">
        <w:t xml:space="preserve"> </w:t>
      </w:r>
      <w:r w:rsidRPr="002E39AE">
        <w:rPr>
          <w:rStyle w:val="hps"/>
        </w:rPr>
        <w:t>exemptions</w:t>
      </w:r>
      <w:r w:rsidRPr="002E39AE">
        <w:t xml:space="preserve"> </w:t>
      </w:r>
      <w:r w:rsidRPr="002E39AE">
        <w:rPr>
          <w:rStyle w:val="hps"/>
        </w:rPr>
        <w:t>should</w:t>
      </w:r>
      <w:r w:rsidRPr="002E39AE">
        <w:t xml:space="preserve"> </w:t>
      </w:r>
      <w:r w:rsidRPr="002E39AE">
        <w:rPr>
          <w:rStyle w:val="hps"/>
        </w:rPr>
        <w:t>be given</w:t>
      </w:r>
      <w:r w:rsidRPr="002E39AE">
        <w:t xml:space="preserve"> </w:t>
      </w:r>
      <w:r w:rsidRPr="002E39AE">
        <w:rPr>
          <w:rStyle w:val="hps"/>
        </w:rPr>
        <w:t>to companies</w:t>
      </w:r>
      <w:r w:rsidRPr="002E39AE">
        <w:t xml:space="preserve"> </w:t>
      </w:r>
      <w:r w:rsidRPr="002E39AE">
        <w:rPr>
          <w:rStyle w:val="hps"/>
        </w:rPr>
        <w:t>for</w:t>
      </w:r>
      <w:r w:rsidRPr="002E39AE">
        <w:t xml:space="preserve"> </w:t>
      </w:r>
      <w:r w:rsidRPr="002E39AE">
        <w:rPr>
          <w:rStyle w:val="hps"/>
        </w:rPr>
        <w:t>investment</w:t>
      </w:r>
      <w:r w:rsidRPr="002E39AE">
        <w:t xml:space="preserve"> </w:t>
      </w:r>
      <w:r w:rsidRPr="002E39AE">
        <w:rPr>
          <w:rStyle w:val="hps"/>
        </w:rPr>
        <w:t xml:space="preserve">in research, with special emphasis on </w:t>
      </w:r>
      <w:r w:rsidRPr="002E39AE">
        <w:rPr>
          <w:lang w:eastAsia="el-GR"/>
        </w:rPr>
        <w:t>the use of solar energy, given the high potential of solar energy in Cyprus.</w:t>
      </w:r>
    </w:p>
    <w:p w:rsidR="004E6645" w:rsidRPr="002E39AE" w:rsidRDefault="004E6645" w:rsidP="004E6645">
      <w:pPr>
        <w:pStyle w:val="ListParagraph"/>
        <w:numPr>
          <w:ilvl w:val="0"/>
          <w:numId w:val="71"/>
        </w:numPr>
        <w:ind w:left="426" w:hanging="426"/>
        <w:jc w:val="both"/>
        <w:rPr>
          <w:b/>
          <w:bCs/>
          <w:lang w:eastAsia="el-GR"/>
        </w:rPr>
      </w:pPr>
      <w:r w:rsidRPr="002E39AE">
        <w:t xml:space="preserve">In the tertiary education </w:t>
      </w:r>
      <w:r w:rsidRPr="002E39AE">
        <w:rPr>
          <w:lang w:eastAsia="el-GR"/>
        </w:rPr>
        <w:t xml:space="preserve">focus should be given to the improvement of technical education, </w:t>
      </w:r>
      <w:r w:rsidRPr="002E39AE">
        <w:rPr>
          <w:rStyle w:val="hps"/>
        </w:rPr>
        <w:t>and the development of a higher</w:t>
      </w:r>
      <w:r w:rsidRPr="002E39AE">
        <w:t xml:space="preserve"> </w:t>
      </w:r>
      <w:r w:rsidRPr="002E39AE">
        <w:rPr>
          <w:rStyle w:val="hps"/>
        </w:rPr>
        <w:t>degree of</w:t>
      </w:r>
      <w:r w:rsidRPr="002E39AE">
        <w:t xml:space="preserve"> </w:t>
      </w:r>
      <w:r w:rsidRPr="002E39AE">
        <w:rPr>
          <w:rStyle w:val="hps"/>
        </w:rPr>
        <w:t>technical and vocational education</w:t>
      </w:r>
      <w:r w:rsidRPr="002E39AE">
        <w:t xml:space="preserve"> </w:t>
      </w:r>
      <w:r w:rsidRPr="002E39AE">
        <w:rPr>
          <w:rStyle w:val="hps"/>
        </w:rPr>
        <w:t>for the</w:t>
      </w:r>
      <w:r w:rsidRPr="002E39AE">
        <w:t xml:space="preserve"> </w:t>
      </w:r>
      <w:r w:rsidRPr="002E39AE">
        <w:rPr>
          <w:rStyle w:val="hps"/>
        </w:rPr>
        <w:t>provision of</w:t>
      </w:r>
      <w:r w:rsidRPr="002E39AE">
        <w:t xml:space="preserve"> </w:t>
      </w:r>
      <w:r w:rsidRPr="002E39AE">
        <w:rPr>
          <w:rStyle w:val="hps"/>
        </w:rPr>
        <w:t>upgraded</w:t>
      </w:r>
      <w:r w:rsidRPr="002E39AE">
        <w:t xml:space="preserve"> </w:t>
      </w:r>
      <w:r w:rsidRPr="002E39AE">
        <w:rPr>
          <w:rStyle w:val="hps"/>
        </w:rPr>
        <w:t>professional and</w:t>
      </w:r>
      <w:r w:rsidRPr="002E39AE">
        <w:t xml:space="preserve"> </w:t>
      </w:r>
      <w:r w:rsidRPr="002E39AE">
        <w:rPr>
          <w:rStyle w:val="hps"/>
        </w:rPr>
        <w:t>technical</w:t>
      </w:r>
      <w:r w:rsidRPr="002E39AE">
        <w:t xml:space="preserve"> </w:t>
      </w:r>
      <w:r w:rsidRPr="002E39AE">
        <w:rPr>
          <w:rStyle w:val="hps"/>
        </w:rPr>
        <w:t>knowledge</w:t>
      </w:r>
      <w:r w:rsidRPr="002E39AE">
        <w:t>.</w:t>
      </w:r>
    </w:p>
    <w:p w:rsidR="004E6645" w:rsidRPr="002E39AE" w:rsidRDefault="004E6645" w:rsidP="004E6645">
      <w:pPr>
        <w:pStyle w:val="ListParagraph"/>
        <w:numPr>
          <w:ilvl w:val="0"/>
          <w:numId w:val="71"/>
        </w:numPr>
        <w:ind w:left="426" w:hanging="426"/>
        <w:jc w:val="both"/>
        <w:rPr>
          <w:lang w:eastAsia="el-GR"/>
        </w:rPr>
      </w:pPr>
      <w:r w:rsidRPr="002E39AE">
        <w:rPr>
          <w:b/>
        </w:rPr>
        <w:t>Digital society</w:t>
      </w:r>
      <w:r w:rsidRPr="002E39AE">
        <w:t xml:space="preserve"> should be promoted; </w:t>
      </w:r>
      <w:r w:rsidRPr="002E39AE">
        <w:rPr>
          <w:lang w:eastAsia="el-GR"/>
        </w:rPr>
        <w:t>e-government and digital society should be further promoted in education, whereas the integration of healthcare information systems is of great importance.</w:t>
      </w:r>
    </w:p>
    <w:p w:rsidR="004E6645" w:rsidRPr="002E39AE" w:rsidRDefault="004E6645" w:rsidP="004E6645">
      <w:pPr>
        <w:pStyle w:val="ListParagraph"/>
        <w:numPr>
          <w:ilvl w:val="0"/>
          <w:numId w:val="71"/>
        </w:numPr>
        <w:ind w:left="426" w:hanging="426"/>
        <w:jc w:val="both"/>
        <w:rPr>
          <w:lang w:eastAsia="el-GR"/>
        </w:rPr>
      </w:pPr>
      <w:r w:rsidRPr="002E39AE">
        <w:rPr>
          <w:lang w:eastAsia="el-GR"/>
        </w:rPr>
        <w:lastRenderedPageBreak/>
        <w:t xml:space="preserve"> A new energy and environmental policy and the reform of the public transportation system are vital to decrease the dependency of the Cypriot economy on imported oil and further prom</w:t>
      </w:r>
      <w:r w:rsidR="00A77E15">
        <w:rPr>
          <w:lang w:eastAsia="el-GR"/>
        </w:rPr>
        <w:t xml:space="preserve">ote </w:t>
      </w:r>
      <w:r w:rsidRPr="002E39AE">
        <w:rPr>
          <w:lang w:eastAsia="el-GR"/>
        </w:rPr>
        <w:t xml:space="preserve">RES. </w:t>
      </w:r>
    </w:p>
    <w:p w:rsidR="004E6645" w:rsidRPr="002E39AE" w:rsidRDefault="004E6645" w:rsidP="004E6645">
      <w:pPr>
        <w:pStyle w:val="ListParagraph"/>
        <w:numPr>
          <w:ilvl w:val="0"/>
          <w:numId w:val="71"/>
        </w:numPr>
        <w:ind w:left="426" w:hanging="426"/>
        <w:jc w:val="both"/>
        <w:rPr>
          <w:lang w:eastAsia="el-GR"/>
        </w:rPr>
      </w:pPr>
      <w:r w:rsidRPr="002E39AE">
        <w:rPr>
          <w:lang w:eastAsia="el-GR"/>
        </w:rPr>
        <w:t>Suggestions were also made for the merger of the various competent authorities that are involved in environmental/energy policy and the formation of a central body for the efficient management of the energy issues.</w:t>
      </w:r>
    </w:p>
    <w:p w:rsidR="004E6645" w:rsidRPr="002E39AE" w:rsidRDefault="004E6645" w:rsidP="004E6645">
      <w:pPr>
        <w:pStyle w:val="ListParagraph"/>
        <w:numPr>
          <w:ilvl w:val="0"/>
          <w:numId w:val="71"/>
        </w:numPr>
        <w:ind w:left="426" w:hanging="426"/>
        <w:jc w:val="both"/>
      </w:pPr>
      <w:r w:rsidRPr="002E39AE">
        <w:t xml:space="preserve">Recommendations concerning </w:t>
      </w:r>
      <w:r w:rsidRPr="002E39AE">
        <w:rPr>
          <w:b/>
        </w:rPr>
        <w:t>employment and skills</w:t>
      </w:r>
      <w:r w:rsidRPr="002E39AE">
        <w:t xml:space="preserve"> include the promotion of a tertiary level technical and vocational education, the wider application of employee mobility in the public sector, more efficient inspections for the employment conditions of </w:t>
      </w:r>
      <w:r w:rsidR="00CB49AE">
        <w:t>il</w:t>
      </w:r>
      <w:r w:rsidRPr="002E39AE">
        <w:t>legal immigrants, more incentives to businesses to develop friendlier working conditions for working parents and especially for working women, incentives to businesses for recruiting young graduates and for creating employment positions related to the gre</w:t>
      </w:r>
      <w:r w:rsidR="00CB49AE">
        <w:t>en economy and renewable energy.</w:t>
      </w:r>
    </w:p>
    <w:p w:rsidR="004E6645" w:rsidRPr="002E39AE" w:rsidRDefault="00A77E15" w:rsidP="004E6645">
      <w:pPr>
        <w:pStyle w:val="ListParagraph"/>
        <w:numPr>
          <w:ilvl w:val="0"/>
          <w:numId w:val="71"/>
        </w:numPr>
        <w:ind w:left="426" w:hanging="426"/>
        <w:jc w:val="both"/>
      </w:pPr>
      <w:r>
        <w:t xml:space="preserve">Allocate </w:t>
      </w:r>
      <w:r w:rsidR="004E6645" w:rsidRPr="002E39AE">
        <w:t>more funds to the local authorities to promote care services for children</w:t>
      </w:r>
      <w:r w:rsidR="00CB49AE">
        <w:t xml:space="preserve"> and the elderly in communities.</w:t>
      </w:r>
      <w:r w:rsidR="004E6645" w:rsidRPr="002E39AE">
        <w:t xml:space="preserve"> </w:t>
      </w:r>
    </w:p>
    <w:p w:rsidR="004E6645" w:rsidRPr="002E39AE" w:rsidRDefault="002E39AE" w:rsidP="004E6645">
      <w:pPr>
        <w:pStyle w:val="ListParagraph"/>
        <w:numPr>
          <w:ilvl w:val="0"/>
          <w:numId w:val="71"/>
        </w:numPr>
        <w:ind w:left="426" w:hanging="426"/>
        <w:jc w:val="both"/>
      </w:pPr>
      <w:r w:rsidRPr="002E39AE">
        <w:t>Flexicurity</w:t>
      </w:r>
      <w:r w:rsidR="004E6645" w:rsidRPr="002E39AE">
        <w:t xml:space="preserve"> should not be interpreted as a deregulation of employment that undermines the role of collective agreements or as the application of certain forms of employment that reduce the labour cost for employers and increase the exploitation of employees.</w:t>
      </w:r>
    </w:p>
    <w:p w:rsidR="004E6645" w:rsidRPr="002E39AE" w:rsidRDefault="004E6645" w:rsidP="004E6645">
      <w:pPr>
        <w:pStyle w:val="ListParagraph"/>
        <w:numPr>
          <w:ilvl w:val="0"/>
          <w:numId w:val="71"/>
        </w:numPr>
        <w:ind w:left="426" w:hanging="426"/>
        <w:jc w:val="both"/>
      </w:pPr>
      <w:r w:rsidRPr="002E39AE">
        <w:t>Social cohesion should be a key priority of the EU2020 strategy and not the outcome of achieving the macroeconomic goals of the strategy</w:t>
      </w:r>
    </w:p>
    <w:p w:rsidR="004E6645" w:rsidRPr="002E39AE" w:rsidRDefault="004E6645" w:rsidP="00CB49AE">
      <w:pPr>
        <w:pStyle w:val="ListParagraph"/>
        <w:ind w:left="426"/>
        <w:jc w:val="both"/>
      </w:pPr>
    </w:p>
    <w:p w:rsidR="004E6645" w:rsidRPr="002E39AE" w:rsidRDefault="004E6645" w:rsidP="004E6645">
      <w:pPr>
        <w:pStyle w:val="ListParagraph"/>
        <w:ind w:left="426"/>
        <w:jc w:val="both"/>
      </w:pPr>
    </w:p>
    <w:p w:rsidR="004E6645" w:rsidRPr="002E39AE" w:rsidRDefault="004E6645" w:rsidP="00292ADE">
      <w:pPr>
        <w:pStyle w:val="ListParagraph"/>
        <w:ind w:left="0"/>
        <w:jc w:val="both"/>
      </w:pPr>
      <w:r w:rsidRPr="002E39AE">
        <w:t>All submitte</w:t>
      </w:r>
      <w:r w:rsidR="002E39AE">
        <w:t xml:space="preserve">d contributions have also been </w:t>
      </w:r>
      <w:r w:rsidRPr="002E39AE">
        <w:t>posted on the web-side of</w:t>
      </w:r>
      <w:r w:rsidR="00CB49AE">
        <w:t xml:space="preserve"> the</w:t>
      </w:r>
      <w:r w:rsidRPr="002E39AE">
        <w:t xml:space="preserve"> Planning Bureau.  </w:t>
      </w:r>
    </w:p>
    <w:p w:rsidR="004E6645" w:rsidRPr="002E39AE" w:rsidRDefault="004E6645" w:rsidP="004E6645">
      <w:pPr>
        <w:ind w:left="720"/>
        <w:jc w:val="both"/>
      </w:pPr>
    </w:p>
    <w:p w:rsidR="004E6645" w:rsidRPr="00292ADE" w:rsidRDefault="004E6645" w:rsidP="00292ADE">
      <w:pPr>
        <w:pStyle w:val="Heading2"/>
        <w:rPr>
          <w:sz w:val="24"/>
          <w:szCs w:val="24"/>
        </w:rPr>
      </w:pPr>
      <w:bookmarkStart w:id="85" w:name="_Toc292454643"/>
      <w:r w:rsidRPr="00292ADE">
        <w:rPr>
          <w:sz w:val="24"/>
          <w:szCs w:val="24"/>
        </w:rPr>
        <w:t>MONITORING MECHANISMS</w:t>
      </w:r>
      <w:bookmarkEnd w:id="85"/>
    </w:p>
    <w:p w:rsidR="004E6645" w:rsidRPr="002E39AE" w:rsidRDefault="004E6645" w:rsidP="004E6645">
      <w:pPr>
        <w:jc w:val="both"/>
      </w:pPr>
    </w:p>
    <w:p w:rsidR="004E6645" w:rsidRPr="002E39AE" w:rsidRDefault="004E6645" w:rsidP="004E6645">
      <w:pPr>
        <w:jc w:val="both"/>
      </w:pPr>
      <w:r w:rsidRPr="002E39AE">
        <w:t xml:space="preserve">The monitoring structure has been set up with a view to better coordinate the preparation and implementation   of the NRP for EU2020. In this structure all stakeholders are involved in order to maintain ownership and ensure the efficient implementation of the measures outlined in the Programme (see Figure </w:t>
      </w:r>
      <w:r w:rsidR="00E16013" w:rsidRPr="00E16013">
        <w:t>10</w:t>
      </w:r>
      <w:r w:rsidRPr="002E39AE">
        <w:t xml:space="preserve"> below).</w:t>
      </w:r>
    </w:p>
    <w:p w:rsidR="004E6645" w:rsidRPr="002E39AE" w:rsidRDefault="004E6645" w:rsidP="004E6645">
      <w:pPr>
        <w:jc w:val="both"/>
      </w:pPr>
    </w:p>
    <w:p w:rsidR="004E6645" w:rsidRPr="002E39AE" w:rsidRDefault="004E6645" w:rsidP="004E6645">
      <w:pPr>
        <w:jc w:val="both"/>
      </w:pPr>
      <w:r w:rsidRPr="002E39AE">
        <w:t xml:space="preserve">There are eight </w:t>
      </w:r>
      <w:r w:rsidRPr="002E39AE">
        <w:rPr>
          <w:b/>
        </w:rPr>
        <w:t>Technical Committees</w:t>
      </w:r>
      <w:r w:rsidRPr="002E39AE">
        <w:t xml:space="preserve"> responsible for every main chapter/priority of the NRP, </w:t>
      </w:r>
      <w:r w:rsidR="00E16013">
        <w:t xml:space="preserve">coordinated by </w:t>
      </w:r>
      <w:r w:rsidRPr="002E39AE">
        <w:t xml:space="preserve">the Planning Bureau.  The Ministry chairing the particular technical committee </w:t>
      </w:r>
      <w:r w:rsidR="00E16013">
        <w:t xml:space="preserve">is responsible for the formulation and implementation of </w:t>
      </w:r>
      <w:r w:rsidR="00B15D67">
        <w:t>the policy, for</w:t>
      </w:r>
      <w:r w:rsidR="00A77E15">
        <w:t xml:space="preserve"> </w:t>
      </w:r>
      <w:r w:rsidRPr="002E39AE">
        <w:t>coordinat</w:t>
      </w:r>
      <w:r w:rsidR="00A77E15">
        <w:t>ing</w:t>
      </w:r>
      <w:r w:rsidRPr="002E39AE">
        <w:t xml:space="preserve"> all o</w:t>
      </w:r>
      <w:r w:rsidR="00B15D67">
        <w:t xml:space="preserve">ther services involved and holding </w:t>
      </w:r>
      <w:r w:rsidRPr="002E39AE">
        <w:t>discussions with social partners for the preparation of the specific policy chapter.</w:t>
      </w:r>
      <w:r w:rsidR="00E16013">
        <w:t xml:space="preserve"> </w:t>
      </w:r>
    </w:p>
    <w:p w:rsidR="004E6645" w:rsidRPr="002E39AE" w:rsidRDefault="004E6645" w:rsidP="004E6645">
      <w:pPr>
        <w:jc w:val="both"/>
      </w:pPr>
    </w:p>
    <w:p w:rsidR="004E6645" w:rsidRPr="002E39AE" w:rsidRDefault="004E6645" w:rsidP="004E6645">
      <w:pPr>
        <w:jc w:val="both"/>
      </w:pPr>
      <w:r w:rsidRPr="002E39AE">
        <w:t xml:space="preserve">The </w:t>
      </w:r>
      <w:r w:rsidRPr="002E39AE">
        <w:rPr>
          <w:b/>
        </w:rPr>
        <w:t>Coordinating Committee</w:t>
      </w:r>
      <w:r w:rsidRPr="002E39AE">
        <w:t xml:space="preserve"> is chaired by the Permanent Secretary of the Planning Bureau, in his capacity as National Coordinator at the technical level and is composed of the chairpersons of the Technical Committe</w:t>
      </w:r>
      <w:r w:rsidR="002E39AE">
        <w:t xml:space="preserve">es whereas, representatives of </w:t>
      </w:r>
      <w:r w:rsidRPr="002E39AE">
        <w:t xml:space="preserve">the involved Ministries also participate. Its role is to advise the National Coordinator on the preparation </w:t>
      </w:r>
      <w:r w:rsidR="002E39AE">
        <w:t xml:space="preserve">and implementation of the NRP, </w:t>
      </w:r>
      <w:r w:rsidRPr="002E39AE">
        <w:t xml:space="preserve">to </w:t>
      </w:r>
      <w:r w:rsidR="002E39AE">
        <w:t xml:space="preserve">review </w:t>
      </w:r>
      <w:r w:rsidRPr="002E39AE">
        <w:t>progress and contribute</w:t>
      </w:r>
      <w:r w:rsidR="002E39AE">
        <w:t xml:space="preserve"> towards preparing the reports</w:t>
      </w:r>
      <w:r w:rsidRPr="002E39AE">
        <w:t xml:space="preserve">/meetings with the EU. </w:t>
      </w:r>
    </w:p>
    <w:p w:rsidR="004E6645" w:rsidRPr="002E39AE" w:rsidRDefault="004E6645" w:rsidP="004E6645">
      <w:pPr>
        <w:jc w:val="both"/>
      </w:pPr>
    </w:p>
    <w:p w:rsidR="004E6645" w:rsidRPr="002E39AE" w:rsidRDefault="004E6645" w:rsidP="004E6645">
      <w:pPr>
        <w:jc w:val="both"/>
      </w:pPr>
    </w:p>
    <w:p w:rsidR="004E6645" w:rsidRPr="002E39AE" w:rsidRDefault="004E6645" w:rsidP="004E6645">
      <w:pPr>
        <w:jc w:val="both"/>
      </w:pPr>
    </w:p>
    <w:p w:rsidR="004E6645" w:rsidRPr="002E39AE" w:rsidRDefault="004E6645" w:rsidP="004E6645">
      <w:pPr>
        <w:jc w:val="both"/>
      </w:pPr>
    </w:p>
    <w:p w:rsidR="00C46D30" w:rsidRDefault="00252094" w:rsidP="00E16013">
      <w:pPr>
        <w:autoSpaceDE w:val="0"/>
        <w:autoSpaceDN w:val="0"/>
        <w:adjustRightInd w:val="0"/>
      </w:pPr>
      <w:r w:rsidRPr="002E39AE">
        <w:rPr>
          <w:b/>
          <w:bCs/>
          <w:i/>
          <w:iCs/>
        </w:rPr>
        <w:lastRenderedPageBreak/>
        <w:t>F</w:t>
      </w:r>
      <w:r w:rsidR="009C76E0" w:rsidRPr="002E39AE">
        <w:rPr>
          <w:b/>
          <w:bCs/>
          <w:i/>
          <w:iCs/>
        </w:rPr>
        <w:t>igure</w:t>
      </w:r>
      <w:r w:rsidR="00C46D30" w:rsidRPr="002E39AE">
        <w:rPr>
          <w:b/>
          <w:bCs/>
          <w:i/>
          <w:iCs/>
        </w:rPr>
        <w:t xml:space="preserve"> 1</w:t>
      </w:r>
      <w:r w:rsidR="00DF6F27" w:rsidRPr="002E39AE">
        <w:rPr>
          <w:b/>
          <w:bCs/>
          <w:i/>
          <w:iCs/>
        </w:rPr>
        <w:t>0</w:t>
      </w:r>
      <w:r w:rsidR="00C46D30" w:rsidRPr="002E39AE">
        <w:rPr>
          <w:b/>
          <w:bCs/>
          <w:i/>
          <w:iCs/>
        </w:rPr>
        <w:t>:</w:t>
      </w:r>
      <w:r w:rsidR="00C46D30" w:rsidRPr="007E26E2">
        <w:rPr>
          <w:noProof/>
        </w:rPr>
        <w:drawing>
          <wp:inline distT="0" distB="0" distL="0" distR="0">
            <wp:extent cx="5829300" cy="7658100"/>
            <wp:effectExtent l="0" t="1905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252094" w:rsidRDefault="00252094" w:rsidP="00C46D30">
      <w:pPr>
        <w:pStyle w:val="PlainText"/>
        <w:jc w:val="both"/>
        <w:rPr>
          <w:lang w:val="en-US"/>
        </w:rPr>
      </w:pPr>
    </w:p>
    <w:p w:rsidR="00A77E15" w:rsidRPr="002E39AE" w:rsidRDefault="00A77E15" w:rsidP="00A77E15">
      <w:pPr>
        <w:jc w:val="both"/>
      </w:pPr>
      <w:r w:rsidRPr="002E39AE">
        <w:rPr>
          <w:b/>
        </w:rPr>
        <w:lastRenderedPageBreak/>
        <w:t>Co-ordination by the Planning Bureau</w:t>
      </w:r>
      <w:r w:rsidRPr="002E39AE">
        <w:t>: The Planning Bureau</w:t>
      </w:r>
      <w:r>
        <w:t xml:space="preserve">, operating under the Minister of Finance who is the political coordinator, </w:t>
      </w:r>
      <w:r w:rsidRPr="002E39AE">
        <w:t>has the overall co-ordination for the preparation and implementation of the NRP and of the contacts with the EU</w:t>
      </w:r>
      <w:r>
        <w:t xml:space="preserve">. </w:t>
      </w:r>
      <w:r w:rsidRPr="002E39AE">
        <w:t xml:space="preserve"> </w:t>
      </w:r>
      <w:r>
        <w:t xml:space="preserve">It also </w:t>
      </w:r>
      <w:r w:rsidRPr="002E39AE">
        <w:t>monitors the on-going progress and coordinates the submission of reports to the EU</w:t>
      </w:r>
      <w:r>
        <w:t>,</w:t>
      </w:r>
      <w:r w:rsidRPr="002E39AE">
        <w:t xml:space="preserve"> after appropriate political approval. It organizes public consultations</w:t>
      </w:r>
      <w:r>
        <w:t xml:space="preserve"> with social partners </w:t>
      </w:r>
      <w:r w:rsidRPr="002E39AE">
        <w:t xml:space="preserve"> on the overall priorities and pr</w:t>
      </w:r>
      <w:r>
        <w:t xml:space="preserve">ogress, informs the Parliament </w:t>
      </w:r>
      <w:r w:rsidRPr="002E39AE">
        <w:t>and promotes publicity  through the media, in order that the NRP will incorporate the proposals of social partners and ownership be enhanced.</w:t>
      </w:r>
    </w:p>
    <w:p w:rsidR="00A77E15" w:rsidRPr="002E39AE" w:rsidRDefault="00A77E15" w:rsidP="00A77E15">
      <w:pPr>
        <w:jc w:val="both"/>
      </w:pPr>
    </w:p>
    <w:p w:rsidR="00A77E15" w:rsidRDefault="00A77E15" w:rsidP="00A77E15">
      <w:pPr>
        <w:jc w:val="both"/>
      </w:pPr>
      <w:r w:rsidRPr="002E39AE">
        <w:t>For the more efficient monitoring of the implementation of the NRP, measurable indices are being prepared to allow for the better evaluation of progress. On th</w:t>
      </w:r>
      <w:r>
        <w:t xml:space="preserve">e basis of the LAF methodology </w:t>
      </w:r>
      <w:r w:rsidRPr="002E39AE">
        <w:t>(Lisbon Assessment Framework)</w:t>
      </w:r>
      <w:r>
        <w:t xml:space="preserve">, the Planning Bureau monitors </w:t>
      </w:r>
      <w:r w:rsidRPr="002E39AE">
        <w:t>progress through the analysis of several indicators.</w:t>
      </w:r>
      <w:r w:rsidRPr="00E16013">
        <w:t xml:space="preserve"> </w:t>
      </w:r>
    </w:p>
    <w:p w:rsidR="00A77E15" w:rsidRDefault="00A77E15" w:rsidP="00A77E15">
      <w:pPr>
        <w:jc w:val="both"/>
      </w:pPr>
    </w:p>
    <w:p w:rsidR="00A77E15" w:rsidRPr="002E39AE" w:rsidRDefault="00A77E15" w:rsidP="00A77E15">
      <w:pPr>
        <w:jc w:val="both"/>
      </w:pPr>
      <w:r w:rsidRPr="002E39AE">
        <w:t>Furthermore, better alignment of the NRP with the Stability and Convergence Programme is promoted for better coordination of the policies and more effective implementation of the reforms.</w:t>
      </w:r>
    </w:p>
    <w:p w:rsidR="00A77E15" w:rsidRPr="002E39AE" w:rsidRDefault="00A77E15" w:rsidP="00A77E15">
      <w:pPr>
        <w:autoSpaceDE w:val="0"/>
        <w:autoSpaceDN w:val="0"/>
        <w:adjustRightInd w:val="0"/>
      </w:pPr>
    </w:p>
    <w:p w:rsidR="00A77E15" w:rsidRPr="002E39AE" w:rsidRDefault="00A77E15" w:rsidP="00A77E15">
      <w:pPr>
        <w:jc w:val="both"/>
      </w:pPr>
      <w:r w:rsidRPr="002E39AE">
        <w:t xml:space="preserve">The </w:t>
      </w:r>
      <w:r w:rsidRPr="002E39AE">
        <w:rPr>
          <w:b/>
        </w:rPr>
        <w:t>National Advisory Committee</w:t>
      </w:r>
      <w:r w:rsidRPr="002E39AE">
        <w:t xml:space="preserve"> is chaired by the Minister of Finance, as the</w:t>
      </w:r>
      <w:r>
        <w:t xml:space="preserve"> Political </w:t>
      </w:r>
      <w:r w:rsidRPr="002E39AE">
        <w:t>National Coordinator and is comprised of representatives of employers associations, trade unions, NGO’s representatives of local authorities and other organised groups as well as political parties. The members of the National Advisory Committee are informed by the Minister of Finance</w:t>
      </w:r>
      <w:r>
        <w:t xml:space="preserve">, about twice a year, </w:t>
      </w:r>
      <w:r w:rsidRPr="002E39AE">
        <w:t>on EU2020 Strategy issues and provide comments and recommendations with respect to the</w:t>
      </w:r>
      <w:r>
        <w:t xml:space="preserve"> proposed policy and measures.</w:t>
      </w:r>
    </w:p>
    <w:p w:rsidR="00C46D30" w:rsidRDefault="00C46D30" w:rsidP="00C46D30">
      <w:pPr>
        <w:autoSpaceDE w:val="0"/>
        <w:autoSpaceDN w:val="0"/>
        <w:adjustRightInd w:val="0"/>
        <w:rPr>
          <w:b/>
          <w:bCs/>
          <w:iCs/>
        </w:rPr>
      </w:pPr>
    </w:p>
    <w:p w:rsidR="00C46D30" w:rsidRPr="00292ADE" w:rsidRDefault="00C46D30" w:rsidP="00292ADE">
      <w:pPr>
        <w:pStyle w:val="Heading2"/>
        <w:rPr>
          <w:i/>
          <w:sz w:val="24"/>
          <w:szCs w:val="24"/>
        </w:rPr>
      </w:pPr>
      <w:bookmarkStart w:id="86" w:name="_Toc292454644"/>
      <w:r w:rsidRPr="00292ADE">
        <w:rPr>
          <w:sz w:val="24"/>
          <w:szCs w:val="24"/>
        </w:rPr>
        <w:t xml:space="preserve">STRUCTURAL FUNDS </w:t>
      </w:r>
      <w:r w:rsidR="00292ADE" w:rsidRPr="00292ADE">
        <w:rPr>
          <w:sz w:val="24"/>
          <w:szCs w:val="24"/>
        </w:rPr>
        <w:t>AND</w:t>
      </w:r>
      <w:r w:rsidRPr="00292ADE">
        <w:rPr>
          <w:sz w:val="24"/>
          <w:szCs w:val="24"/>
          <w:lang w:val="en-GB"/>
        </w:rPr>
        <w:t xml:space="preserve"> EU2020</w:t>
      </w:r>
      <w:r w:rsidR="00292ADE" w:rsidRPr="00292ADE">
        <w:rPr>
          <w:sz w:val="24"/>
          <w:szCs w:val="24"/>
          <w:lang w:val="en-GB"/>
        </w:rPr>
        <w:t xml:space="preserve"> STRATEGY</w:t>
      </w:r>
      <w:bookmarkEnd w:id="86"/>
    </w:p>
    <w:p w:rsidR="00C46D30" w:rsidRPr="005A3BDF" w:rsidRDefault="00C46D30" w:rsidP="00C46D30">
      <w:pPr>
        <w:autoSpaceDE w:val="0"/>
        <w:autoSpaceDN w:val="0"/>
        <w:adjustRightInd w:val="0"/>
        <w:rPr>
          <w:b/>
          <w:bCs/>
          <w:i/>
          <w:iCs/>
        </w:rPr>
      </w:pPr>
    </w:p>
    <w:p w:rsidR="00C46D30" w:rsidRPr="005A3BDF" w:rsidRDefault="00C46D30" w:rsidP="00C46D30">
      <w:pPr>
        <w:jc w:val="both"/>
      </w:pPr>
      <w:r w:rsidRPr="005A3BDF">
        <w:t xml:space="preserve">The contribution of the EU funds towards achieving the aims of the Lisbon Strategy and of the EU2020 is considerable, given that about 60% of the funds allocated to Cyprus have been earmarked for the Strategy’s priorities. Overall, the whole process of absorbing the EU funds within specific deadlines, contributes to the timely implementation of programmes promoting the EU2020 Agenda. </w:t>
      </w:r>
    </w:p>
    <w:p w:rsidR="00C46D30" w:rsidRPr="005A3BDF" w:rsidRDefault="00C46D30" w:rsidP="00C46D30">
      <w:pPr>
        <w:jc w:val="both"/>
        <w:rPr>
          <w:b/>
        </w:rPr>
      </w:pPr>
    </w:p>
    <w:p w:rsidR="00C46D30" w:rsidRPr="005A3BDF" w:rsidRDefault="00C46D30" w:rsidP="00C46D30">
      <w:pPr>
        <w:jc w:val="both"/>
        <w:rPr>
          <w:b/>
        </w:rPr>
      </w:pPr>
    </w:p>
    <w:p w:rsidR="00C46D30" w:rsidRPr="005A3BDF" w:rsidRDefault="00C46D30" w:rsidP="00C46D30">
      <w:pPr>
        <w:jc w:val="both"/>
        <w:rPr>
          <w:b/>
        </w:rPr>
      </w:pPr>
      <w:r w:rsidRPr="005A3BDF">
        <w:rPr>
          <w:b/>
        </w:rPr>
        <w:t xml:space="preserve">1. </w:t>
      </w:r>
      <w:r w:rsidRPr="005A3BDF">
        <w:rPr>
          <w:b/>
          <w:u w:val="single"/>
        </w:rPr>
        <w:t>Cohesion Policy: Programming Period 2007-2013</w:t>
      </w:r>
    </w:p>
    <w:p w:rsidR="00C46D30" w:rsidRPr="005A3BDF" w:rsidRDefault="00C46D30" w:rsidP="00C46D30">
      <w:pPr>
        <w:autoSpaceDE w:val="0"/>
        <w:autoSpaceDN w:val="0"/>
        <w:adjustRightInd w:val="0"/>
        <w:jc w:val="both"/>
      </w:pPr>
    </w:p>
    <w:p w:rsidR="00C46D30" w:rsidRPr="005A3BDF" w:rsidRDefault="00C46D30" w:rsidP="00C46D30">
      <w:pPr>
        <w:autoSpaceDE w:val="0"/>
        <w:autoSpaceDN w:val="0"/>
        <w:adjustRightInd w:val="0"/>
        <w:jc w:val="both"/>
      </w:pPr>
      <w:r w:rsidRPr="005A3BDF">
        <w:t xml:space="preserve">The overall development strategy of Cyprus for the period 2007-2013 is incorporated in the Strategic Development Plan (SDP) 2007-2013, adopted by the Republic of Cyprus in 2007, which sets out medium-term strategic objectives, with analysis of priority actions and measures, both those that will be co-financed by European funds in the framework of the EU Cohesion Policy and other EU Policies and those that will be entirely financed by the national budget. The main objective of the SDP 2007-2013 is the sustainable economic development in a context of social cohesion. The National Strategic Reference Framework (NSRF) 2007-2013, which includes that part of the country’s development strategy that will be co-financed by the EU Structural Funds (SF) and the Cohesion Fund during the period 2007-2013, contributes towards this way through its general strategic objective of “achieving real convergence with the EU through high rates of sustainable economic growth”, which comes upon three separate but </w:t>
      </w:r>
      <w:r w:rsidRPr="005A3BDF">
        <w:lastRenderedPageBreak/>
        <w:t xml:space="preserve">interrelated specific strategic objectives, namely (i) enhancing competitiveness, (ii) achieving full and quality employment and embed social cohesion and (iii) promoting sustainable development. </w:t>
      </w:r>
    </w:p>
    <w:p w:rsidR="00C46D30" w:rsidRPr="005A3BDF" w:rsidRDefault="00C46D30" w:rsidP="00C46D30">
      <w:pPr>
        <w:autoSpaceDE w:val="0"/>
        <w:autoSpaceDN w:val="0"/>
        <w:adjustRightInd w:val="0"/>
        <w:jc w:val="both"/>
      </w:pPr>
    </w:p>
    <w:p w:rsidR="00C46D30" w:rsidRPr="005A3BDF" w:rsidRDefault="00C46D30" w:rsidP="00C46D30">
      <w:pPr>
        <w:autoSpaceDE w:val="0"/>
        <w:autoSpaceDN w:val="0"/>
        <w:adjustRightInd w:val="0"/>
        <w:jc w:val="both"/>
      </w:pPr>
      <w:r w:rsidRPr="005A3BDF">
        <w:rPr>
          <w:b/>
        </w:rPr>
        <w:t>The NSRF is co-financed with a sum of €612,4 mln</w:t>
      </w:r>
      <w:r w:rsidRPr="005A3BDF">
        <w:t xml:space="preserve"> from the European Regional Development Fund (ERDF), the European Social Fund (ESF) and the Cohesion Fund (CF) of EU, and it’s being implemented through two Operational Programmes (OP), namely:</w:t>
      </w:r>
    </w:p>
    <w:p w:rsidR="00C46D30" w:rsidRPr="005A3BDF" w:rsidRDefault="00C46D30" w:rsidP="00C46D30">
      <w:pPr>
        <w:autoSpaceDE w:val="0"/>
        <w:autoSpaceDN w:val="0"/>
        <w:adjustRightInd w:val="0"/>
        <w:jc w:val="both"/>
      </w:pPr>
    </w:p>
    <w:p w:rsidR="00C46D30" w:rsidRPr="005A3BDF" w:rsidRDefault="00C46D30" w:rsidP="00C46D30">
      <w:pPr>
        <w:autoSpaceDE w:val="0"/>
        <w:autoSpaceDN w:val="0"/>
        <w:adjustRightInd w:val="0"/>
        <w:jc w:val="both"/>
      </w:pPr>
      <w:r w:rsidRPr="005A3BDF">
        <w:t>- OP “Sustainable Development and Competitiveness”</w:t>
      </w:r>
      <w:r>
        <w:t xml:space="preserve"> (OP SDC)</w:t>
      </w:r>
      <w:r w:rsidRPr="005A3BDF">
        <w:t>, co-financed by the ERDF and the C</w:t>
      </w:r>
      <w:r w:rsidR="00F07A53">
        <w:t xml:space="preserve">ohesion </w:t>
      </w:r>
      <w:r w:rsidRPr="005A3BDF">
        <w:t>F</w:t>
      </w:r>
      <w:r w:rsidR="00F07A53">
        <w:t>und.</w:t>
      </w:r>
    </w:p>
    <w:p w:rsidR="00C46D30" w:rsidRPr="005A3BDF" w:rsidRDefault="00C46D30" w:rsidP="00C46D30">
      <w:pPr>
        <w:autoSpaceDE w:val="0"/>
        <w:autoSpaceDN w:val="0"/>
        <w:adjustRightInd w:val="0"/>
        <w:jc w:val="both"/>
      </w:pPr>
      <w:r w:rsidRPr="005A3BDF">
        <w:t>- OP “Employment, Human Capital and Social Cohesion”</w:t>
      </w:r>
      <w:r>
        <w:t xml:space="preserve"> (OP EHSCS)</w:t>
      </w:r>
      <w:r w:rsidRPr="005A3BDF">
        <w:t>, co-financed by the ESF</w:t>
      </w:r>
      <w:r w:rsidR="00F07A53">
        <w:t>.</w:t>
      </w:r>
    </w:p>
    <w:p w:rsidR="00C46D30" w:rsidRPr="005A3BDF" w:rsidRDefault="00C46D30" w:rsidP="00C46D30">
      <w:pPr>
        <w:autoSpaceDE w:val="0"/>
        <w:autoSpaceDN w:val="0"/>
        <w:adjustRightInd w:val="0"/>
        <w:jc w:val="both"/>
      </w:pPr>
    </w:p>
    <w:p w:rsidR="00C46D30" w:rsidRPr="005A3BDF" w:rsidRDefault="00C46D30" w:rsidP="00C46D30">
      <w:pPr>
        <w:autoSpaceDE w:val="0"/>
        <w:autoSpaceDN w:val="0"/>
        <w:adjustRightInd w:val="0"/>
        <w:jc w:val="both"/>
      </w:pPr>
      <w:r w:rsidRPr="005A3BDF">
        <w:t>Moreover, for the objective “European Territorial Cooperation”, €28 mln ha</w:t>
      </w:r>
      <w:r w:rsidR="00DF6F27">
        <w:t>ve</w:t>
      </w:r>
      <w:r w:rsidRPr="005A3BDF">
        <w:t xml:space="preserve"> been allocated to Cyprus by ERDF for joint actions that will be co-financed at a trans-national level. </w:t>
      </w:r>
    </w:p>
    <w:p w:rsidR="00C46D30" w:rsidRPr="005A3BDF" w:rsidRDefault="00C46D30" w:rsidP="00C46D30">
      <w:pPr>
        <w:autoSpaceDE w:val="0"/>
        <w:autoSpaceDN w:val="0"/>
        <w:adjustRightInd w:val="0"/>
        <w:jc w:val="both"/>
      </w:pPr>
    </w:p>
    <w:p w:rsidR="00C46D30" w:rsidRPr="005A3BDF" w:rsidRDefault="00C46D30" w:rsidP="00C46D30">
      <w:pPr>
        <w:autoSpaceDE w:val="0"/>
        <w:autoSpaceDN w:val="0"/>
        <w:adjustRightInd w:val="0"/>
        <w:jc w:val="both"/>
      </w:pPr>
      <w:r w:rsidRPr="002E55EB">
        <w:t xml:space="preserve">The NSRF for </w:t>
      </w:r>
      <w:r w:rsidR="00F07A53">
        <w:t xml:space="preserve">the </w:t>
      </w:r>
      <w:r w:rsidRPr="002E55EB">
        <w:t>Cohesion Policy 2007-2013 and consequently the Programmes mentioned above were formulated in order for their strategies and prio</w:t>
      </w:r>
      <w:r>
        <w:t>rities to contribute</w:t>
      </w:r>
      <w:r w:rsidRPr="002E55EB">
        <w:t xml:space="preserve"> to the maximum possible extent, to the objectives of the NRP 2005-2008 for the Lisbon Strategy. </w:t>
      </w:r>
      <w:r w:rsidRPr="002E55EB">
        <w:rPr>
          <w:color w:val="000000"/>
        </w:rPr>
        <w:t>Despite the fact that Cyprus is not bound, according to Article 9(3) of Regulation 1083/2006, to participate in the earmarking process, the indicative allocation of EU contribution that corresponds to earmarked categories of intervention is estimated to around 60% for the period 2007-2013.</w:t>
      </w:r>
      <w:r w:rsidRPr="005A3BDF">
        <w:rPr>
          <w:color w:val="000000"/>
        </w:rPr>
        <w:t xml:space="preserve"> More detailed analysis is presented in </w:t>
      </w:r>
      <w:r w:rsidRPr="0042001C">
        <w:rPr>
          <w:color w:val="000000"/>
        </w:rPr>
        <w:t xml:space="preserve">Table </w:t>
      </w:r>
      <w:r w:rsidR="00F25240">
        <w:rPr>
          <w:color w:val="000000"/>
        </w:rPr>
        <w:t>4</w:t>
      </w:r>
      <w:r w:rsidR="0042001C" w:rsidRPr="0042001C">
        <w:rPr>
          <w:color w:val="000000"/>
        </w:rPr>
        <w:t xml:space="preserve"> below</w:t>
      </w:r>
      <w:r w:rsidRPr="0042001C">
        <w:rPr>
          <w:color w:val="000000"/>
        </w:rPr>
        <w:t>.</w:t>
      </w:r>
    </w:p>
    <w:p w:rsidR="00C46D30" w:rsidRPr="005A3BDF" w:rsidRDefault="00C46D30" w:rsidP="00C46D30">
      <w:pPr>
        <w:autoSpaceDE w:val="0"/>
        <w:autoSpaceDN w:val="0"/>
        <w:adjustRightInd w:val="0"/>
        <w:jc w:val="both"/>
      </w:pPr>
    </w:p>
    <w:p w:rsidR="00C46D30" w:rsidRPr="005A3BDF" w:rsidRDefault="00C46D30" w:rsidP="00C46D30">
      <w:pPr>
        <w:autoSpaceDE w:val="0"/>
        <w:autoSpaceDN w:val="0"/>
        <w:adjustRightInd w:val="0"/>
        <w:jc w:val="both"/>
      </w:pPr>
      <w:r w:rsidRPr="005A3BDF">
        <w:t xml:space="preserve">In the following sections, more information is given on the priorities and objectives of each Programme, their progress of implementation as well as their contribution to the objectives of the Lisbon Strategy through the earmarking process. Additionally, </w:t>
      </w:r>
      <w:r w:rsidRPr="007F65B5">
        <w:t xml:space="preserve">Table </w:t>
      </w:r>
      <w:r w:rsidR="00F25240">
        <w:t>5</w:t>
      </w:r>
      <w:r w:rsidRPr="007F65B5">
        <w:t xml:space="preserve"> </w:t>
      </w:r>
      <w:r w:rsidRPr="005A3BDF">
        <w:t xml:space="preserve">below presents the coherence between the NRP 2011-2013 and the </w:t>
      </w:r>
      <w:r w:rsidR="00F07A53">
        <w:t>OPs</w:t>
      </w:r>
      <w:r w:rsidRPr="005A3BDF">
        <w:t xml:space="preserve"> implemented in Cyprus within the framework of the EU Cohesion Policy, through some indicative co-financed measures. </w:t>
      </w:r>
    </w:p>
    <w:p w:rsidR="00C46D30" w:rsidRPr="005A3BDF" w:rsidRDefault="00C46D30" w:rsidP="00C46D30">
      <w:pPr>
        <w:autoSpaceDE w:val="0"/>
        <w:autoSpaceDN w:val="0"/>
        <w:adjustRightInd w:val="0"/>
        <w:jc w:val="both"/>
      </w:pPr>
    </w:p>
    <w:p w:rsidR="00C46D30" w:rsidRPr="005A3BDF" w:rsidRDefault="00C46D30" w:rsidP="00C46D30">
      <w:pPr>
        <w:autoSpaceDE w:val="0"/>
        <w:autoSpaceDN w:val="0"/>
        <w:adjustRightInd w:val="0"/>
        <w:jc w:val="both"/>
        <w:rPr>
          <w:color w:val="0000FF"/>
        </w:rPr>
      </w:pPr>
    </w:p>
    <w:p w:rsidR="00C46D30" w:rsidRPr="005A3BDF" w:rsidRDefault="00C46D30" w:rsidP="00A073EF">
      <w:pPr>
        <w:numPr>
          <w:ilvl w:val="1"/>
          <w:numId w:val="72"/>
        </w:numPr>
        <w:jc w:val="both"/>
        <w:rPr>
          <w:b/>
        </w:rPr>
      </w:pPr>
      <w:r w:rsidRPr="005A3BDF">
        <w:rPr>
          <w:b/>
        </w:rPr>
        <w:t>OP “Sustainable Development and Competitiveness, 2007-2013”</w:t>
      </w:r>
    </w:p>
    <w:p w:rsidR="00C46D30" w:rsidRPr="005A3BDF" w:rsidRDefault="00C46D30" w:rsidP="00C46D30">
      <w:pPr>
        <w:jc w:val="both"/>
        <w:rPr>
          <w:b/>
        </w:rPr>
      </w:pPr>
    </w:p>
    <w:p w:rsidR="00C46D30" w:rsidRPr="005A3BDF" w:rsidRDefault="00C46D30" w:rsidP="00C46D30">
      <w:pPr>
        <w:jc w:val="both"/>
      </w:pPr>
      <w:r w:rsidRPr="005A3BDF">
        <w:t>The Strategic Objective of the Programme is “the Improvement of the Competitiveness of the Economy within Conditions of Sustainable Development”. This Strategic Objective aims at addressing the development weaknesses, by exploiting the country’s comparative advantages mainly in the areas of entrepreneurship, tourism, environment and transport and will be pursued through three interrelated General Objectives which are:</w:t>
      </w:r>
    </w:p>
    <w:p w:rsidR="00C46D30" w:rsidRPr="005A3BDF" w:rsidRDefault="00C46D30" w:rsidP="00C46D30">
      <w:pPr>
        <w:jc w:val="both"/>
      </w:pPr>
    </w:p>
    <w:p w:rsidR="00C46D30" w:rsidRPr="005A3BDF" w:rsidRDefault="00C46D30" w:rsidP="00A073EF">
      <w:pPr>
        <w:numPr>
          <w:ilvl w:val="0"/>
          <w:numId w:val="77"/>
        </w:numPr>
        <w:tabs>
          <w:tab w:val="clear" w:pos="720"/>
          <w:tab w:val="num" w:pos="284"/>
        </w:tabs>
        <w:ind w:left="284" w:hanging="284"/>
        <w:jc w:val="both"/>
      </w:pPr>
      <w:r w:rsidRPr="005A3BDF">
        <w:t>Improving the attractiveness of the country, through the creation and upgrading of basic infrastructure</w:t>
      </w:r>
      <w:r w:rsidR="00F25240">
        <w:t>.</w:t>
      </w:r>
    </w:p>
    <w:p w:rsidR="00C46D30" w:rsidRPr="005A3BDF" w:rsidRDefault="00C46D30" w:rsidP="00A073EF">
      <w:pPr>
        <w:numPr>
          <w:ilvl w:val="0"/>
          <w:numId w:val="77"/>
        </w:numPr>
        <w:tabs>
          <w:tab w:val="clear" w:pos="720"/>
          <w:tab w:val="num" w:pos="284"/>
        </w:tabs>
        <w:ind w:left="284" w:hanging="284"/>
        <w:jc w:val="both"/>
      </w:pPr>
      <w:r w:rsidRPr="005A3BDF">
        <w:t>Promoting the knowledge society and innovation and improving the productive environment</w:t>
      </w:r>
      <w:r w:rsidR="00F25240">
        <w:t>.</w:t>
      </w:r>
    </w:p>
    <w:p w:rsidR="00C46D30" w:rsidRPr="005A3BDF" w:rsidRDefault="00C46D30" w:rsidP="00A073EF">
      <w:pPr>
        <w:numPr>
          <w:ilvl w:val="0"/>
          <w:numId w:val="77"/>
        </w:numPr>
        <w:tabs>
          <w:tab w:val="clear" w:pos="720"/>
          <w:tab w:val="num" w:pos="284"/>
        </w:tabs>
        <w:ind w:left="284" w:hanging="284"/>
        <w:jc w:val="both"/>
      </w:pPr>
      <w:r w:rsidRPr="005A3BDF">
        <w:t>Creating sustainable communities in urban and rural areas</w:t>
      </w:r>
      <w:r w:rsidR="00F25240">
        <w:t>.</w:t>
      </w:r>
    </w:p>
    <w:p w:rsidR="00C46D30" w:rsidRPr="005A3BDF" w:rsidRDefault="00C46D30" w:rsidP="00C46D30">
      <w:pPr>
        <w:jc w:val="both"/>
      </w:pPr>
    </w:p>
    <w:p w:rsidR="00C46D30" w:rsidRPr="005A3BDF" w:rsidRDefault="00C46D30" w:rsidP="00C46D30">
      <w:pPr>
        <w:jc w:val="both"/>
      </w:pPr>
      <w:r w:rsidRPr="005A3BDF">
        <w:t>The strategic and general objectives of the Programme will be achieved through five Priority Axes, related to:</w:t>
      </w:r>
    </w:p>
    <w:p w:rsidR="00C46D30" w:rsidRPr="005A3BDF" w:rsidRDefault="00C46D30" w:rsidP="00C46D30">
      <w:pPr>
        <w:jc w:val="both"/>
      </w:pPr>
    </w:p>
    <w:p w:rsidR="00C46D30" w:rsidRPr="005A3BDF" w:rsidRDefault="00C46D30" w:rsidP="00A073EF">
      <w:pPr>
        <w:numPr>
          <w:ilvl w:val="0"/>
          <w:numId w:val="73"/>
        </w:numPr>
        <w:tabs>
          <w:tab w:val="clear" w:pos="720"/>
        </w:tabs>
        <w:ind w:left="284" w:hanging="284"/>
        <w:jc w:val="both"/>
      </w:pPr>
      <w:r w:rsidRPr="005A3BDF">
        <w:t>Basic Infrastructure in the Environment and Energy Sectors</w:t>
      </w:r>
      <w:r w:rsidR="00F25240">
        <w:t>.</w:t>
      </w:r>
      <w:r w:rsidRPr="005A3BDF">
        <w:t xml:space="preserve"> </w:t>
      </w:r>
    </w:p>
    <w:p w:rsidR="00C46D30" w:rsidRPr="005A3BDF" w:rsidRDefault="00C46D30" w:rsidP="00A073EF">
      <w:pPr>
        <w:numPr>
          <w:ilvl w:val="0"/>
          <w:numId w:val="73"/>
        </w:numPr>
        <w:tabs>
          <w:tab w:val="clear" w:pos="720"/>
        </w:tabs>
        <w:ind w:left="284" w:hanging="284"/>
        <w:jc w:val="both"/>
      </w:pPr>
      <w:r w:rsidRPr="005A3BDF">
        <w:t>Basic Transport Infrastructure</w:t>
      </w:r>
      <w:r w:rsidR="00F25240">
        <w:t>.</w:t>
      </w:r>
    </w:p>
    <w:p w:rsidR="00C46D30" w:rsidRPr="005A3BDF" w:rsidRDefault="00C46D30" w:rsidP="00A073EF">
      <w:pPr>
        <w:numPr>
          <w:ilvl w:val="0"/>
          <w:numId w:val="73"/>
        </w:numPr>
        <w:tabs>
          <w:tab w:val="clear" w:pos="720"/>
        </w:tabs>
        <w:ind w:left="284" w:hanging="284"/>
        <w:jc w:val="both"/>
      </w:pPr>
      <w:r w:rsidRPr="005A3BDF">
        <w:t>Knowledge Economy and Innovation</w:t>
      </w:r>
      <w:r w:rsidR="00F25240">
        <w:t>.</w:t>
      </w:r>
    </w:p>
    <w:p w:rsidR="00C46D30" w:rsidRPr="005A3BDF" w:rsidRDefault="00C46D30" w:rsidP="00A073EF">
      <w:pPr>
        <w:numPr>
          <w:ilvl w:val="0"/>
          <w:numId w:val="73"/>
        </w:numPr>
        <w:tabs>
          <w:tab w:val="clear" w:pos="720"/>
        </w:tabs>
        <w:ind w:left="284" w:hanging="284"/>
        <w:jc w:val="both"/>
      </w:pPr>
      <w:r w:rsidRPr="005A3BDF">
        <w:t>Productive Environment</w:t>
      </w:r>
      <w:r w:rsidR="00F25240">
        <w:t>.</w:t>
      </w:r>
    </w:p>
    <w:p w:rsidR="00C46D30" w:rsidRPr="005A3BDF" w:rsidRDefault="00C46D30" w:rsidP="00A073EF">
      <w:pPr>
        <w:numPr>
          <w:ilvl w:val="0"/>
          <w:numId w:val="73"/>
        </w:numPr>
        <w:tabs>
          <w:tab w:val="clear" w:pos="720"/>
        </w:tabs>
        <w:ind w:left="284" w:hanging="284"/>
        <w:jc w:val="both"/>
      </w:pPr>
      <w:r w:rsidRPr="005A3BDF">
        <w:t>Revitalisation of Urban and Rural Areas</w:t>
      </w:r>
      <w:r w:rsidR="00F25240">
        <w:t>.</w:t>
      </w:r>
    </w:p>
    <w:p w:rsidR="00C46D30" w:rsidRDefault="00C46D30" w:rsidP="00C46D30">
      <w:pPr>
        <w:ind w:left="720"/>
        <w:jc w:val="both"/>
      </w:pPr>
    </w:p>
    <w:p w:rsidR="00C46D30" w:rsidRPr="005A3BDF" w:rsidRDefault="00C46D30" w:rsidP="00C46D30">
      <w:pPr>
        <w:ind w:left="720"/>
        <w:jc w:val="both"/>
      </w:pPr>
    </w:p>
    <w:p w:rsidR="00C46D30" w:rsidRPr="005A3BDF" w:rsidRDefault="00C46D30" w:rsidP="00A073EF">
      <w:pPr>
        <w:numPr>
          <w:ilvl w:val="1"/>
          <w:numId w:val="72"/>
        </w:numPr>
        <w:jc w:val="both"/>
        <w:rPr>
          <w:b/>
        </w:rPr>
      </w:pPr>
      <w:r w:rsidRPr="005A3BDF">
        <w:rPr>
          <w:b/>
        </w:rPr>
        <w:t>OP “Employment, Human Capital and Social Cohesion, 2007-2013”</w:t>
      </w:r>
    </w:p>
    <w:p w:rsidR="00C46D30" w:rsidRPr="005A3BDF" w:rsidRDefault="00C46D30" w:rsidP="00C46D30">
      <w:pPr>
        <w:jc w:val="both"/>
        <w:rPr>
          <w:b/>
        </w:rPr>
      </w:pPr>
    </w:p>
    <w:p w:rsidR="00C46D30" w:rsidRPr="005A3BDF" w:rsidRDefault="00C46D30" w:rsidP="00C46D30">
      <w:pPr>
        <w:jc w:val="both"/>
      </w:pPr>
      <w:r w:rsidRPr="005A3BDF">
        <w:t>The Strategic Objective of the Programme is the “Full and quality employment, development of human capital and the strengthening of social cohesion and equal opportunities conditions”. The Strategic Objective of the Programme aims at developing human capital and facing the structural weaknesses of the labour market, focusing on upgrading the skills of targeted population groups and promoting them in employment</w:t>
      </w:r>
      <w:r w:rsidR="00F25240">
        <w:t xml:space="preserve">. This Strategic Objective </w:t>
      </w:r>
      <w:r w:rsidRPr="005A3BDF">
        <w:t>will be pursued through two General Objectives which are:</w:t>
      </w:r>
    </w:p>
    <w:p w:rsidR="00C46D30" w:rsidRPr="005A3BDF" w:rsidRDefault="00C46D30" w:rsidP="00C46D30">
      <w:pPr>
        <w:jc w:val="both"/>
      </w:pPr>
    </w:p>
    <w:p w:rsidR="00C46D30" w:rsidRPr="005A3BDF" w:rsidRDefault="00C46D30" w:rsidP="00A073EF">
      <w:pPr>
        <w:numPr>
          <w:ilvl w:val="0"/>
          <w:numId w:val="78"/>
        </w:numPr>
        <w:tabs>
          <w:tab w:val="clear" w:pos="720"/>
        </w:tabs>
        <w:ind w:left="284" w:hanging="284"/>
        <w:jc w:val="both"/>
      </w:pPr>
      <w:r w:rsidRPr="005A3BDF">
        <w:t>Improvement of Human Capital and Increase of the Adaptability of the Private and Public Sector</w:t>
      </w:r>
      <w:r w:rsidR="00F25240">
        <w:t>.</w:t>
      </w:r>
    </w:p>
    <w:p w:rsidR="00C46D30" w:rsidRPr="005A3BDF" w:rsidRDefault="00C46D30" w:rsidP="00A073EF">
      <w:pPr>
        <w:numPr>
          <w:ilvl w:val="0"/>
          <w:numId w:val="78"/>
        </w:numPr>
        <w:tabs>
          <w:tab w:val="clear" w:pos="720"/>
        </w:tabs>
        <w:ind w:left="284" w:hanging="284"/>
        <w:jc w:val="both"/>
      </w:pPr>
      <w:r w:rsidRPr="005A3BDF">
        <w:t>Attracting and Maintaining More People in the Labour Market and Reinforcement of Social Inclusion</w:t>
      </w:r>
      <w:r w:rsidR="00F25240">
        <w:t>.</w:t>
      </w:r>
    </w:p>
    <w:p w:rsidR="00C46D30" w:rsidRPr="005A3BDF" w:rsidRDefault="00C46D30" w:rsidP="00C46D30">
      <w:pPr>
        <w:jc w:val="both"/>
      </w:pPr>
    </w:p>
    <w:p w:rsidR="00C46D30" w:rsidRPr="005A3BDF" w:rsidRDefault="00C46D30" w:rsidP="00C46D30">
      <w:pPr>
        <w:jc w:val="both"/>
      </w:pPr>
      <w:r w:rsidRPr="005A3BDF">
        <w:t>The strategic and general objectives of the Programme will be achieved through two Priority Axes, related to</w:t>
      </w:r>
      <w:r w:rsidR="00F25240">
        <w:t xml:space="preserve"> the</w:t>
      </w:r>
      <w:r w:rsidRPr="005A3BDF">
        <w:t>:</w:t>
      </w:r>
    </w:p>
    <w:p w:rsidR="00C46D30" w:rsidRPr="005A3BDF" w:rsidRDefault="00C46D30" w:rsidP="00C46D30">
      <w:pPr>
        <w:jc w:val="both"/>
      </w:pPr>
    </w:p>
    <w:p w:rsidR="00C46D30" w:rsidRPr="005A3BDF" w:rsidRDefault="00C46D30" w:rsidP="00A073EF">
      <w:pPr>
        <w:numPr>
          <w:ilvl w:val="0"/>
          <w:numId w:val="74"/>
        </w:numPr>
        <w:tabs>
          <w:tab w:val="clear" w:pos="720"/>
        </w:tabs>
        <w:ind w:left="284" w:hanging="284"/>
        <w:jc w:val="both"/>
      </w:pPr>
      <w:r w:rsidRPr="005A3BDF">
        <w:t>Development of Human Capital and Adaptability</w:t>
      </w:r>
      <w:r w:rsidR="00F25240">
        <w:t>.</w:t>
      </w:r>
    </w:p>
    <w:p w:rsidR="00C46D30" w:rsidRPr="005A3BDF" w:rsidRDefault="00C46D30" w:rsidP="00A073EF">
      <w:pPr>
        <w:numPr>
          <w:ilvl w:val="0"/>
          <w:numId w:val="74"/>
        </w:numPr>
        <w:tabs>
          <w:tab w:val="clear" w:pos="720"/>
        </w:tabs>
        <w:ind w:left="284" w:hanging="284"/>
        <w:jc w:val="both"/>
      </w:pPr>
      <w:r w:rsidRPr="005A3BDF">
        <w:t>Expansion of Labour Market and Social Cohesion</w:t>
      </w:r>
      <w:r w:rsidR="00F25240">
        <w:t>.</w:t>
      </w:r>
    </w:p>
    <w:p w:rsidR="00C46D30" w:rsidRPr="005A3BDF" w:rsidRDefault="00C46D30" w:rsidP="00C46D30">
      <w:pPr>
        <w:jc w:val="both"/>
        <w:rPr>
          <w:b/>
        </w:rPr>
      </w:pPr>
    </w:p>
    <w:p w:rsidR="00C46D30" w:rsidRPr="005A3BDF" w:rsidRDefault="00C46D30" w:rsidP="00C46D30">
      <w:pPr>
        <w:jc w:val="both"/>
        <w:rPr>
          <w:b/>
        </w:rPr>
      </w:pPr>
    </w:p>
    <w:p w:rsidR="00C46D30" w:rsidRPr="005A3BDF" w:rsidRDefault="00C46D30" w:rsidP="00A073EF">
      <w:pPr>
        <w:numPr>
          <w:ilvl w:val="1"/>
          <w:numId w:val="72"/>
        </w:numPr>
        <w:jc w:val="both"/>
        <w:rPr>
          <w:b/>
        </w:rPr>
      </w:pPr>
      <w:r w:rsidRPr="005A3BDF">
        <w:rPr>
          <w:b/>
          <w:bCs/>
        </w:rPr>
        <w:t>Progress in the Implementation of the Operational Programmes</w:t>
      </w:r>
    </w:p>
    <w:p w:rsidR="00C46D30" w:rsidRPr="005A3BDF" w:rsidRDefault="00C46D30" w:rsidP="00C46D30">
      <w:pPr>
        <w:jc w:val="both"/>
        <w:rPr>
          <w:b/>
        </w:rPr>
      </w:pPr>
    </w:p>
    <w:p w:rsidR="00C46D30" w:rsidRPr="005A3BDF" w:rsidRDefault="00C46D30" w:rsidP="00C46D30">
      <w:pPr>
        <w:jc w:val="both"/>
      </w:pPr>
      <w:r w:rsidRPr="005A3BDF">
        <w:t>Since the beginning of the current programming period and by the end of March 2011, all necessary actions were taken in order to ensure the timely and smooth implementation of the</w:t>
      </w:r>
      <w:r w:rsidR="00F07A53">
        <w:t xml:space="preserve"> </w:t>
      </w:r>
      <w:r w:rsidRPr="005A3BDF">
        <w:t xml:space="preserve">OPs and the approval of projects with added value to achieve the targets and goals set in the OPs. </w:t>
      </w:r>
    </w:p>
    <w:p w:rsidR="00C46D30" w:rsidRPr="005A3BDF" w:rsidRDefault="00C46D30" w:rsidP="00C46D30">
      <w:pPr>
        <w:jc w:val="both"/>
      </w:pPr>
    </w:p>
    <w:p w:rsidR="00C46D30" w:rsidRPr="005A3BDF" w:rsidRDefault="00C46D30" w:rsidP="00C46D30">
      <w:pPr>
        <w:jc w:val="both"/>
      </w:pPr>
      <w:r w:rsidRPr="005A3BDF">
        <w:t>More specifically, the following actions were undertaken:</w:t>
      </w:r>
    </w:p>
    <w:p w:rsidR="00C46D30" w:rsidRPr="005A3BDF" w:rsidRDefault="00C46D30" w:rsidP="00C46D30">
      <w:pPr>
        <w:jc w:val="both"/>
      </w:pPr>
    </w:p>
    <w:p w:rsidR="00C46D30" w:rsidRPr="005A3BDF" w:rsidRDefault="00C46D30" w:rsidP="00C46D30">
      <w:pPr>
        <w:tabs>
          <w:tab w:val="left" w:pos="426"/>
        </w:tabs>
        <w:ind w:left="426" w:hanging="426"/>
        <w:jc w:val="both"/>
      </w:pPr>
      <w:r w:rsidRPr="005A3BDF">
        <w:t xml:space="preserve">(i) </w:t>
      </w:r>
      <w:r w:rsidR="00F07A53">
        <w:t xml:space="preserve"> </w:t>
      </w:r>
      <w:r w:rsidRPr="005A3BDF">
        <w:t xml:space="preserve">The OPs were fully activated with the publication of all scheduled calls for proposals. In total, 34 calls for proposals were issued for both OPs, in addition to the launching of 30 calls for proposals for Grant Schemes. </w:t>
      </w:r>
    </w:p>
    <w:p w:rsidR="00C46D30" w:rsidRPr="005A3BDF" w:rsidRDefault="00C46D30" w:rsidP="00C46D30">
      <w:pPr>
        <w:tabs>
          <w:tab w:val="left" w:pos="426"/>
        </w:tabs>
        <w:ind w:left="426" w:hanging="426"/>
        <w:jc w:val="both"/>
      </w:pPr>
    </w:p>
    <w:p w:rsidR="00C46D30" w:rsidRPr="005A3BDF" w:rsidRDefault="00C46D30" w:rsidP="00C46D30">
      <w:pPr>
        <w:tabs>
          <w:tab w:val="left" w:pos="426"/>
        </w:tabs>
        <w:ind w:left="426" w:hanging="426"/>
        <w:jc w:val="both"/>
      </w:pPr>
      <w:r w:rsidRPr="005A3BDF">
        <w:t xml:space="preserve">(ii)  By the end of March 2011, </w:t>
      </w:r>
      <w:r w:rsidR="008663CD">
        <w:t>about 2.100</w:t>
      </w:r>
      <w:r w:rsidRPr="005A3BDF">
        <w:t xml:space="preserve"> projects with a total budget (eligible pub</w:t>
      </w:r>
      <w:r w:rsidR="008663CD">
        <w:t>lic expenditure) of €783 mln have</w:t>
      </w:r>
      <w:r w:rsidRPr="005A3BDF">
        <w:t xml:space="preserve"> been approved, corresponding to 107% of the OPs total budget.</w:t>
      </w:r>
    </w:p>
    <w:p w:rsidR="00C46D30" w:rsidRPr="005A3BDF" w:rsidRDefault="00C46D30" w:rsidP="00C46D30">
      <w:pPr>
        <w:tabs>
          <w:tab w:val="left" w:pos="426"/>
        </w:tabs>
        <w:ind w:left="426" w:hanging="426"/>
        <w:jc w:val="both"/>
      </w:pPr>
    </w:p>
    <w:p w:rsidR="00C46D30" w:rsidRPr="005A3BDF" w:rsidRDefault="00C46D30" w:rsidP="00C46D30">
      <w:pPr>
        <w:tabs>
          <w:tab w:val="left" w:pos="426"/>
        </w:tabs>
        <w:ind w:left="426" w:hanging="426"/>
        <w:jc w:val="both"/>
      </w:pPr>
      <w:r w:rsidRPr="005A3BDF">
        <w:t>(iii) The Managing Authority issued all necessary detailed guidelines to ensure the correctness of operations and sound financial management. All procedures have been computeri</w:t>
      </w:r>
      <w:r w:rsidR="00643096">
        <w:t>s</w:t>
      </w:r>
      <w:r w:rsidRPr="005A3BDF">
        <w:t>ed and the Management Information System is fully operational. Moreover, intensive training and workshops were organi</w:t>
      </w:r>
      <w:r w:rsidR="00F25240">
        <w:t>s</w:t>
      </w:r>
      <w:r w:rsidRPr="005A3BDF">
        <w:t xml:space="preserve">ed by the Managing Authority to enhance the administrative capacity of all involved Authorities and a help desk has been set up to support all </w:t>
      </w:r>
      <w:r w:rsidR="00643096">
        <w:t>a</w:t>
      </w:r>
      <w:r w:rsidRPr="005A3BDF">
        <w:t>uthorities involved in the management of the OPs.</w:t>
      </w:r>
    </w:p>
    <w:p w:rsidR="00C46D30" w:rsidRPr="002E55EB" w:rsidRDefault="00C46D30" w:rsidP="00C46D30">
      <w:pPr>
        <w:jc w:val="both"/>
        <w:rPr>
          <w:color w:val="000000"/>
        </w:rPr>
      </w:pPr>
    </w:p>
    <w:p w:rsidR="00DE1F31" w:rsidRDefault="00C46D30" w:rsidP="00C46D30">
      <w:pPr>
        <w:jc w:val="both"/>
        <w:sectPr w:rsidR="00DE1F31" w:rsidSect="00E62B5F">
          <w:type w:val="continuous"/>
          <w:pgSz w:w="12240" w:h="15840"/>
          <w:pgMar w:top="1418" w:right="1440" w:bottom="1296" w:left="1440" w:header="720" w:footer="720" w:gutter="0"/>
          <w:cols w:space="720"/>
          <w:titlePg/>
          <w:docGrid w:linePitch="360"/>
        </w:sectPr>
      </w:pPr>
      <w:r w:rsidRPr="005A3BDF">
        <w:rPr>
          <w:color w:val="000000"/>
        </w:rPr>
        <w:t>The projects already selected within the framework of the OPs contribute to a great extent to the prior</w:t>
      </w:r>
      <w:r w:rsidR="008663CD">
        <w:rPr>
          <w:color w:val="000000"/>
        </w:rPr>
        <w:t>ities and objectives of the NRP</w:t>
      </w:r>
      <w:r w:rsidRPr="005A3BDF">
        <w:rPr>
          <w:color w:val="000000"/>
        </w:rPr>
        <w:t xml:space="preserve">. Below, the last column of </w:t>
      </w:r>
      <w:r w:rsidRPr="007F65B5">
        <w:rPr>
          <w:color w:val="000000"/>
        </w:rPr>
        <w:t xml:space="preserve">Table </w:t>
      </w:r>
      <w:r w:rsidR="00F25240">
        <w:rPr>
          <w:color w:val="000000"/>
        </w:rPr>
        <w:t>4</w:t>
      </w:r>
      <w:r w:rsidRPr="005A3BDF">
        <w:rPr>
          <w:color w:val="000000"/>
        </w:rPr>
        <w:t xml:space="preserve"> presents the funds already committed to projects under earmarked categories of expenditure. The total committed expenditure</w:t>
      </w:r>
      <w:r w:rsidRPr="005A3BDF">
        <w:rPr>
          <w:color w:val="000000"/>
          <w:lang w:val="en-GB"/>
        </w:rPr>
        <w:t xml:space="preserve"> </w:t>
      </w:r>
      <w:r w:rsidRPr="005A3BDF">
        <w:rPr>
          <w:color w:val="000000"/>
        </w:rPr>
        <w:t xml:space="preserve">up to the end of March 2011 </w:t>
      </w:r>
      <w:r w:rsidRPr="005A3BDF">
        <w:rPr>
          <w:color w:val="000000"/>
          <w:lang w:val="en-GB"/>
        </w:rPr>
        <w:t>corresponds</w:t>
      </w:r>
      <w:r w:rsidRPr="005A3BDF">
        <w:rPr>
          <w:color w:val="000000"/>
        </w:rPr>
        <w:t xml:space="preserve"> to 57,2% of the total community contribution of the </w:t>
      </w:r>
      <w:r w:rsidR="00643096">
        <w:rPr>
          <w:color w:val="000000"/>
        </w:rPr>
        <w:t>OPs</w:t>
      </w:r>
      <w:r w:rsidRPr="005A3BDF">
        <w:rPr>
          <w:color w:val="000000"/>
        </w:rPr>
        <w:t xml:space="preserve">. </w:t>
      </w:r>
      <w:r w:rsidRPr="005A3BDF">
        <w:t>More, specifically, the broader categories of earmarked codes are as follows:</w:t>
      </w:r>
    </w:p>
    <w:p w:rsidR="00B15D67" w:rsidRDefault="00B15D67" w:rsidP="00C46D30">
      <w:pPr>
        <w:jc w:val="both"/>
        <w:rPr>
          <w:color w:val="000080"/>
        </w:rPr>
        <w:sectPr w:rsidR="00B15D67" w:rsidSect="00E62B5F">
          <w:type w:val="continuous"/>
          <w:pgSz w:w="12240" w:h="15840"/>
          <w:pgMar w:top="1418" w:right="1440" w:bottom="1296" w:left="1440" w:header="720" w:footer="720" w:gutter="0"/>
          <w:cols w:space="720"/>
          <w:titlePg/>
          <w:docGrid w:linePitch="360"/>
        </w:sectPr>
      </w:pPr>
    </w:p>
    <w:p w:rsidR="00DE1F31" w:rsidRDefault="00DE1F31" w:rsidP="00C46D30">
      <w:pPr>
        <w:jc w:val="both"/>
        <w:rPr>
          <w:b/>
          <w:i/>
          <w:color w:val="000000"/>
        </w:rPr>
        <w:sectPr w:rsidR="00DE1F31" w:rsidSect="008B5FDA">
          <w:type w:val="continuous"/>
          <w:pgSz w:w="12240" w:h="15840"/>
          <w:pgMar w:top="1418" w:right="1440" w:bottom="1296" w:left="1440" w:header="720" w:footer="720" w:gutter="0"/>
          <w:cols w:space="720"/>
          <w:titlePg/>
          <w:docGrid w:linePitch="360"/>
        </w:sectPr>
      </w:pPr>
    </w:p>
    <w:p w:rsidR="00C46D30" w:rsidRPr="002E55EB" w:rsidRDefault="00C46D30" w:rsidP="00C46D30">
      <w:pPr>
        <w:jc w:val="both"/>
        <w:rPr>
          <w:b/>
          <w:i/>
          <w:color w:val="000000"/>
        </w:rPr>
      </w:pPr>
      <w:r w:rsidRPr="002E55EB">
        <w:rPr>
          <w:b/>
          <w:i/>
          <w:color w:val="000000"/>
        </w:rPr>
        <w:t xml:space="preserve">Table </w:t>
      </w:r>
      <w:r w:rsidR="00F25240">
        <w:rPr>
          <w:b/>
          <w:i/>
          <w:color w:val="000000"/>
        </w:rPr>
        <w:t>4</w:t>
      </w:r>
      <w:r w:rsidRPr="002E55EB">
        <w:rPr>
          <w:b/>
          <w:i/>
          <w:color w:val="000000"/>
        </w:rPr>
        <w:t>: Earmarked Categories of Expenditure</w:t>
      </w:r>
    </w:p>
    <w:tbl>
      <w:tblPr>
        <w:tblpPr w:leftFromText="180" w:rightFromText="180" w:vertAnchor="text" w:horzAnchor="margin" w:tblpY="44"/>
        <w:tblW w:w="9464" w:type="dxa"/>
        <w:tblLayout w:type="fixed"/>
        <w:tblLook w:val="0000"/>
      </w:tblPr>
      <w:tblGrid>
        <w:gridCol w:w="3452"/>
        <w:gridCol w:w="1440"/>
        <w:gridCol w:w="1710"/>
        <w:gridCol w:w="1530"/>
        <w:gridCol w:w="1332"/>
      </w:tblGrid>
      <w:tr w:rsidR="00C46D30" w:rsidRPr="005A3BDF" w:rsidTr="00C46D30">
        <w:trPr>
          <w:trHeight w:val="270"/>
          <w:tblHeader/>
        </w:trPr>
        <w:tc>
          <w:tcPr>
            <w:tcW w:w="3452" w:type="dxa"/>
            <w:tcBorders>
              <w:top w:val="double" w:sz="6" w:space="0" w:color="auto"/>
              <w:left w:val="double" w:sz="6" w:space="0" w:color="auto"/>
              <w:bottom w:val="single" w:sz="4" w:space="0" w:color="auto"/>
              <w:right w:val="single" w:sz="4" w:space="0" w:color="auto"/>
            </w:tcBorders>
            <w:shd w:val="clear" w:color="auto" w:fill="C0C0C0"/>
            <w:noWrap/>
            <w:vAlign w:val="center"/>
          </w:tcPr>
          <w:p w:rsidR="00C46D30" w:rsidRPr="005A3BDF" w:rsidRDefault="00C46D30" w:rsidP="00C46D30">
            <w:pPr>
              <w:jc w:val="center"/>
              <w:rPr>
                <w:b/>
                <w:bCs/>
                <w:sz w:val="20"/>
                <w:szCs w:val="20"/>
              </w:rPr>
            </w:pPr>
            <w:r w:rsidRPr="005A3BDF">
              <w:rPr>
                <w:b/>
                <w:bCs/>
                <w:sz w:val="20"/>
                <w:szCs w:val="20"/>
              </w:rPr>
              <w:t>Category</w:t>
            </w:r>
          </w:p>
        </w:tc>
        <w:tc>
          <w:tcPr>
            <w:tcW w:w="1440" w:type="dxa"/>
            <w:tcBorders>
              <w:top w:val="double" w:sz="6" w:space="0" w:color="auto"/>
              <w:left w:val="single" w:sz="4" w:space="0" w:color="auto"/>
              <w:bottom w:val="single" w:sz="4" w:space="0" w:color="auto"/>
              <w:right w:val="single" w:sz="4" w:space="0" w:color="auto"/>
            </w:tcBorders>
            <w:shd w:val="clear" w:color="auto" w:fill="C0C0C0"/>
            <w:vAlign w:val="center"/>
          </w:tcPr>
          <w:p w:rsidR="00C46D30" w:rsidRPr="005A3BDF" w:rsidRDefault="00C46D30" w:rsidP="00C46D30">
            <w:pPr>
              <w:jc w:val="center"/>
              <w:rPr>
                <w:b/>
                <w:bCs/>
                <w:sz w:val="20"/>
                <w:szCs w:val="20"/>
              </w:rPr>
            </w:pPr>
            <w:r w:rsidRPr="005A3BDF">
              <w:rPr>
                <w:b/>
                <w:bCs/>
                <w:sz w:val="20"/>
                <w:szCs w:val="20"/>
              </w:rPr>
              <w:t>Community Contribution (€)</w:t>
            </w:r>
          </w:p>
        </w:tc>
        <w:tc>
          <w:tcPr>
            <w:tcW w:w="1710" w:type="dxa"/>
            <w:tcBorders>
              <w:top w:val="double" w:sz="6" w:space="0" w:color="auto"/>
              <w:left w:val="single" w:sz="4" w:space="0" w:color="auto"/>
              <w:bottom w:val="single" w:sz="4" w:space="0" w:color="auto"/>
              <w:right w:val="single" w:sz="4" w:space="0" w:color="auto"/>
            </w:tcBorders>
            <w:shd w:val="clear" w:color="auto" w:fill="C0C0C0"/>
            <w:noWrap/>
            <w:vAlign w:val="center"/>
          </w:tcPr>
          <w:p w:rsidR="00C46D30" w:rsidRPr="005A3BDF" w:rsidRDefault="00C46D30" w:rsidP="00C46D30">
            <w:pPr>
              <w:jc w:val="center"/>
              <w:rPr>
                <w:b/>
                <w:bCs/>
                <w:sz w:val="20"/>
                <w:szCs w:val="20"/>
              </w:rPr>
            </w:pPr>
            <w:r w:rsidRPr="005A3BDF">
              <w:rPr>
                <w:b/>
                <w:bCs/>
                <w:sz w:val="20"/>
                <w:szCs w:val="20"/>
              </w:rPr>
              <w:t>Contributing Operational Programme</w:t>
            </w:r>
          </w:p>
        </w:tc>
        <w:tc>
          <w:tcPr>
            <w:tcW w:w="1530" w:type="dxa"/>
            <w:tcBorders>
              <w:top w:val="double" w:sz="6" w:space="0" w:color="auto"/>
              <w:left w:val="single" w:sz="4" w:space="0" w:color="auto"/>
              <w:bottom w:val="single" w:sz="4" w:space="0" w:color="auto"/>
              <w:right w:val="single" w:sz="4" w:space="0" w:color="auto"/>
            </w:tcBorders>
            <w:shd w:val="clear" w:color="auto" w:fill="C0C0C0"/>
          </w:tcPr>
          <w:p w:rsidR="00C46D30" w:rsidRPr="005A3BDF" w:rsidRDefault="00C46D30" w:rsidP="00C46D30">
            <w:pPr>
              <w:jc w:val="center"/>
              <w:rPr>
                <w:b/>
                <w:sz w:val="20"/>
                <w:szCs w:val="20"/>
              </w:rPr>
            </w:pPr>
            <w:r w:rsidRPr="005A3BDF">
              <w:rPr>
                <w:b/>
                <w:sz w:val="20"/>
                <w:szCs w:val="20"/>
              </w:rPr>
              <w:t>Share of Category to total Community allocation (%)</w:t>
            </w:r>
          </w:p>
        </w:tc>
        <w:tc>
          <w:tcPr>
            <w:tcW w:w="1332" w:type="dxa"/>
            <w:tcBorders>
              <w:top w:val="double" w:sz="6" w:space="0" w:color="auto"/>
              <w:left w:val="single" w:sz="4" w:space="0" w:color="auto"/>
              <w:bottom w:val="single" w:sz="4" w:space="0" w:color="auto"/>
              <w:right w:val="single" w:sz="4" w:space="0" w:color="auto"/>
            </w:tcBorders>
            <w:shd w:val="clear" w:color="auto" w:fill="C0C0C0"/>
          </w:tcPr>
          <w:p w:rsidR="00C46D30" w:rsidRPr="005A3BDF" w:rsidRDefault="00C46D30" w:rsidP="00C46D30">
            <w:pPr>
              <w:jc w:val="center"/>
              <w:rPr>
                <w:b/>
                <w:sz w:val="20"/>
                <w:szCs w:val="20"/>
              </w:rPr>
            </w:pPr>
            <w:r w:rsidRPr="005A3BDF">
              <w:rPr>
                <w:b/>
                <w:sz w:val="20"/>
                <w:szCs w:val="20"/>
              </w:rPr>
              <w:t>Funds already committed</w:t>
            </w:r>
          </w:p>
          <w:p w:rsidR="00C46D30" w:rsidRPr="005A3BDF" w:rsidRDefault="00C46D30" w:rsidP="00C46D30">
            <w:pPr>
              <w:jc w:val="center"/>
              <w:rPr>
                <w:b/>
                <w:sz w:val="20"/>
                <w:szCs w:val="20"/>
              </w:rPr>
            </w:pPr>
            <w:r w:rsidRPr="005A3BDF">
              <w:rPr>
                <w:b/>
                <w:bCs/>
                <w:sz w:val="20"/>
                <w:szCs w:val="20"/>
              </w:rPr>
              <w:t>(€)</w:t>
            </w:r>
            <w:r w:rsidRPr="005A3BDF">
              <w:rPr>
                <w:b/>
                <w:sz w:val="20"/>
                <w:szCs w:val="20"/>
              </w:rPr>
              <w:t xml:space="preserve"> </w:t>
            </w:r>
          </w:p>
        </w:tc>
      </w:tr>
      <w:tr w:rsidR="00C46D30" w:rsidRPr="005A3BDF" w:rsidTr="00C46D30">
        <w:trPr>
          <w:trHeight w:val="510"/>
        </w:trPr>
        <w:tc>
          <w:tcPr>
            <w:tcW w:w="3452" w:type="dxa"/>
            <w:tcBorders>
              <w:top w:val="single" w:sz="4" w:space="0" w:color="auto"/>
              <w:left w:val="double" w:sz="6" w:space="0" w:color="auto"/>
              <w:bottom w:val="single" w:sz="4" w:space="0" w:color="auto"/>
              <w:right w:val="single" w:sz="4" w:space="0" w:color="auto"/>
            </w:tcBorders>
            <w:shd w:val="clear" w:color="auto" w:fill="auto"/>
            <w:noWrap/>
            <w:vAlign w:val="center"/>
          </w:tcPr>
          <w:p w:rsidR="00C46D30" w:rsidRPr="005A3BDF" w:rsidRDefault="00C46D30" w:rsidP="00C46D30">
            <w:pPr>
              <w:rPr>
                <w:bCs/>
                <w:sz w:val="20"/>
                <w:szCs w:val="20"/>
              </w:rPr>
            </w:pPr>
            <w:r w:rsidRPr="005A3BDF">
              <w:rPr>
                <w:bCs/>
                <w:sz w:val="20"/>
                <w:szCs w:val="20"/>
              </w:rPr>
              <w:t>Research and Technological Development, Innovation and Entrepreneurship</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121</w:t>
            </w:r>
            <w:r w:rsidR="00643096">
              <w:rPr>
                <w:bCs/>
                <w:sz w:val="20"/>
                <w:szCs w:val="20"/>
              </w:rPr>
              <w:t>.</w:t>
            </w:r>
            <w:r w:rsidRPr="005A3BDF">
              <w:rPr>
                <w:bCs/>
                <w:sz w:val="20"/>
                <w:szCs w:val="20"/>
              </w:rPr>
              <w:t>800</w:t>
            </w:r>
            <w:r w:rsidR="00643096">
              <w:rPr>
                <w:bCs/>
                <w:sz w:val="20"/>
                <w:szCs w:val="20"/>
              </w:rPr>
              <w:t>.</w:t>
            </w:r>
            <w:r w:rsidRPr="005A3BDF">
              <w:rPr>
                <w:bCs/>
                <w:sz w:val="20"/>
                <w:szCs w:val="20"/>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OP SDC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19,9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right"/>
              <w:rPr>
                <w:bCs/>
                <w:sz w:val="20"/>
                <w:szCs w:val="20"/>
              </w:rPr>
            </w:pPr>
            <w:r w:rsidRPr="005A3BDF">
              <w:rPr>
                <w:bCs/>
                <w:sz w:val="20"/>
                <w:szCs w:val="20"/>
              </w:rPr>
              <w:t xml:space="preserve">62 </w:t>
            </w:r>
            <w:r w:rsidR="00643096">
              <w:rPr>
                <w:bCs/>
                <w:sz w:val="20"/>
                <w:szCs w:val="20"/>
              </w:rPr>
              <w:t>.</w:t>
            </w:r>
            <w:r w:rsidRPr="005A3BDF">
              <w:rPr>
                <w:bCs/>
                <w:sz w:val="20"/>
                <w:szCs w:val="20"/>
              </w:rPr>
              <w:t>996</w:t>
            </w:r>
            <w:r w:rsidR="00643096">
              <w:rPr>
                <w:bCs/>
                <w:sz w:val="20"/>
                <w:szCs w:val="20"/>
              </w:rPr>
              <w:t>.</w:t>
            </w:r>
            <w:r w:rsidRPr="005A3BDF">
              <w:rPr>
                <w:bCs/>
                <w:sz w:val="20"/>
                <w:szCs w:val="20"/>
              </w:rPr>
              <w:t xml:space="preserve"> 629</w:t>
            </w:r>
          </w:p>
        </w:tc>
      </w:tr>
      <w:tr w:rsidR="00C46D30" w:rsidRPr="005A3BDF" w:rsidTr="00C46D30">
        <w:trPr>
          <w:trHeight w:val="255"/>
        </w:trPr>
        <w:tc>
          <w:tcPr>
            <w:tcW w:w="3452" w:type="dxa"/>
            <w:tcBorders>
              <w:top w:val="single" w:sz="4" w:space="0" w:color="auto"/>
              <w:left w:val="double" w:sz="6" w:space="0" w:color="auto"/>
              <w:bottom w:val="single" w:sz="4" w:space="0" w:color="auto"/>
              <w:right w:val="single" w:sz="4" w:space="0" w:color="auto"/>
            </w:tcBorders>
            <w:shd w:val="clear" w:color="auto" w:fill="auto"/>
            <w:noWrap/>
            <w:vAlign w:val="center"/>
          </w:tcPr>
          <w:p w:rsidR="00C46D30" w:rsidRPr="005A3BDF" w:rsidRDefault="00C46D30" w:rsidP="00C46D30">
            <w:pPr>
              <w:rPr>
                <w:bCs/>
                <w:sz w:val="20"/>
                <w:szCs w:val="20"/>
              </w:rPr>
            </w:pPr>
            <w:r w:rsidRPr="005A3BDF">
              <w:rPr>
                <w:bCs/>
                <w:sz w:val="20"/>
                <w:szCs w:val="20"/>
              </w:rPr>
              <w:t>Information Society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15</w:t>
            </w:r>
            <w:r w:rsidR="00643096">
              <w:rPr>
                <w:bCs/>
                <w:sz w:val="20"/>
                <w:szCs w:val="20"/>
              </w:rPr>
              <w:t>.</w:t>
            </w:r>
            <w:r w:rsidRPr="005A3BDF">
              <w:rPr>
                <w:bCs/>
                <w:sz w:val="20"/>
                <w:szCs w:val="20"/>
              </w:rPr>
              <w:t>300</w:t>
            </w:r>
            <w:r w:rsidR="00643096">
              <w:rPr>
                <w:bCs/>
                <w:sz w:val="20"/>
                <w:szCs w:val="20"/>
              </w:rPr>
              <w:t>.</w:t>
            </w:r>
            <w:r w:rsidRPr="005A3BDF">
              <w:rPr>
                <w:bCs/>
                <w:sz w:val="20"/>
                <w:szCs w:val="20"/>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OP SDC</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46D30" w:rsidRPr="005A3BDF" w:rsidRDefault="00C46D30" w:rsidP="00C46D30">
            <w:pPr>
              <w:jc w:val="center"/>
              <w:rPr>
                <w:bCs/>
                <w:sz w:val="20"/>
                <w:szCs w:val="20"/>
              </w:rPr>
            </w:pPr>
            <w:r w:rsidRPr="005A3BDF">
              <w:rPr>
                <w:bCs/>
                <w:sz w:val="20"/>
                <w:szCs w:val="20"/>
              </w:rPr>
              <w:t>2,5</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643096" w:rsidRDefault="00602DA7" w:rsidP="00C46D30">
            <w:pPr>
              <w:jc w:val="right"/>
              <w:rPr>
                <w:bCs/>
                <w:sz w:val="20"/>
                <w:szCs w:val="20"/>
              </w:rPr>
            </w:pPr>
            <w:r w:rsidRPr="00602DA7">
              <w:rPr>
                <w:bCs/>
                <w:sz w:val="20"/>
                <w:szCs w:val="20"/>
              </w:rPr>
              <w:t>16</w:t>
            </w:r>
            <w:r w:rsidR="00C46D30" w:rsidRPr="005A3BDF">
              <w:rPr>
                <w:bCs/>
                <w:sz w:val="20"/>
                <w:szCs w:val="20"/>
                <w:lang w:val="en-GB"/>
              </w:rPr>
              <w:t xml:space="preserve"> </w:t>
            </w:r>
            <w:r w:rsidR="00643096">
              <w:rPr>
                <w:bCs/>
                <w:sz w:val="20"/>
                <w:szCs w:val="20"/>
                <w:lang w:val="en-GB"/>
              </w:rPr>
              <w:t>.</w:t>
            </w:r>
            <w:r w:rsidRPr="00602DA7">
              <w:rPr>
                <w:bCs/>
                <w:sz w:val="20"/>
                <w:szCs w:val="20"/>
              </w:rPr>
              <w:t>469</w:t>
            </w:r>
            <w:r w:rsidR="00643096">
              <w:rPr>
                <w:bCs/>
                <w:sz w:val="20"/>
                <w:szCs w:val="20"/>
              </w:rPr>
              <w:t>.</w:t>
            </w:r>
            <w:r w:rsidR="00C46D30" w:rsidRPr="005A3BDF">
              <w:rPr>
                <w:bCs/>
                <w:sz w:val="20"/>
                <w:szCs w:val="20"/>
                <w:lang w:val="en-GB"/>
              </w:rPr>
              <w:t xml:space="preserve"> </w:t>
            </w:r>
            <w:r w:rsidRPr="00602DA7">
              <w:rPr>
                <w:bCs/>
                <w:sz w:val="20"/>
                <w:szCs w:val="20"/>
              </w:rPr>
              <w:t>460</w:t>
            </w:r>
          </w:p>
        </w:tc>
      </w:tr>
      <w:tr w:rsidR="00C46D30" w:rsidRPr="005A3BDF" w:rsidTr="00C46D30">
        <w:trPr>
          <w:trHeight w:val="315"/>
        </w:trPr>
        <w:tc>
          <w:tcPr>
            <w:tcW w:w="3452" w:type="dxa"/>
            <w:tcBorders>
              <w:top w:val="single" w:sz="4" w:space="0" w:color="auto"/>
              <w:left w:val="double" w:sz="6" w:space="0" w:color="auto"/>
              <w:bottom w:val="single" w:sz="4" w:space="0" w:color="auto"/>
              <w:right w:val="single" w:sz="4" w:space="0" w:color="auto"/>
            </w:tcBorders>
            <w:shd w:val="clear" w:color="auto" w:fill="auto"/>
            <w:noWrap/>
            <w:vAlign w:val="center"/>
          </w:tcPr>
          <w:p w:rsidR="00C46D30" w:rsidRPr="005A3BDF" w:rsidRDefault="00C46D30" w:rsidP="00C46D30">
            <w:pPr>
              <w:rPr>
                <w:bCs/>
                <w:sz w:val="20"/>
                <w:szCs w:val="20"/>
              </w:rPr>
            </w:pPr>
            <w:r w:rsidRPr="005A3BDF">
              <w:rPr>
                <w:bCs/>
                <w:sz w:val="20"/>
                <w:szCs w:val="20"/>
              </w:rPr>
              <w:t>Transport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46D30" w:rsidRPr="005A3BDF" w:rsidRDefault="00C46D30" w:rsidP="00C46D30">
            <w:pPr>
              <w:jc w:val="center"/>
              <w:rPr>
                <w:sz w:val="20"/>
                <w:szCs w:val="20"/>
              </w:rPr>
            </w:pPr>
            <w:r w:rsidRPr="005A3BDF">
              <w:rPr>
                <w:sz w:val="20"/>
                <w:szCs w:val="20"/>
              </w:rPr>
              <w:t>51</w:t>
            </w:r>
            <w:r w:rsidR="00643096">
              <w:rPr>
                <w:sz w:val="20"/>
                <w:szCs w:val="20"/>
              </w:rPr>
              <w:t>.</w:t>
            </w:r>
            <w:r w:rsidRPr="005A3BDF">
              <w:rPr>
                <w:sz w:val="20"/>
                <w:szCs w:val="20"/>
              </w:rPr>
              <w:t>109</w:t>
            </w:r>
            <w:r w:rsidR="00643096">
              <w:rPr>
                <w:sz w:val="20"/>
                <w:szCs w:val="20"/>
              </w:rPr>
              <w:t>.</w:t>
            </w:r>
            <w:r w:rsidRPr="005A3BDF">
              <w:rPr>
                <w:sz w:val="20"/>
                <w:szCs w:val="20"/>
              </w:rPr>
              <w:t>484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rsidR="00C46D30" w:rsidRPr="005A3BDF" w:rsidRDefault="00C46D30" w:rsidP="00C46D30">
            <w:pPr>
              <w:jc w:val="center"/>
              <w:rPr>
                <w:sz w:val="20"/>
                <w:szCs w:val="20"/>
              </w:rPr>
            </w:pPr>
            <w:r w:rsidRPr="005A3BDF">
              <w:rPr>
                <w:bCs/>
                <w:sz w:val="20"/>
                <w:szCs w:val="20"/>
              </w:rPr>
              <w:t>OP SDC</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46D30" w:rsidRPr="005A3BDF" w:rsidRDefault="00C46D30" w:rsidP="00C46D30">
            <w:pPr>
              <w:jc w:val="center"/>
              <w:rPr>
                <w:sz w:val="20"/>
                <w:szCs w:val="20"/>
              </w:rPr>
            </w:pPr>
            <w:r w:rsidRPr="005A3BDF">
              <w:rPr>
                <w:sz w:val="20"/>
                <w:szCs w:val="20"/>
              </w:rPr>
              <w:t>8,3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right"/>
              <w:rPr>
                <w:sz w:val="20"/>
                <w:szCs w:val="20"/>
                <w:lang w:val="en-GB"/>
              </w:rPr>
            </w:pPr>
            <w:r w:rsidRPr="005A3BDF">
              <w:rPr>
                <w:sz w:val="20"/>
                <w:szCs w:val="20"/>
                <w:lang w:val="en-GB"/>
              </w:rPr>
              <w:t>137</w:t>
            </w:r>
            <w:r w:rsidR="00643096">
              <w:rPr>
                <w:sz w:val="20"/>
                <w:szCs w:val="20"/>
                <w:lang w:val="en-GB"/>
              </w:rPr>
              <w:t>.</w:t>
            </w:r>
            <w:r w:rsidRPr="005A3BDF">
              <w:rPr>
                <w:sz w:val="20"/>
                <w:szCs w:val="20"/>
                <w:lang w:val="en-GB"/>
              </w:rPr>
              <w:t xml:space="preserve"> 039</w:t>
            </w:r>
            <w:r w:rsidR="00643096">
              <w:rPr>
                <w:sz w:val="20"/>
                <w:szCs w:val="20"/>
                <w:lang w:val="en-GB"/>
              </w:rPr>
              <w:t>.</w:t>
            </w:r>
            <w:r w:rsidRPr="005A3BDF">
              <w:rPr>
                <w:sz w:val="20"/>
                <w:szCs w:val="20"/>
                <w:lang w:val="en-GB"/>
              </w:rPr>
              <w:t xml:space="preserve"> 144</w:t>
            </w:r>
          </w:p>
        </w:tc>
      </w:tr>
      <w:tr w:rsidR="00C46D30" w:rsidRPr="005A3BDF" w:rsidTr="00C46D30">
        <w:trPr>
          <w:trHeight w:val="360"/>
        </w:trPr>
        <w:tc>
          <w:tcPr>
            <w:tcW w:w="3452" w:type="dxa"/>
            <w:tcBorders>
              <w:top w:val="single" w:sz="4" w:space="0" w:color="auto"/>
              <w:left w:val="double" w:sz="6" w:space="0" w:color="auto"/>
              <w:bottom w:val="single" w:sz="4" w:space="0" w:color="auto"/>
              <w:right w:val="single" w:sz="4" w:space="0" w:color="auto"/>
            </w:tcBorders>
            <w:shd w:val="clear" w:color="auto" w:fill="auto"/>
            <w:noWrap/>
            <w:vAlign w:val="center"/>
          </w:tcPr>
          <w:p w:rsidR="00C46D30" w:rsidRPr="005A3BDF" w:rsidRDefault="00C46D30" w:rsidP="00C46D30">
            <w:pPr>
              <w:rPr>
                <w:bCs/>
                <w:sz w:val="20"/>
                <w:szCs w:val="20"/>
              </w:rPr>
            </w:pPr>
            <w:r w:rsidRPr="005A3BDF">
              <w:rPr>
                <w:bCs/>
                <w:sz w:val="20"/>
                <w:szCs w:val="20"/>
              </w:rPr>
              <w:t>Energy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5.950.000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OP SDC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1,0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right"/>
              <w:rPr>
                <w:bCs/>
                <w:sz w:val="20"/>
                <w:szCs w:val="20"/>
                <w:lang w:val="en-GB"/>
              </w:rPr>
            </w:pPr>
            <w:r w:rsidRPr="005A3BDF">
              <w:rPr>
                <w:bCs/>
                <w:sz w:val="20"/>
                <w:szCs w:val="20"/>
                <w:lang w:val="en-GB"/>
              </w:rPr>
              <w:t>5</w:t>
            </w:r>
            <w:r w:rsidR="00643096">
              <w:rPr>
                <w:bCs/>
                <w:sz w:val="20"/>
                <w:szCs w:val="20"/>
                <w:lang w:val="en-GB"/>
              </w:rPr>
              <w:t>.</w:t>
            </w:r>
            <w:r w:rsidRPr="005A3BDF">
              <w:rPr>
                <w:bCs/>
                <w:sz w:val="20"/>
                <w:szCs w:val="20"/>
                <w:lang w:val="en-GB"/>
              </w:rPr>
              <w:t xml:space="preserve"> 222</w:t>
            </w:r>
            <w:r w:rsidR="00643096">
              <w:rPr>
                <w:bCs/>
                <w:sz w:val="20"/>
                <w:szCs w:val="20"/>
                <w:lang w:val="en-GB"/>
              </w:rPr>
              <w:t>.</w:t>
            </w:r>
            <w:r w:rsidRPr="005A3BDF">
              <w:rPr>
                <w:bCs/>
                <w:sz w:val="20"/>
                <w:szCs w:val="20"/>
                <w:lang w:val="en-GB"/>
              </w:rPr>
              <w:t xml:space="preserve"> 561</w:t>
            </w:r>
          </w:p>
        </w:tc>
      </w:tr>
      <w:tr w:rsidR="00C46D30" w:rsidRPr="005A3BDF" w:rsidTr="00C46D30">
        <w:trPr>
          <w:trHeight w:val="510"/>
        </w:trPr>
        <w:tc>
          <w:tcPr>
            <w:tcW w:w="3452" w:type="dxa"/>
            <w:tcBorders>
              <w:top w:val="single" w:sz="4" w:space="0" w:color="auto"/>
              <w:left w:val="double" w:sz="6" w:space="0" w:color="auto"/>
              <w:bottom w:val="single" w:sz="4" w:space="0" w:color="auto"/>
              <w:right w:val="single" w:sz="4" w:space="0" w:color="auto"/>
            </w:tcBorders>
            <w:shd w:val="clear" w:color="auto" w:fill="auto"/>
            <w:noWrap/>
            <w:vAlign w:val="center"/>
          </w:tcPr>
          <w:p w:rsidR="00C46D30" w:rsidRPr="005A3BDF" w:rsidRDefault="00C46D30" w:rsidP="00C46D30">
            <w:pPr>
              <w:rPr>
                <w:bCs/>
                <w:sz w:val="20"/>
                <w:szCs w:val="20"/>
              </w:rPr>
            </w:pPr>
            <w:r w:rsidRPr="005A3BDF">
              <w:rPr>
                <w:bCs/>
                <w:sz w:val="20"/>
                <w:szCs w:val="20"/>
              </w:rPr>
              <w:t>Environmental Protection and Risk Prevention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643096">
            <w:pPr>
              <w:jc w:val="center"/>
              <w:rPr>
                <w:sz w:val="20"/>
                <w:szCs w:val="20"/>
              </w:rPr>
            </w:pPr>
            <w:r w:rsidRPr="005A3BDF">
              <w:rPr>
                <w:sz w:val="20"/>
                <w:szCs w:val="20"/>
              </w:rPr>
              <w:t>45</w:t>
            </w:r>
            <w:r w:rsidR="00643096">
              <w:rPr>
                <w:sz w:val="20"/>
                <w:szCs w:val="20"/>
              </w:rPr>
              <w:t>.</w:t>
            </w:r>
            <w:r w:rsidRPr="005A3BDF">
              <w:rPr>
                <w:sz w:val="20"/>
                <w:szCs w:val="20"/>
              </w:rPr>
              <w:t>870</w:t>
            </w:r>
            <w:r w:rsidR="00643096">
              <w:rPr>
                <w:sz w:val="20"/>
                <w:szCs w:val="20"/>
              </w:rPr>
              <w:t>.</w:t>
            </w:r>
            <w:r w:rsidRPr="005A3BDF">
              <w:rPr>
                <w:sz w:val="20"/>
                <w:szCs w:val="20"/>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sz w:val="20"/>
                <w:szCs w:val="20"/>
              </w:rPr>
            </w:pPr>
            <w:r w:rsidRPr="005A3BDF">
              <w:rPr>
                <w:bCs/>
                <w:sz w:val="20"/>
                <w:szCs w:val="20"/>
              </w:rPr>
              <w:t>OP SDC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sz w:val="20"/>
                <w:szCs w:val="20"/>
              </w:rPr>
            </w:pPr>
            <w:r w:rsidRPr="005A3BDF">
              <w:rPr>
                <w:sz w:val="20"/>
                <w:szCs w:val="20"/>
              </w:rPr>
              <w:t>7,5</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right"/>
              <w:rPr>
                <w:sz w:val="20"/>
                <w:szCs w:val="20"/>
                <w:lang w:val="en-GB"/>
              </w:rPr>
            </w:pPr>
            <w:r w:rsidRPr="005A3BDF">
              <w:rPr>
                <w:sz w:val="20"/>
                <w:szCs w:val="20"/>
              </w:rPr>
              <w:t>34</w:t>
            </w:r>
            <w:r w:rsidR="00643096">
              <w:rPr>
                <w:sz w:val="20"/>
                <w:szCs w:val="20"/>
              </w:rPr>
              <w:t>.</w:t>
            </w:r>
            <w:r w:rsidRPr="005A3BDF">
              <w:rPr>
                <w:sz w:val="20"/>
                <w:szCs w:val="20"/>
              </w:rPr>
              <w:t xml:space="preserve"> 007</w:t>
            </w:r>
            <w:r w:rsidR="00643096">
              <w:rPr>
                <w:sz w:val="20"/>
                <w:szCs w:val="20"/>
              </w:rPr>
              <w:t>.</w:t>
            </w:r>
            <w:r w:rsidRPr="005A3BDF">
              <w:rPr>
                <w:sz w:val="20"/>
                <w:szCs w:val="20"/>
              </w:rPr>
              <w:t xml:space="preserve"> 389</w:t>
            </w:r>
          </w:p>
        </w:tc>
      </w:tr>
      <w:tr w:rsidR="00C46D30" w:rsidRPr="005A3BDF" w:rsidTr="00C46D30">
        <w:trPr>
          <w:trHeight w:val="270"/>
        </w:trPr>
        <w:tc>
          <w:tcPr>
            <w:tcW w:w="3452" w:type="dxa"/>
            <w:tcBorders>
              <w:top w:val="single" w:sz="4" w:space="0" w:color="auto"/>
              <w:left w:val="double" w:sz="6" w:space="0" w:color="auto"/>
              <w:bottom w:val="single" w:sz="4" w:space="0" w:color="auto"/>
              <w:right w:val="single" w:sz="4" w:space="0" w:color="auto"/>
            </w:tcBorders>
            <w:shd w:val="clear" w:color="auto" w:fill="auto"/>
            <w:noWrap/>
            <w:vAlign w:val="center"/>
          </w:tcPr>
          <w:p w:rsidR="00C46D30" w:rsidRPr="005A3BDF" w:rsidRDefault="00C46D30" w:rsidP="00C46D30">
            <w:pPr>
              <w:rPr>
                <w:bCs/>
                <w:sz w:val="20"/>
                <w:szCs w:val="20"/>
              </w:rPr>
            </w:pPr>
            <w:r w:rsidRPr="005A3BDF">
              <w:rPr>
                <w:bCs/>
                <w:sz w:val="20"/>
                <w:szCs w:val="20"/>
              </w:rPr>
              <w:t xml:space="preserve">Increasing the  adaptability of workers and firms, enterprises and entrepreneurs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11</w:t>
            </w:r>
            <w:r w:rsidR="00643096">
              <w:rPr>
                <w:bCs/>
                <w:sz w:val="20"/>
                <w:szCs w:val="20"/>
              </w:rPr>
              <w:t>.</w:t>
            </w:r>
            <w:r w:rsidRPr="005A3BDF">
              <w:rPr>
                <w:bCs/>
                <w:sz w:val="20"/>
                <w:szCs w:val="20"/>
              </w:rPr>
              <w:t>050</w:t>
            </w:r>
            <w:r w:rsidR="00643096">
              <w:rPr>
                <w:bCs/>
                <w:sz w:val="20"/>
                <w:szCs w:val="20"/>
              </w:rPr>
              <w:t>.</w:t>
            </w:r>
            <w:r w:rsidRPr="005A3BDF">
              <w:rPr>
                <w:bCs/>
                <w:sz w:val="20"/>
                <w:szCs w:val="20"/>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D30" w:rsidRPr="005A3BDF" w:rsidRDefault="00C46D30" w:rsidP="00C46D30">
            <w:pPr>
              <w:jc w:val="center"/>
              <w:rPr>
                <w:sz w:val="20"/>
                <w:szCs w:val="20"/>
              </w:rPr>
            </w:pPr>
            <w:r w:rsidRPr="005A3BDF">
              <w:rPr>
                <w:sz w:val="20"/>
                <w:szCs w:val="20"/>
              </w:rPr>
              <w:t>OP EHCSC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sz w:val="20"/>
                <w:szCs w:val="20"/>
              </w:rPr>
            </w:pPr>
            <w:r w:rsidRPr="005A3BDF">
              <w:rPr>
                <w:sz w:val="20"/>
                <w:szCs w:val="20"/>
              </w:rPr>
              <w:t>1,8</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right"/>
              <w:rPr>
                <w:sz w:val="20"/>
                <w:szCs w:val="20"/>
              </w:rPr>
            </w:pPr>
            <w:r w:rsidRPr="005A3BDF">
              <w:rPr>
                <w:sz w:val="20"/>
                <w:szCs w:val="20"/>
              </w:rPr>
              <w:t>13</w:t>
            </w:r>
            <w:r w:rsidR="00643096">
              <w:rPr>
                <w:sz w:val="20"/>
                <w:szCs w:val="20"/>
              </w:rPr>
              <w:t>.</w:t>
            </w:r>
            <w:r w:rsidRPr="005A3BDF">
              <w:rPr>
                <w:sz w:val="20"/>
                <w:szCs w:val="20"/>
              </w:rPr>
              <w:t xml:space="preserve"> 391</w:t>
            </w:r>
            <w:r w:rsidR="00643096">
              <w:rPr>
                <w:sz w:val="20"/>
                <w:szCs w:val="20"/>
              </w:rPr>
              <w:t>.</w:t>
            </w:r>
            <w:r w:rsidRPr="005A3BDF">
              <w:rPr>
                <w:sz w:val="20"/>
                <w:szCs w:val="20"/>
              </w:rPr>
              <w:t xml:space="preserve"> 773</w:t>
            </w:r>
          </w:p>
        </w:tc>
      </w:tr>
      <w:tr w:rsidR="00C46D30" w:rsidRPr="005A3BDF" w:rsidTr="00C46D30">
        <w:trPr>
          <w:trHeight w:val="285"/>
        </w:trPr>
        <w:tc>
          <w:tcPr>
            <w:tcW w:w="3452" w:type="dxa"/>
            <w:tcBorders>
              <w:top w:val="single" w:sz="4" w:space="0" w:color="auto"/>
              <w:left w:val="double" w:sz="6" w:space="0" w:color="auto"/>
              <w:bottom w:val="single" w:sz="4" w:space="0" w:color="auto"/>
              <w:right w:val="single" w:sz="4" w:space="0" w:color="auto"/>
            </w:tcBorders>
            <w:shd w:val="clear" w:color="auto" w:fill="auto"/>
            <w:noWrap/>
            <w:vAlign w:val="center"/>
          </w:tcPr>
          <w:p w:rsidR="00C46D30" w:rsidRPr="005A3BDF" w:rsidRDefault="00C46D30" w:rsidP="00C46D30">
            <w:pPr>
              <w:rPr>
                <w:bCs/>
                <w:sz w:val="20"/>
                <w:szCs w:val="20"/>
              </w:rPr>
            </w:pPr>
            <w:r w:rsidRPr="005A3BDF">
              <w:rPr>
                <w:bCs/>
                <w:sz w:val="20"/>
                <w:szCs w:val="20"/>
              </w:rPr>
              <w:t xml:space="preserve">Improving  access to employment and sustainability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21</w:t>
            </w:r>
            <w:r w:rsidR="00643096">
              <w:rPr>
                <w:bCs/>
                <w:sz w:val="20"/>
                <w:szCs w:val="20"/>
              </w:rPr>
              <w:t>.</w:t>
            </w:r>
            <w:r w:rsidRPr="005A3BDF">
              <w:rPr>
                <w:bCs/>
                <w:sz w:val="20"/>
                <w:szCs w:val="20"/>
              </w:rPr>
              <w:t>258</w:t>
            </w:r>
            <w:r w:rsidR="00643096">
              <w:rPr>
                <w:bCs/>
                <w:sz w:val="20"/>
                <w:szCs w:val="20"/>
              </w:rPr>
              <w:t>.</w:t>
            </w:r>
            <w:r w:rsidRPr="005A3BDF">
              <w:rPr>
                <w:bCs/>
                <w:sz w:val="20"/>
                <w:szCs w:val="20"/>
              </w:rPr>
              <w:t>419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D30" w:rsidRPr="005A3BDF" w:rsidRDefault="00C46D30" w:rsidP="00C46D30">
            <w:pPr>
              <w:jc w:val="center"/>
              <w:rPr>
                <w:bCs/>
                <w:sz w:val="20"/>
                <w:szCs w:val="20"/>
              </w:rPr>
            </w:pPr>
            <w:r w:rsidRPr="005A3BDF">
              <w:rPr>
                <w:sz w:val="20"/>
                <w:szCs w:val="20"/>
              </w:rPr>
              <w:t>OP EHCSC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3,4</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right"/>
              <w:rPr>
                <w:bCs/>
                <w:sz w:val="20"/>
                <w:szCs w:val="20"/>
                <w:lang w:val="en-GB"/>
              </w:rPr>
            </w:pPr>
            <w:r w:rsidRPr="005A3BDF">
              <w:rPr>
                <w:bCs/>
                <w:sz w:val="20"/>
                <w:szCs w:val="20"/>
                <w:lang w:val="en-GB"/>
              </w:rPr>
              <w:t>18</w:t>
            </w:r>
            <w:r w:rsidR="00643096">
              <w:rPr>
                <w:bCs/>
                <w:sz w:val="20"/>
                <w:szCs w:val="20"/>
                <w:lang w:val="en-GB"/>
              </w:rPr>
              <w:t>.</w:t>
            </w:r>
            <w:r w:rsidRPr="005A3BDF">
              <w:rPr>
                <w:bCs/>
                <w:sz w:val="20"/>
                <w:szCs w:val="20"/>
                <w:lang w:val="en-GB"/>
              </w:rPr>
              <w:t xml:space="preserve"> 377</w:t>
            </w:r>
            <w:r w:rsidR="00643096">
              <w:rPr>
                <w:bCs/>
                <w:sz w:val="20"/>
                <w:szCs w:val="20"/>
                <w:lang w:val="en-GB"/>
              </w:rPr>
              <w:t>.</w:t>
            </w:r>
            <w:r w:rsidRPr="005A3BDF">
              <w:rPr>
                <w:bCs/>
                <w:sz w:val="20"/>
                <w:szCs w:val="20"/>
                <w:lang w:val="en-GB"/>
              </w:rPr>
              <w:t xml:space="preserve"> 952</w:t>
            </w:r>
          </w:p>
        </w:tc>
      </w:tr>
      <w:tr w:rsidR="00C46D30" w:rsidRPr="005A3BDF" w:rsidTr="00C46D30">
        <w:trPr>
          <w:trHeight w:val="360"/>
        </w:trPr>
        <w:tc>
          <w:tcPr>
            <w:tcW w:w="3452" w:type="dxa"/>
            <w:tcBorders>
              <w:top w:val="single" w:sz="4" w:space="0" w:color="auto"/>
              <w:left w:val="double" w:sz="6" w:space="0" w:color="auto"/>
              <w:bottom w:val="single" w:sz="4" w:space="0" w:color="auto"/>
              <w:right w:val="single" w:sz="4" w:space="0" w:color="auto"/>
            </w:tcBorders>
            <w:shd w:val="clear" w:color="auto" w:fill="auto"/>
            <w:noWrap/>
            <w:vAlign w:val="center"/>
          </w:tcPr>
          <w:p w:rsidR="00C46D30" w:rsidRPr="005A3BDF" w:rsidRDefault="00C46D30" w:rsidP="00C46D30">
            <w:pPr>
              <w:rPr>
                <w:bCs/>
                <w:sz w:val="20"/>
                <w:szCs w:val="20"/>
              </w:rPr>
            </w:pPr>
            <w:r w:rsidRPr="005A3BDF">
              <w:rPr>
                <w:bCs/>
                <w:sz w:val="20"/>
                <w:szCs w:val="20"/>
              </w:rPr>
              <w:t>Improving the social inclusion of less-favoured persons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643096">
            <w:pPr>
              <w:jc w:val="center"/>
              <w:rPr>
                <w:bCs/>
                <w:sz w:val="20"/>
                <w:szCs w:val="20"/>
              </w:rPr>
            </w:pPr>
            <w:r w:rsidRPr="005A3BDF">
              <w:rPr>
                <w:bCs/>
                <w:sz w:val="20"/>
                <w:szCs w:val="20"/>
              </w:rPr>
              <w:t>13</w:t>
            </w:r>
            <w:r w:rsidR="00643096">
              <w:rPr>
                <w:bCs/>
                <w:sz w:val="20"/>
                <w:szCs w:val="20"/>
              </w:rPr>
              <w:t>.</w:t>
            </w:r>
            <w:r w:rsidRPr="005A3BDF">
              <w:rPr>
                <w:bCs/>
                <w:sz w:val="20"/>
                <w:szCs w:val="20"/>
              </w:rPr>
              <w:t>670</w:t>
            </w:r>
            <w:r w:rsidR="00643096">
              <w:rPr>
                <w:bCs/>
                <w:sz w:val="20"/>
                <w:szCs w:val="20"/>
              </w:rPr>
              <w:t>.</w:t>
            </w:r>
            <w:r w:rsidRPr="005A3BDF">
              <w:rPr>
                <w:bCs/>
                <w:sz w:val="20"/>
                <w:szCs w:val="20"/>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D30" w:rsidRPr="005A3BDF" w:rsidRDefault="00C46D30" w:rsidP="00C46D30">
            <w:pPr>
              <w:jc w:val="center"/>
              <w:rPr>
                <w:bCs/>
                <w:sz w:val="20"/>
                <w:szCs w:val="20"/>
              </w:rPr>
            </w:pPr>
            <w:r w:rsidRPr="005A3BDF">
              <w:rPr>
                <w:sz w:val="20"/>
                <w:szCs w:val="20"/>
              </w:rPr>
              <w:t>OP EHCSC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2,2</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right"/>
              <w:rPr>
                <w:bCs/>
                <w:sz w:val="20"/>
                <w:szCs w:val="20"/>
                <w:lang w:val="en-GB"/>
              </w:rPr>
            </w:pPr>
            <w:r w:rsidRPr="005A3BDF">
              <w:rPr>
                <w:bCs/>
                <w:sz w:val="20"/>
                <w:szCs w:val="20"/>
                <w:lang w:val="en-GB"/>
              </w:rPr>
              <w:t xml:space="preserve">9 </w:t>
            </w:r>
            <w:r w:rsidR="00643096">
              <w:rPr>
                <w:bCs/>
                <w:sz w:val="20"/>
                <w:szCs w:val="20"/>
                <w:lang w:val="en-GB"/>
              </w:rPr>
              <w:t>.</w:t>
            </w:r>
            <w:r w:rsidRPr="005A3BDF">
              <w:rPr>
                <w:bCs/>
                <w:sz w:val="20"/>
                <w:szCs w:val="20"/>
                <w:lang w:val="en-GB"/>
              </w:rPr>
              <w:t>044</w:t>
            </w:r>
            <w:r w:rsidR="00643096">
              <w:rPr>
                <w:bCs/>
                <w:sz w:val="20"/>
                <w:szCs w:val="20"/>
                <w:lang w:val="en-GB"/>
              </w:rPr>
              <w:t>.</w:t>
            </w:r>
            <w:r w:rsidRPr="005A3BDF">
              <w:rPr>
                <w:bCs/>
                <w:sz w:val="20"/>
                <w:szCs w:val="20"/>
                <w:lang w:val="en-GB"/>
              </w:rPr>
              <w:t xml:space="preserve"> 643</w:t>
            </w:r>
          </w:p>
        </w:tc>
      </w:tr>
      <w:tr w:rsidR="00C46D30" w:rsidRPr="005A3BDF" w:rsidTr="00C46D30">
        <w:trPr>
          <w:trHeight w:val="357"/>
        </w:trPr>
        <w:tc>
          <w:tcPr>
            <w:tcW w:w="3452" w:type="dxa"/>
            <w:tcBorders>
              <w:top w:val="single" w:sz="4" w:space="0" w:color="auto"/>
              <w:left w:val="double" w:sz="6" w:space="0" w:color="auto"/>
              <w:bottom w:val="single" w:sz="4" w:space="0" w:color="auto"/>
              <w:right w:val="single" w:sz="4" w:space="0" w:color="auto"/>
            </w:tcBorders>
            <w:shd w:val="clear" w:color="auto" w:fill="auto"/>
            <w:noWrap/>
            <w:vAlign w:val="center"/>
          </w:tcPr>
          <w:p w:rsidR="00C46D30" w:rsidRPr="005A3BDF" w:rsidRDefault="00C46D30" w:rsidP="00C46D30">
            <w:pPr>
              <w:rPr>
                <w:bCs/>
                <w:sz w:val="20"/>
                <w:szCs w:val="20"/>
              </w:rPr>
            </w:pPr>
            <w:r w:rsidRPr="005A3BDF">
              <w:rPr>
                <w:bCs/>
                <w:sz w:val="20"/>
                <w:szCs w:val="20"/>
              </w:rPr>
              <w:t xml:space="preserve">Improving Human Capital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643096">
            <w:pPr>
              <w:jc w:val="center"/>
              <w:rPr>
                <w:bCs/>
                <w:sz w:val="20"/>
                <w:szCs w:val="20"/>
              </w:rPr>
            </w:pPr>
            <w:r w:rsidRPr="005A3BDF">
              <w:rPr>
                <w:bCs/>
                <w:sz w:val="20"/>
                <w:szCs w:val="20"/>
              </w:rPr>
              <w:t>69</w:t>
            </w:r>
            <w:r w:rsidR="00643096">
              <w:rPr>
                <w:bCs/>
                <w:sz w:val="20"/>
                <w:szCs w:val="20"/>
              </w:rPr>
              <w:t>.</w:t>
            </w:r>
            <w:r w:rsidRPr="005A3BDF">
              <w:rPr>
                <w:bCs/>
                <w:sz w:val="20"/>
                <w:szCs w:val="20"/>
              </w:rPr>
              <w:t>943</w:t>
            </w:r>
            <w:r w:rsidR="00643096">
              <w:rPr>
                <w:bCs/>
                <w:sz w:val="20"/>
                <w:szCs w:val="20"/>
              </w:rPr>
              <w:t>.</w:t>
            </w:r>
            <w:r w:rsidRPr="005A3BDF">
              <w:rPr>
                <w:bCs/>
                <w:sz w:val="20"/>
                <w:szCs w:val="20"/>
              </w:rPr>
              <w:t>025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sz w:val="20"/>
                <w:szCs w:val="20"/>
              </w:rPr>
              <w:t xml:space="preserve">OP EHCSC / </w:t>
            </w:r>
            <w:r w:rsidRPr="005A3BDF">
              <w:rPr>
                <w:bCs/>
                <w:sz w:val="20"/>
                <w:szCs w:val="20"/>
              </w:rPr>
              <w:t>OP SDC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11,4</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right"/>
              <w:rPr>
                <w:bCs/>
                <w:sz w:val="20"/>
                <w:szCs w:val="20"/>
                <w:lang w:val="en-GB"/>
              </w:rPr>
            </w:pPr>
            <w:r w:rsidRPr="005A3BDF">
              <w:rPr>
                <w:bCs/>
                <w:sz w:val="20"/>
                <w:szCs w:val="20"/>
                <w:lang w:val="en-GB"/>
              </w:rPr>
              <w:t>43</w:t>
            </w:r>
            <w:r w:rsidR="00643096">
              <w:rPr>
                <w:bCs/>
                <w:sz w:val="20"/>
                <w:szCs w:val="20"/>
                <w:lang w:val="en-GB"/>
              </w:rPr>
              <w:t>.</w:t>
            </w:r>
            <w:r w:rsidRPr="005A3BDF">
              <w:rPr>
                <w:bCs/>
                <w:sz w:val="20"/>
                <w:szCs w:val="20"/>
                <w:lang w:val="en-GB"/>
              </w:rPr>
              <w:t xml:space="preserve"> 659</w:t>
            </w:r>
            <w:r w:rsidR="00643096">
              <w:rPr>
                <w:bCs/>
                <w:sz w:val="20"/>
                <w:szCs w:val="20"/>
                <w:lang w:val="en-GB"/>
              </w:rPr>
              <w:t>.</w:t>
            </w:r>
            <w:r w:rsidRPr="005A3BDF">
              <w:rPr>
                <w:bCs/>
                <w:sz w:val="20"/>
                <w:szCs w:val="20"/>
                <w:lang w:val="en-GB"/>
              </w:rPr>
              <w:t xml:space="preserve"> 058</w:t>
            </w:r>
          </w:p>
        </w:tc>
      </w:tr>
      <w:tr w:rsidR="00C46D30" w:rsidRPr="005A3BDF" w:rsidTr="00C46D30">
        <w:trPr>
          <w:trHeight w:val="510"/>
        </w:trPr>
        <w:tc>
          <w:tcPr>
            <w:tcW w:w="3452" w:type="dxa"/>
            <w:tcBorders>
              <w:top w:val="single" w:sz="4" w:space="0" w:color="auto"/>
              <w:left w:val="double" w:sz="6" w:space="0" w:color="auto"/>
              <w:bottom w:val="single" w:sz="4" w:space="0" w:color="auto"/>
              <w:right w:val="single" w:sz="4" w:space="0" w:color="auto"/>
            </w:tcBorders>
            <w:shd w:val="clear" w:color="auto" w:fill="auto"/>
            <w:noWrap/>
            <w:vAlign w:val="center"/>
          </w:tcPr>
          <w:p w:rsidR="00C46D30" w:rsidRPr="005A3BDF" w:rsidRDefault="00C46D30" w:rsidP="00C46D30">
            <w:pPr>
              <w:rPr>
                <w:bCs/>
                <w:sz w:val="20"/>
                <w:szCs w:val="20"/>
              </w:rPr>
            </w:pPr>
            <w:r w:rsidRPr="005A3BDF">
              <w:rPr>
                <w:bCs/>
                <w:sz w:val="20"/>
                <w:szCs w:val="20"/>
              </w:rPr>
              <w:t>Investment in Social Infrastructure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9</w:t>
            </w:r>
            <w:r w:rsidR="00643096">
              <w:rPr>
                <w:bCs/>
                <w:sz w:val="20"/>
                <w:szCs w:val="20"/>
              </w:rPr>
              <w:t>.</w:t>
            </w:r>
            <w:r w:rsidRPr="005A3BDF">
              <w:rPr>
                <w:bCs/>
                <w:sz w:val="20"/>
                <w:szCs w:val="20"/>
              </w:rPr>
              <w:t>670</w:t>
            </w:r>
            <w:r w:rsidR="00643096">
              <w:rPr>
                <w:bCs/>
                <w:sz w:val="20"/>
                <w:szCs w:val="20"/>
              </w:rPr>
              <w:t>.</w:t>
            </w:r>
            <w:r w:rsidRPr="005A3BDF">
              <w:rPr>
                <w:bCs/>
                <w:sz w:val="20"/>
                <w:szCs w:val="20"/>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OP SDC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center"/>
              <w:rPr>
                <w:bCs/>
                <w:sz w:val="20"/>
                <w:szCs w:val="20"/>
              </w:rPr>
            </w:pPr>
            <w:r w:rsidRPr="005A3BDF">
              <w:rPr>
                <w:bCs/>
                <w:sz w:val="20"/>
                <w:szCs w:val="20"/>
              </w:rPr>
              <w:t>1,6</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46D30" w:rsidRPr="005A3BDF" w:rsidRDefault="00C46D30" w:rsidP="00C46D30">
            <w:pPr>
              <w:jc w:val="right"/>
              <w:rPr>
                <w:bCs/>
                <w:sz w:val="20"/>
                <w:szCs w:val="20"/>
              </w:rPr>
            </w:pPr>
            <w:r w:rsidRPr="005A3BDF">
              <w:rPr>
                <w:bCs/>
                <w:sz w:val="20"/>
                <w:szCs w:val="20"/>
              </w:rPr>
              <w:t>10</w:t>
            </w:r>
            <w:r w:rsidR="00643096">
              <w:rPr>
                <w:bCs/>
                <w:sz w:val="20"/>
                <w:szCs w:val="20"/>
              </w:rPr>
              <w:t>.</w:t>
            </w:r>
            <w:r w:rsidRPr="005A3BDF">
              <w:rPr>
                <w:bCs/>
                <w:sz w:val="20"/>
                <w:szCs w:val="20"/>
              </w:rPr>
              <w:t xml:space="preserve"> 198</w:t>
            </w:r>
            <w:r w:rsidR="00643096">
              <w:rPr>
                <w:bCs/>
                <w:sz w:val="20"/>
                <w:szCs w:val="20"/>
              </w:rPr>
              <w:t>.</w:t>
            </w:r>
            <w:r w:rsidRPr="005A3BDF">
              <w:rPr>
                <w:bCs/>
                <w:sz w:val="20"/>
                <w:szCs w:val="20"/>
              </w:rPr>
              <w:t xml:space="preserve"> 768</w:t>
            </w:r>
          </w:p>
        </w:tc>
      </w:tr>
      <w:tr w:rsidR="00C46D30" w:rsidRPr="005A3BDF" w:rsidTr="00C46D30">
        <w:trPr>
          <w:trHeight w:val="510"/>
        </w:trPr>
        <w:tc>
          <w:tcPr>
            <w:tcW w:w="4892" w:type="dxa"/>
            <w:gridSpan w:val="2"/>
            <w:tcBorders>
              <w:top w:val="single" w:sz="4" w:space="0" w:color="auto"/>
              <w:left w:val="double" w:sz="4" w:space="0" w:color="auto"/>
              <w:bottom w:val="single" w:sz="4" w:space="0" w:color="auto"/>
              <w:right w:val="single" w:sz="4" w:space="0" w:color="auto"/>
            </w:tcBorders>
            <w:shd w:val="clear" w:color="auto" w:fill="E0E0E0"/>
            <w:noWrap/>
            <w:vAlign w:val="center"/>
          </w:tcPr>
          <w:p w:rsidR="00C46D30" w:rsidRPr="005A3BDF" w:rsidRDefault="00C46D30" w:rsidP="00C46D30">
            <w:pPr>
              <w:rPr>
                <w:b/>
                <w:bCs/>
                <w:sz w:val="20"/>
                <w:szCs w:val="20"/>
              </w:rPr>
            </w:pPr>
            <w:r w:rsidRPr="005A3BDF">
              <w:rPr>
                <w:b/>
                <w:bCs/>
                <w:sz w:val="20"/>
                <w:szCs w:val="20"/>
              </w:rPr>
              <w:t xml:space="preserve">Total Community financial allocation </w:t>
            </w:r>
          </w:p>
        </w:tc>
        <w:tc>
          <w:tcPr>
            <w:tcW w:w="1710" w:type="dxa"/>
            <w:tcBorders>
              <w:top w:val="single" w:sz="4" w:space="0" w:color="auto"/>
              <w:left w:val="single" w:sz="4" w:space="0" w:color="auto"/>
              <w:bottom w:val="single" w:sz="4" w:space="0" w:color="auto"/>
              <w:right w:val="single" w:sz="4" w:space="0" w:color="auto"/>
            </w:tcBorders>
            <w:shd w:val="clear" w:color="auto" w:fill="E0E0E0"/>
            <w:vAlign w:val="center"/>
          </w:tcPr>
          <w:p w:rsidR="00C46D30" w:rsidRPr="005A3BDF" w:rsidRDefault="00C46D30" w:rsidP="00C46D30">
            <w:pPr>
              <w:jc w:val="center"/>
              <w:rPr>
                <w:b/>
                <w:bCs/>
                <w:sz w:val="20"/>
                <w:szCs w:val="20"/>
              </w:rPr>
            </w:pPr>
            <w:r w:rsidRPr="005A3BDF">
              <w:rPr>
                <w:b/>
                <w:bCs/>
                <w:sz w:val="20"/>
                <w:szCs w:val="20"/>
              </w:rPr>
              <w:t>612</w:t>
            </w:r>
            <w:r w:rsidR="00643096">
              <w:rPr>
                <w:b/>
                <w:bCs/>
                <w:sz w:val="20"/>
                <w:szCs w:val="20"/>
              </w:rPr>
              <w:t>.</w:t>
            </w:r>
            <w:r w:rsidRPr="005A3BDF">
              <w:rPr>
                <w:b/>
                <w:bCs/>
                <w:sz w:val="20"/>
                <w:szCs w:val="20"/>
              </w:rPr>
              <w:t>434992</w:t>
            </w:r>
          </w:p>
        </w:tc>
        <w:tc>
          <w:tcPr>
            <w:tcW w:w="1530" w:type="dxa"/>
            <w:tcBorders>
              <w:top w:val="single" w:sz="4" w:space="0" w:color="auto"/>
              <w:left w:val="single" w:sz="4" w:space="0" w:color="auto"/>
              <w:bottom w:val="single" w:sz="4" w:space="0" w:color="auto"/>
              <w:right w:val="single" w:sz="4" w:space="0" w:color="auto"/>
            </w:tcBorders>
            <w:shd w:val="clear" w:color="auto" w:fill="E0E0E0"/>
            <w:vAlign w:val="center"/>
          </w:tcPr>
          <w:p w:rsidR="00C46D30" w:rsidRPr="005A3BDF" w:rsidRDefault="00C46D30" w:rsidP="00C46D30">
            <w:pPr>
              <w:jc w:val="center"/>
              <w:rPr>
                <w:b/>
                <w:bCs/>
                <w:sz w:val="20"/>
                <w:szCs w:val="20"/>
              </w:rPr>
            </w:pPr>
            <w:r w:rsidRPr="005A3BDF">
              <w:rPr>
                <w:b/>
                <w:bCs/>
                <w:sz w:val="20"/>
                <w:szCs w:val="20"/>
              </w:rPr>
              <w:t>100%</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C46D30" w:rsidRPr="005A3BDF" w:rsidRDefault="00C46D30" w:rsidP="00C46D30">
            <w:pPr>
              <w:jc w:val="center"/>
              <w:rPr>
                <w:b/>
                <w:bCs/>
                <w:sz w:val="20"/>
                <w:szCs w:val="20"/>
              </w:rPr>
            </w:pPr>
          </w:p>
        </w:tc>
      </w:tr>
      <w:tr w:rsidR="00C46D30" w:rsidRPr="005A3BDF" w:rsidTr="00C46D30">
        <w:trPr>
          <w:trHeight w:val="510"/>
        </w:trPr>
        <w:tc>
          <w:tcPr>
            <w:tcW w:w="4892" w:type="dxa"/>
            <w:gridSpan w:val="2"/>
            <w:tcBorders>
              <w:top w:val="single" w:sz="4" w:space="0" w:color="auto"/>
              <w:left w:val="double" w:sz="4" w:space="0" w:color="auto"/>
              <w:bottom w:val="single" w:sz="4" w:space="0" w:color="auto"/>
              <w:right w:val="single" w:sz="4" w:space="0" w:color="auto"/>
            </w:tcBorders>
            <w:shd w:val="clear" w:color="auto" w:fill="E0E0E0"/>
            <w:noWrap/>
            <w:vAlign w:val="center"/>
          </w:tcPr>
          <w:p w:rsidR="00C46D30" w:rsidRPr="005A3BDF" w:rsidRDefault="00C46D30" w:rsidP="00C46D30">
            <w:pPr>
              <w:rPr>
                <w:b/>
                <w:bCs/>
                <w:sz w:val="20"/>
                <w:szCs w:val="20"/>
              </w:rPr>
            </w:pPr>
            <w:r w:rsidRPr="005A3BDF">
              <w:rPr>
                <w:b/>
                <w:bCs/>
                <w:sz w:val="20"/>
                <w:szCs w:val="20"/>
              </w:rPr>
              <w:t>Total Community financial allocation to earmarked categories (Programming stage)</w:t>
            </w:r>
          </w:p>
        </w:tc>
        <w:tc>
          <w:tcPr>
            <w:tcW w:w="1710" w:type="dxa"/>
            <w:tcBorders>
              <w:top w:val="single" w:sz="4" w:space="0" w:color="auto"/>
              <w:left w:val="single" w:sz="4" w:space="0" w:color="auto"/>
              <w:bottom w:val="single" w:sz="4" w:space="0" w:color="auto"/>
              <w:right w:val="single" w:sz="4" w:space="0" w:color="auto"/>
            </w:tcBorders>
            <w:shd w:val="clear" w:color="auto" w:fill="E0E0E0"/>
            <w:vAlign w:val="center"/>
          </w:tcPr>
          <w:p w:rsidR="00C46D30" w:rsidRPr="005A3BDF" w:rsidRDefault="00C46D30" w:rsidP="00C46D30">
            <w:pPr>
              <w:jc w:val="center"/>
              <w:rPr>
                <w:b/>
                <w:bCs/>
                <w:sz w:val="20"/>
                <w:szCs w:val="20"/>
              </w:rPr>
            </w:pPr>
            <w:r w:rsidRPr="005A3BDF">
              <w:rPr>
                <w:b/>
                <w:bCs/>
                <w:sz w:val="20"/>
                <w:szCs w:val="20"/>
              </w:rPr>
              <w:t>365</w:t>
            </w:r>
            <w:r w:rsidR="00643096">
              <w:rPr>
                <w:b/>
                <w:bCs/>
                <w:sz w:val="20"/>
                <w:szCs w:val="20"/>
              </w:rPr>
              <w:t>.</w:t>
            </w:r>
            <w:r w:rsidRPr="005A3BDF">
              <w:rPr>
                <w:b/>
                <w:bCs/>
                <w:sz w:val="20"/>
                <w:szCs w:val="20"/>
              </w:rPr>
              <w:t>620</w:t>
            </w:r>
            <w:r w:rsidR="00643096">
              <w:rPr>
                <w:b/>
                <w:bCs/>
                <w:sz w:val="20"/>
                <w:szCs w:val="20"/>
              </w:rPr>
              <w:t>.</w:t>
            </w:r>
            <w:r w:rsidRPr="005A3BDF">
              <w:rPr>
                <w:b/>
                <w:bCs/>
                <w:sz w:val="20"/>
                <w:szCs w:val="20"/>
              </w:rPr>
              <w:t>928</w:t>
            </w:r>
          </w:p>
        </w:tc>
        <w:tc>
          <w:tcPr>
            <w:tcW w:w="1530" w:type="dxa"/>
            <w:tcBorders>
              <w:top w:val="single" w:sz="4" w:space="0" w:color="auto"/>
              <w:left w:val="single" w:sz="4" w:space="0" w:color="auto"/>
              <w:bottom w:val="single" w:sz="4" w:space="0" w:color="auto"/>
              <w:right w:val="single" w:sz="4" w:space="0" w:color="auto"/>
            </w:tcBorders>
            <w:shd w:val="clear" w:color="auto" w:fill="E0E0E0"/>
            <w:vAlign w:val="center"/>
          </w:tcPr>
          <w:p w:rsidR="00C46D30" w:rsidRPr="005A3BDF" w:rsidRDefault="00C46D30" w:rsidP="00C46D30">
            <w:pPr>
              <w:jc w:val="center"/>
              <w:rPr>
                <w:b/>
                <w:bCs/>
                <w:sz w:val="20"/>
                <w:szCs w:val="20"/>
              </w:rPr>
            </w:pPr>
            <w:r w:rsidRPr="005A3BDF">
              <w:rPr>
                <w:b/>
                <w:bCs/>
                <w:sz w:val="20"/>
                <w:szCs w:val="20"/>
              </w:rPr>
              <w:t>59,7%</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C46D30" w:rsidRPr="005A3BDF" w:rsidRDefault="00C46D30" w:rsidP="00C46D30">
            <w:pPr>
              <w:jc w:val="center"/>
              <w:rPr>
                <w:b/>
                <w:bCs/>
                <w:sz w:val="20"/>
                <w:szCs w:val="20"/>
              </w:rPr>
            </w:pPr>
          </w:p>
        </w:tc>
      </w:tr>
      <w:tr w:rsidR="00C46D30" w:rsidRPr="005A3BDF" w:rsidTr="00C46D30">
        <w:trPr>
          <w:trHeight w:val="510"/>
        </w:trPr>
        <w:tc>
          <w:tcPr>
            <w:tcW w:w="4892" w:type="dxa"/>
            <w:gridSpan w:val="2"/>
            <w:tcBorders>
              <w:top w:val="single" w:sz="4" w:space="0" w:color="auto"/>
              <w:left w:val="double" w:sz="4" w:space="0" w:color="auto"/>
              <w:bottom w:val="single" w:sz="4" w:space="0" w:color="auto"/>
              <w:right w:val="single" w:sz="4" w:space="0" w:color="auto"/>
            </w:tcBorders>
            <w:shd w:val="clear" w:color="auto" w:fill="E0E0E0"/>
            <w:noWrap/>
            <w:vAlign w:val="center"/>
          </w:tcPr>
          <w:p w:rsidR="00C46D30" w:rsidRPr="005A3BDF" w:rsidRDefault="00C46D30" w:rsidP="00C46D30">
            <w:pPr>
              <w:rPr>
                <w:b/>
                <w:bCs/>
                <w:sz w:val="20"/>
                <w:szCs w:val="20"/>
              </w:rPr>
            </w:pPr>
            <w:r w:rsidRPr="005A3BDF">
              <w:rPr>
                <w:b/>
                <w:sz w:val="20"/>
                <w:szCs w:val="20"/>
              </w:rPr>
              <w:t>Projects approved</w:t>
            </w:r>
          </w:p>
        </w:tc>
        <w:tc>
          <w:tcPr>
            <w:tcW w:w="1710" w:type="dxa"/>
            <w:tcBorders>
              <w:top w:val="single" w:sz="4" w:space="0" w:color="auto"/>
              <w:left w:val="single" w:sz="4" w:space="0" w:color="auto"/>
              <w:bottom w:val="single" w:sz="4" w:space="0" w:color="auto"/>
              <w:right w:val="single" w:sz="4" w:space="0" w:color="auto"/>
            </w:tcBorders>
            <w:shd w:val="clear" w:color="auto" w:fill="E0E0E0"/>
            <w:vAlign w:val="center"/>
          </w:tcPr>
          <w:p w:rsidR="00C46D30" w:rsidRPr="005A3BDF" w:rsidRDefault="00C46D30" w:rsidP="00C46D30">
            <w:pPr>
              <w:jc w:val="center"/>
              <w:rPr>
                <w:b/>
                <w:bCs/>
                <w:sz w:val="20"/>
                <w:szCs w:val="20"/>
              </w:rPr>
            </w:pPr>
            <w:r w:rsidRPr="005A3BDF">
              <w:rPr>
                <w:b/>
                <w:bCs/>
                <w:sz w:val="20"/>
                <w:szCs w:val="20"/>
              </w:rPr>
              <w:t>350</w:t>
            </w:r>
            <w:r w:rsidR="00643096">
              <w:rPr>
                <w:b/>
                <w:bCs/>
                <w:sz w:val="20"/>
                <w:szCs w:val="20"/>
              </w:rPr>
              <w:t>.</w:t>
            </w:r>
            <w:r w:rsidRPr="005A3BDF">
              <w:rPr>
                <w:b/>
                <w:bCs/>
                <w:sz w:val="20"/>
                <w:szCs w:val="20"/>
              </w:rPr>
              <w:t>407</w:t>
            </w:r>
            <w:r w:rsidR="00643096">
              <w:rPr>
                <w:b/>
                <w:bCs/>
                <w:sz w:val="20"/>
                <w:szCs w:val="20"/>
              </w:rPr>
              <w:t>.</w:t>
            </w:r>
            <w:r w:rsidRPr="005A3BDF">
              <w:rPr>
                <w:b/>
                <w:bCs/>
                <w:sz w:val="20"/>
                <w:szCs w:val="20"/>
              </w:rPr>
              <w:t>377</w:t>
            </w:r>
          </w:p>
        </w:tc>
        <w:tc>
          <w:tcPr>
            <w:tcW w:w="1530" w:type="dxa"/>
            <w:tcBorders>
              <w:top w:val="single" w:sz="4" w:space="0" w:color="auto"/>
              <w:left w:val="single" w:sz="4" w:space="0" w:color="auto"/>
              <w:bottom w:val="single" w:sz="4" w:space="0" w:color="auto"/>
              <w:right w:val="single" w:sz="4" w:space="0" w:color="auto"/>
            </w:tcBorders>
            <w:shd w:val="clear" w:color="auto" w:fill="E0E0E0"/>
            <w:vAlign w:val="center"/>
          </w:tcPr>
          <w:p w:rsidR="00C46D30" w:rsidRPr="00643096" w:rsidRDefault="00C46D30" w:rsidP="00C46D30">
            <w:pPr>
              <w:jc w:val="center"/>
              <w:rPr>
                <w:b/>
                <w:bCs/>
                <w:sz w:val="20"/>
                <w:szCs w:val="20"/>
              </w:rPr>
            </w:pPr>
            <w:r w:rsidRPr="005A3BDF">
              <w:rPr>
                <w:b/>
                <w:bCs/>
                <w:sz w:val="20"/>
                <w:szCs w:val="20"/>
                <w:lang w:val="en-GB"/>
              </w:rPr>
              <w:t>57,2</w:t>
            </w:r>
            <w:r w:rsidR="00602DA7" w:rsidRPr="00602DA7">
              <w:rPr>
                <w:b/>
                <w:bCs/>
                <w:sz w:val="20"/>
                <w:szCs w:val="20"/>
              </w:rPr>
              <w:t>%</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C46D30" w:rsidRPr="005A3BDF" w:rsidRDefault="00C46D30" w:rsidP="00C46D30">
            <w:pPr>
              <w:jc w:val="center"/>
              <w:rPr>
                <w:b/>
                <w:bCs/>
                <w:sz w:val="20"/>
                <w:szCs w:val="20"/>
              </w:rPr>
            </w:pPr>
          </w:p>
        </w:tc>
      </w:tr>
    </w:tbl>
    <w:p w:rsidR="00C46D30" w:rsidRPr="005A3BDF" w:rsidRDefault="00C46D30" w:rsidP="00C46D30">
      <w:pPr>
        <w:rPr>
          <w:sz w:val="20"/>
          <w:szCs w:val="20"/>
          <w:u w:val="single"/>
        </w:rPr>
      </w:pPr>
      <w:r w:rsidRPr="005A3BDF">
        <w:rPr>
          <w:sz w:val="20"/>
          <w:szCs w:val="20"/>
          <w:u w:val="single"/>
        </w:rPr>
        <w:t>Notes:</w:t>
      </w:r>
    </w:p>
    <w:p w:rsidR="00C46D30" w:rsidRPr="008663CD" w:rsidRDefault="00C46D30" w:rsidP="00A073EF">
      <w:pPr>
        <w:pStyle w:val="ListParagraph"/>
        <w:numPr>
          <w:ilvl w:val="0"/>
          <w:numId w:val="81"/>
        </w:numPr>
        <w:ind w:left="142" w:hanging="142"/>
        <w:jc w:val="both"/>
        <w:rPr>
          <w:sz w:val="20"/>
          <w:szCs w:val="20"/>
        </w:rPr>
      </w:pPr>
      <w:r w:rsidRPr="008663CD">
        <w:rPr>
          <w:color w:val="000000"/>
          <w:sz w:val="20"/>
          <w:szCs w:val="20"/>
        </w:rPr>
        <w:t xml:space="preserve">The categories presented in the </w:t>
      </w:r>
      <w:r w:rsidR="00643096" w:rsidRPr="008663CD">
        <w:rPr>
          <w:color w:val="000000"/>
          <w:sz w:val="20"/>
          <w:szCs w:val="20"/>
        </w:rPr>
        <w:t>t</w:t>
      </w:r>
      <w:r w:rsidRPr="008663CD">
        <w:rPr>
          <w:color w:val="000000"/>
          <w:sz w:val="20"/>
          <w:szCs w:val="20"/>
        </w:rPr>
        <w:t xml:space="preserve">able are according to Annex IV of Regulation 1083/2006. However, taking into account the priorities identified in the National Reform Programme of Cyprus for the </w:t>
      </w:r>
      <w:r w:rsidR="008663CD" w:rsidRPr="008663CD">
        <w:rPr>
          <w:color w:val="000000"/>
          <w:sz w:val="20"/>
          <w:szCs w:val="20"/>
        </w:rPr>
        <w:t>EU2020</w:t>
      </w:r>
      <w:r w:rsidRPr="008663CD">
        <w:rPr>
          <w:color w:val="000000"/>
          <w:sz w:val="20"/>
          <w:szCs w:val="20"/>
        </w:rPr>
        <w:t xml:space="preserve"> Strategy and in accordance with </w:t>
      </w:r>
      <w:r w:rsidRPr="008663CD">
        <w:rPr>
          <w:sz w:val="20"/>
          <w:szCs w:val="20"/>
        </w:rPr>
        <w:t xml:space="preserve">Article 9.3 of the said Regulation two further categories have been incorporated in the above categories, namely Code 75 – Educational Infrastructure and Code 50 - Rehabilitation of industrial sites and contaminated land. </w:t>
      </w:r>
    </w:p>
    <w:p w:rsidR="008663CD" w:rsidRPr="008663CD" w:rsidRDefault="008663CD" w:rsidP="00A073EF">
      <w:pPr>
        <w:pStyle w:val="ListParagraph"/>
        <w:numPr>
          <w:ilvl w:val="0"/>
          <w:numId w:val="80"/>
        </w:numPr>
        <w:autoSpaceDE w:val="0"/>
        <w:autoSpaceDN w:val="0"/>
        <w:adjustRightInd w:val="0"/>
        <w:ind w:left="142" w:hanging="142"/>
        <w:jc w:val="both"/>
        <w:rPr>
          <w:sz w:val="20"/>
          <w:szCs w:val="20"/>
        </w:rPr>
      </w:pPr>
      <w:r w:rsidRPr="008663CD">
        <w:rPr>
          <w:bCs/>
          <w:sz w:val="20"/>
          <w:szCs w:val="20"/>
        </w:rPr>
        <w:t xml:space="preserve">OP SDC: Operational Programme </w:t>
      </w:r>
      <w:r w:rsidRPr="008663CD">
        <w:rPr>
          <w:sz w:val="20"/>
          <w:szCs w:val="20"/>
        </w:rPr>
        <w:t>“Sustainable Development and Competitiveness”</w:t>
      </w:r>
    </w:p>
    <w:p w:rsidR="008663CD" w:rsidRPr="008663CD" w:rsidRDefault="008663CD" w:rsidP="00A073EF">
      <w:pPr>
        <w:pStyle w:val="ListParagraph"/>
        <w:numPr>
          <w:ilvl w:val="0"/>
          <w:numId w:val="80"/>
        </w:numPr>
        <w:autoSpaceDE w:val="0"/>
        <w:autoSpaceDN w:val="0"/>
        <w:adjustRightInd w:val="0"/>
        <w:ind w:left="142" w:hanging="142"/>
        <w:jc w:val="both"/>
        <w:rPr>
          <w:sz w:val="20"/>
          <w:szCs w:val="20"/>
        </w:rPr>
      </w:pPr>
      <w:r w:rsidRPr="008663CD">
        <w:rPr>
          <w:bCs/>
          <w:sz w:val="20"/>
          <w:szCs w:val="20"/>
        </w:rPr>
        <w:t xml:space="preserve">OP EHCSC: Operational Programme </w:t>
      </w:r>
      <w:r w:rsidRPr="008663CD">
        <w:rPr>
          <w:sz w:val="20"/>
          <w:szCs w:val="20"/>
        </w:rPr>
        <w:t>“Employment, Human Capital and Social Cohesion”</w:t>
      </w:r>
    </w:p>
    <w:p w:rsidR="00C46D30" w:rsidRPr="005A3BDF" w:rsidRDefault="00C46D30" w:rsidP="00C46D30">
      <w:pPr>
        <w:jc w:val="both"/>
        <w:rPr>
          <w:color w:val="000080"/>
        </w:rPr>
      </w:pPr>
    </w:p>
    <w:p w:rsidR="00C46D30" w:rsidRPr="005A3BDF" w:rsidRDefault="00C46D30" w:rsidP="00A073EF">
      <w:pPr>
        <w:numPr>
          <w:ilvl w:val="1"/>
          <w:numId w:val="72"/>
        </w:numPr>
        <w:rPr>
          <w:b/>
          <w:bCs/>
        </w:rPr>
      </w:pPr>
      <w:r w:rsidRPr="005A3BDF">
        <w:rPr>
          <w:b/>
          <w:bCs/>
        </w:rPr>
        <w:t xml:space="preserve">OPs / Structural Funds Contribution to NRP for EU2020 </w:t>
      </w:r>
    </w:p>
    <w:p w:rsidR="00C46D30" w:rsidRPr="005A3BDF" w:rsidRDefault="00C46D30" w:rsidP="00C46D30">
      <w:pPr>
        <w:rPr>
          <w:b/>
          <w:bCs/>
        </w:rPr>
      </w:pPr>
    </w:p>
    <w:p w:rsidR="00C46D30" w:rsidRPr="005A3BDF" w:rsidRDefault="00C46D30" w:rsidP="00C46D30">
      <w:pPr>
        <w:jc w:val="both"/>
      </w:pPr>
      <w:r w:rsidRPr="005A3BDF">
        <w:t xml:space="preserve">The OP “Sustainable Development and Competitiveness, 2007-2013”, as described in Section 2 above, mainly promotes the objectives of the EU2020 strategy that are included under: </w:t>
      </w:r>
    </w:p>
    <w:p w:rsidR="00C46D30" w:rsidRPr="005A3BDF" w:rsidRDefault="00C46D30" w:rsidP="00C46D30">
      <w:pPr>
        <w:jc w:val="both"/>
      </w:pPr>
    </w:p>
    <w:p w:rsidR="00C46D30" w:rsidRPr="002E55EB" w:rsidRDefault="00C46D30" w:rsidP="00C46D30">
      <w:pPr>
        <w:ind w:left="1276" w:hanging="1276"/>
        <w:jc w:val="both"/>
      </w:pPr>
      <w:r w:rsidRPr="002E55EB">
        <w:t xml:space="preserve">Guideline 4: Optimising support for R&amp;D and innovation, strengthening the knowledge triangle and unleashing the potential of the digital economy, </w:t>
      </w:r>
    </w:p>
    <w:p w:rsidR="00C46D30" w:rsidRPr="002E55EB" w:rsidRDefault="00C46D30" w:rsidP="00C46D30">
      <w:pPr>
        <w:ind w:left="1276" w:hanging="1276"/>
        <w:jc w:val="both"/>
      </w:pPr>
      <w:r w:rsidRPr="002E55EB">
        <w:t xml:space="preserve">Guideline 5: Improving Resource Efficiency and reducing greenhouse gases, and </w:t>
      </w:r>
    </w:p>
    <w:p w:rsidR="00C46D30" w:rsidRPr="005A3BDF" w:rsidRDefault="00C46D30" w:rsidP="00C46D30">
      <w:pPr>
        <w:ind w:left="1276" w:hanging="1276"/>
        <w:jc w:val="both"/>
      </w:pPr>
      <w:r w:rsidRPr="002E55EB">
        <w:t>Guideline 6: Improving the business and consumer environment and modernising the industrial</w:t>
      </w:r>
      <w:r w:rsidRPr="005A3BDF">
        <w:t xml:space="preserve"> base</w:t>
      </w:r>
      <w:r w:rsidR="007F2C8C">
        <w:t>.</w:t>
      </w:r>
    </w:p>
    <w:p w:rsidR="00C46D30" w:rsidRPr="005A3BDF" w:rsidRDefault="00C46D30" w:rsidP="00C46D30">
      <w:pPr>
        <w:ind w:left="1276" w:hanging="1276"/>
        <w:jc w:val="both"/>
      </w:pPr>
    </w:p>
    <w:p w:rsidR="00C46D30" w:rsidRPr="005A3BDF" w:rsidRDefault="00C46D30" w:rsidP="00C46D30">
      <w:pPr>
        <w:jc w:val="both"/>
      </w:pPr>
      <w:r w:rsidRPr="005A3BDF">
        <w:t xml:space="preserve">The OP “Employment, Human Capital and Social Cohesion, 2007-2013”, as described in Section 3 above, mainly promotes the objectives of the EU2020 strategy that are included under: </w:t>
      </w:r>
    </w:p>
    <w:p w:rsidR="00C46D30" w:rsidRPr="005A3BDF" w:rsidRDefault="00C46D30" w:rsidP="00C46D30">
      <w:pPr>
        <w:ind w:left="1276" w:hanging="1276"/>
        <w:jc w:val="both"/>
        <w:rPr>
          <w:b/>
        </w:rPr>
      </w:pPr>
    </w:p>
    <w:p w:rsidR="00C46D30" w:rsidRPr="002E55EB" w:rsidRDefault="00C46D30" w:rsidP="00C46D30">
      <w:pPr>
        <w:ind w:left="1276" w:hanging="1276"/>
        <w:jc w:val="both"/>
      </w:pPr>
      <w:r w:rsidRPr="002E55EB">
        <w:t xml:space="preserve">Guideline 7: Increasing labour market participation and reducing structural unemployment, </w:t>
      </w:r>
    </w:p>
    <w:p w:rsidR="00C46D30" w:rsidRPr="002E55EB" w:rsidRDefault="00C46D30" w:rsidP="00C46D30">
      <w:pPr>
        <w:ind w:left="1276" w:hanging="1276"/>
        <w:jc w:val="both"/>
      </w:pPr>
      <w:r w:rsidRPr="002E55EB">
        <w:t xml:space="preserve">Guideline 8: Developing a skilled workforce responding to labour market needs, promoting job quality and lifelong learning, </w:t>
      </w:r>
    </w:p>
    <w:p w:rsidR="00C46D30" w:rsidRPr="002E55EB" w:rsidRDefault="00C46D30" w:rsidP="00C46D30">
      <w:pPr>
        <w:ind w:left="1276" w:hanging="1276"/>
        <w:jc w:val="both"/>
      </w:pPr>
      <w:r w:rsidRPr="002E55EB">
        <w:t>Guideline 9:</w:t>
      </w:r>
      <w:r w:rsidR="00643096">
        <w:t xml:space="preserve"> </w:t>
      </w:r>
      <w:r w:rsidRPr="002E55EB">
        <w:t xml:space="preserve">Improving the performance of education and training systems at all levels and increasing participation in tertiary education, and </w:t>
      </w:r>
    </w:p>
    <w:p w:rsidR="00C46D30" w:rsidRPr="002E55EB" w:rsidRDefault="00C46D30" w:rsidP="00C46D30">
      <w:pPr>
        <w:ind w:left="1276" w:hanging="1276"/>
        <w:jc w:val="both"/>
      </w:pPr>
      <w:r w:rsidRPr="002E55EB">
        <w:t>Guideline 10: Promoting social inclusion and combating poverty</w:t>
      </w:r>
      <w:r w:rsidR="007F2C8C">
        <w:t>.</w:t>
      </w:r>
    </w:p>
    <w:p w:rsidR="00C46D30" w:rsidRPr="005A3BDF" w:rsidRDefault="00C46D30" w:rsidP="00C46D30">
      <w:pPr>
        <w:jc w:val="both"/>
        <w:rPr>
          <w:bCs/>
          <w:highlight w:val="yellow"/>
        </w:rPr>
      </w:pPr>
    </w:p>
    <w:p w:rsidR="00C46D30" w:rsidRPr="005A3BDF" w:rsidRDefault="00C46D30" w:rsidP="00C46D30">
      <w:pPr>
        <w:jc w:val="both"/>
        <w:rPr>
          <w:bCs/>
          <w:highlight w:val="yellow"/>
        </w:rPr>
      </w:pPr>
    </w:p>
    <w:p w:rsidR="00C46D30" w:rsidRPr="005A3BDF" w:rsidRDefault="00C46D30" w:rsidP="00C46D30">
      <w:pPr>
        <w:jc w:val="both"/>
        <w:rPr>
          <w:bCs/>
        </w:rPr>
      </w:pPr>
      <w:r w:rsidRPr="002E55EB">
        <w:rPr>
          <w:bCs/>
        </w:rPr>
        <w:t xml:space="preserve">Table </w:t>
      </w:r>
      <w:r w:rsidR="007F2C8C">
        <w:rPr>
          <w:bCs/>
        </w:rPr>
        <w:t>5</w:t>
      </w:r>
      <w:r w:rsidRPr="005A3BDF">
        <w:rPr>
          <w:bCs/>
        </w:rPr>
        <w:t xml:space="preserve"> presents an indicative list of measures implemented within the context of the two OPs, which contribute to the achievement of the national targets set out at the </w:t>
      </w:r>
      <w:r w:rsidR="007F2C8C">
        <w:rPr>
          <w:bCs/>
        </w:rPr>
        <w:t>NRP</w:t>
      </w:r>
      <w:r w:rsidRPr="005A3BDF">
        <w:rPr>
          <w:bCs/>
        </w:rPr>
        <w:t xml:space="preserve"> 2011-2013 as well as addressing bottlenecks.   </w:t>
      </w:r>
    </w:p>
    <w:p w:rsidR="00C46D30" w:rsidRPr="005A3BDF" w:rsidRDefault="00C46D30" w:rsidP="00C46D30">
      <w:pPr>
        <w:ind w:firstLine="360"/>
        <w:jc w:val="both"/>
        <w:rPr>
          <w:b/>
          <w:bCs/>
        </w:rPr>
      </w:pPr>
    </w:p>
    <w:p w:rsidR="00C46D30" w:rsidRDefault="00C46D30" w:rsidP="00C46D30">
      <w:pPr>
        <w:jc w:val="both"/>
        <w:rPr>
          <w:b/>
          <w:bCs/>
          <w:i/>
        </w:rPr>
      </w:pPr>
      <w:r w:rsidRPr="002E55EB">
        <w:rPr>
          <w:b/>
          <w:bCs/>
          <w:i/>
        </w:rPr>
        <w:t xml:space="preserve">Table </w:t>
      </w:r>
      <w:r w:rsidR="00F25240">
        <w:rPr>
          <w:b/>
          <w:bCs/>
          <w:i/>
        </w:rPr>
        <w:t>5</w:t>
      </w:r>
      <w:r w:rsidRPr="002E55EB">
        <w:rPr>
          <w:b/>
          <w:bCs/>
          <w:i/>
        </w:rPr>
        <w:t>: The Operational Programmes contribution to the NRP for EU2020</w:t>
      </w:r>
    </w:p>
    <w:p w:rsidR="002E39AE" w:rsidRPr="002E55EB" w:rsidRDefault="002E39AE" w:rsidP="00C46D30">
      <w:pPr>
        <w:jc w:val="both"/>
        <w:rPr>
          <w:b/>
          <w:bCs/>
          <w:i/>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2370"/>
        <w:gridCol w:w="1230"/>
        <w:gridCol w:w="1290"/>
        <w:gridCol w:w="2550"/>
      </w:tblGrid>
      <w:tr w:rsidR="00C46D30" w:rsidRPr="005A3BDF" w:rsidTr="00C46D30">
        <w:tc>
          <w:tcPr>
            <w:tcW w:w="2148" w:type="dxa"/>
            <w:tcBorders>
              <w:bottom w:val="single" w:sz="4" w:space="0" w:color="auto"/>
            </w:tcBorders>
            <w:shd w:val="clear" w:color="auto" w:fill="B3B3B3"/>
          </w:tcPr>
          <w:p w:rsidR="00C46D30" w:rsidRPr="00027EC5" w:rsidRDefault="00C46D30" w:rsidP="00C46D30">
            <w:pPr>
              <w:jc w:val="center"/>
              <w:rPr>
                <w:b/>
                <w:sz w:val="22"/>
                <w:szCs w:val="22"/>
              </w:rPr>
            </w:pPr>
            <w:r w:rsidRPr="00027EC5">
              <w:rPr>
                <w:b/>
                <w:sz w:val="22"/>
                <w:szCs w:val="22"/>
              </w:rPr>
              <w:t>EU 2020</w:t>
            </w:r>
          </w:p>
        </w:tc>
        <w:tc>
          <w:tcPr>
            <w:tcW w:w="2370" w:type="dxa"/>
            <w:tcBorders>
              <w:bottom w:val="single" w:sz="4" w:space="0" w:color="auto"/>
            </w:tcBorders>
            <w:shd w:val="clear" w:color="auto" w:fill="B3B3B3"/>
          </w:tcPr>
          <w:p w:rsidR="00C46D30" w:rsidRPr="00027EC5" w:rsidRDefault="00C46D30" w:rsidP="00C46D30">
            <w:pPr>
              <w:jc w:val="center"/>
              <w:rPr>
                <w:b/>
                <w:sz w:val="22"/>
                <w:szCs w:val="22"/>
              </w:rPr>
            </w:pPr>
            <w:r w:rsidRPr="00027EC5">
              <w:rPr>
                <w:b/>
                <w:sz w:val="22"/>
                <w:szCs w:val="22"/>
              </w:rPr>
              <w:t>NRP 2011-2013</w:t>
            </w:r>
          </w:p>
        </w:tc>
        <w:tc>
          <w:tcPr>
            <w:tcW w:w="5070" w:type="dxa"/>
            <w:gridSpan w:val="3"/>
            <w:tcBorders>
              <w:bottom w:val="single" w:sz="4" w:space="0" w:color="auto"/>
            </w:tcBorders>
            <w:shd w:val="clear" w:color="auto" w:fill="B3B3B3"/>
          </w:tcPr>
          <w:p w:rsidR="00C46D30" w:rsidRPr="00027EC5" w:rsidRDefault="00C46D30" w:rsidP="00C46D30">
            <w:pPr>
              <w:jc w:val="center"/>
              <w:rPr>
                <w:b/>
                <w:sz w:val="22"/>
                <w:szCs w:val="22"/>
              </w:rPr>
            </w:pPr>
            <w:r w:rsidRPr="00027EC5">
              <w:rPr>
                <w:b/>
                <w:sz w:val="22"/>
                <w:szCs w:val="22"/>
              </w:rPr>
              <w:t>NSRF 2007-2013</w:t>
            </w:r>
          </w:p>
        </w:tc>
      </w:tr>
      <w:tr w:rsidR="00C46D30" w:rsidRPr="005A3BDF" w:rsidTr="00C46D30">
        <w:tc>
          <w:tcPr>
            <w:tcW w:w="2148" w:type="dxa"/>
            <w:shd w:val="clear" w:color="auto" w:fill="C0C0C0"/>
            <w:vAlign w:val="center"/>
          </w:tcPr>
          <w:p w:rsidR="00C46D30" w:rsidRPr="00027EC5" w:rsidRDefault="00C46D30" w:rsidP="00C46D30">
            <w:pPr>
              <w:jc w:val="center"/>
              <w:rPr>
                <w:b/>
                <w:sz w:val="22"/>
                <w:szCs w:val="22"/>
              </w:rPr>
            </w:pPr>
            <w:r w:rsidRPr="00027EC5">
              <w:rPr>
                <w:b/>
                <w:sz w:val="22"/>
                <w:szCs w:val="22"/>
              </w:rPr>
              <w:t>Integrated Guidelines</w:t>
            </w:r>
          </w:p>
        </w:tc>
        <w:tc>
          <w:tcPr>
            <w:tcW w:w="2370" w:type="dxa"/>
            <w:shd w:val="clear" w:color="auto" w:fill="C0C0C0"/>
            <w:vAlign w:val="center"/>
          </w:tcPr>
          <w:p w:rsidR="00C46D30" w:rsidRPr="00027EC5" w:rsidRDefault="00C46D30" w:rsidP="00C46D30">
            <w:pPr>
              <w:jc w:val="center"/>
              <w:rPr>
                <w:b/>
                <w:sz w:val="22"/>
                <w:szCs w:val="22"/>
              </w:rPr>
            </w:pPr>
            <w:r w:rsidRPr="00027EC5">
              <w:rPr>
                <w:b/>
                <w:sz w:val="22"/>
                <w:szCs w:val="22"/>
              </w:rPr>
              <w:t>National Targets (NT)/ Priorities (NP)</w:t>
            </w:r>
          </w:p>
        </w:tc>
        <w:tc>
          <w:tcPr>
            <w:tcW w:w="1230" w:type="dxa"/>
            <w:shd w:val="clear" w:color="auto" w:fill="C0C0C0"/>
            <w:vAlign w:val="center"/>
          </w:tcPr>
          <w:p w:rsidR="00C46D30" w:rsidRPr="00027EC5" w:rsidRDefault="00C46D30" w:rsidP="00C46D30">
            <w:pPr>
              <w:jc w:val="center"/>
              <w:rPr>
                <w:b/>
                <w:sz w:val="22"/>
                <w:szCs w:val="22"/>
                <w:lang w:val="en-GB"/>
              </w:rPr>
            </w:pPr>
            <w:r w:rsidRPr="00027EC5">
              <w:rPr>
                <w:b/>
                <w:sz w:val="22"/>
                <w:szCs w:val="22"/>
              </w:rPr>
              <w:t xml:space="preserve">Contribution OP </w:t>
            </w:r>
            <w:r w:rsidRPr="00027EC5">
              <w:rPr>
                <w:b/>
                <w:sz w:val="22"/>
                <w:szCs w:val="22"/>
                <w:lang w:val="en-GB"/>
              </w:rPr>
              <w:t>SDC</w:t>
            </w:r>
          </w:p>
        </w:tc>
        <w:tc>
          <w:tcPr>
            <w:tcW w:w="1290" w:type="dxa"/>
            <w:shd w:val="clear" w:color="auto" w:fill="C0C0C0"/>
            <w:vAlign w:val="center"/>
          </w:tcPr>
          <w:p w:rsidR="00C46D30" w:rsidRPr="00027EC5" w:rsidRDefault="00C46D30" w:rsidP="00C46D30">
            <w:pPr>
              <w:jc w:val="center"/>
              <w:rPr>
                <w:b/>
                <w:sz w:val="22"/>
                <w:szCs w:val="22"/>
              </w:rPr>
            </w:pPr>
            <w:r w:rsidRPr="00027EC5">
              <w:rPr>
                <w:b/>
                <w:sz w:val="22"/>
                <w:szCs w:val="22"/>
              </w:rPr>
              <w:t>Contribution OP EHCSC</w:t>
            </w:r>
          </w:p>
        </w:tc>
        <w:tc>
          <w:tcPr>
            <w:tcW w:w="2550" w:type="dxa"/>
            <w:shd w:val="clear" w:color="auto" w:fill="C0C0C0"/>
            <w:vAlign w:val="center"/>
          </w:tcPr>
          <w:p w:rsidR="00C46D30" w:rsidRPr="00027EC5" w:rsidRDefault="00C46D30" w:rsidP="00C46D30">
            <w:pPr>
              <w:jc w:val="center"/>
              <w:rPr>
                <w:b/>
                <w:sz w:val="22"/>
                <w:szCs w:val="22"/>
              </w:rPr>
            </w:pPr>
            <w:r w:rsidRPr="00027EC5">
              <w:rPr>
                <w:b/>
                <w:sz w:val="22"/>
                <w:szCs w:val="22"/>
              </w:rPr>
              <w:t>Indicative Co-financed Measure/s</w:t>
            </w:r>
          </w:p>
        </w:tc>
      </w:tr>
      <w:tr w:rsidR="00C46D30" w:rsidRPr="005A3BDF" w:rsidTr="00C46D30">
        <w:trPr>
          <w:trHeight w:val="1214"/>
        </w:trPr>
        <w:tc>
          <w:tcPr>
            <w:tcW w:w="2148" w:type="dxa"/>
            <w:vAlign w:val="center"/>
          </w:tcPr>
          <w:p w:rsidR="00C46D30" w:rsidRPr="00027EC5" w:rsidRDefault="00C46D30" w:rsidP="00C46D30">
            <w:pPr>
              <w:jc w:val="center"/>
              <w:rPr>
                <w:sz w:val="22"/>
                <w:szCs w:val="22"/>
              </w:rPr>
            </w:pPr>
            <w:r w:rsidRPr="00027EC5">
              <w:rPr>
                <w:b/>
                <w:sz w:val="22"/>
                <w:szCs w:val="22"/>
              </w:rPr>
              <w:t>G 4</w:t>
            </w:r>
            <w:r w:rsidRPr="00027EC5">
              <w:rPr>
                <w:sz w:val="22"/>
                <w:szCs w:val="22"/>
              </w:rPr>
              <w:t xml:space="preserve"> – Optimising support for R&amp;D and innovation, strengthening the knowledge triangle and unleashing the potential of the digital economy</w:t>
            </w:r>
          </w:p>
        </w:tc>
        <w:tc>
          <w:tcPr>
            <w:tcW w:w="2370" w:type="dxa"/>
            <w:vAlign w:val="center"/>
          </w:tcPr>
          <w:p w:rsidR="00C46D30" w:rsidRPr="00027EC5" w:rsidRDefault="00C46D30" w:rsidP="00C46D30">
            <w:pPr>
              <w:jc w:val="center"/>
              <w:rPr>
                <w:sz w:val="22"/>
                <w:szCs w:val="22"/>
                <w:highlight w:val="yellow"/>
              </w:rPr>
            </w:pPr>
            <w:r w:rsidRPr="00027EC5">
              <w:rPr>
                <w:sz w:val="22"/>
                <w:szCs w:val="22"/>
              </w:rPr>
              <w:t>NT – Increase R&amp;D expenditures as a percentage of GDP to 0,50% by the year 2020</w:t>
            </w:r>
          </w:p>
        </w:tc>
        <w:tc>
          <w:tcPr>
            <w:tcW w:w="1230" w:type="dxa"/>
            <w:vAlign w:val="center"/>
          </w:tcPr>
          <w:p w:rsidR="00C46D30" w:rsidRPr="00027EC5" w:rsidRDefault="00C46D30" w:rsidP="00C46D30">
            <w:pPr>
              <w:jc w:val="center"/>
              <w:rPr>
                <w:sz w:val="22"/>
                <w:szCs w:val="22"/>
              </w:rPr>
            </w:pPr>
            <w:r w:rsidRPr="00027EC5">
              <w:rPr>
                <w:sz w:val="22"/>
                <w:szCs w:val="22"/>
              </w:rPr>
              <w:t>√</w:t>
            </w:r>
          </w:p>
        </w:tc>
        <w:tc>
          <w:tcPr>
            <w:tcW w:w="1290" w:type="dxa"/>
            <w:vAlign w:val="center"/>
          </w:tcPr>
          <w:p w:rsidR="00C46D30" w:rsidRPr="00027EC5" w:rsidRDefault="00C46D30" w:rsidP="00C46D30">
            <w:pPr>
              <w:jc w:val="center"/>
              <w:rPr>
                <w:sz w:val="22"/>
                <w:szCs w:val="22"/>
              </w:rPr>
            </w:pPr>
          </w:p>
        </w:tc>
        <w:tc>
          <w:tcPr>
            <w:tcW w:w="2550" w:type="dxa"/>
            <w:vAlign w:val="center"/>
          </w:tcPr>
          <w:p w:rsidR="00C46D30" w:rsidRPr="00027EC5" w:rsidRDefault="00C46D30" w:rsidP="00C46D30">
            <w:pPr>
              <w:jc w:val="center"/>
              <w:rPr>
                <w:sz w:val="22"/>
                <w:szCs w:val="22"/>
              </w:rPr>
            </w:pPr>
            <w:r w:rsidRPr="00027EC5">
              <w:rPr>
                <w:sz w:val="22"/>
                <w:szCs w:val="22"/>
              </w:rPr>
              <w:t>Innovation activities promoted by the Research Promotion Foundation (i.e. National Framework Programme 2008-2010)</w:t>
            </w:r>
          </w:p>
        </w:tc>
      </w:tr>
      <w:tr w:rsidR="00C46D30" w:rsidRPr="005A3BDF" w:rsidTr="00C46D30">
        <w:trPr>
          <w:trHeight w:val="3590"/>
        </w:trPr>
        <w:tc>
          <w:tcPr>
            <w:tcW w:w="2148" w:type="dxa"/>
            <w:vAlign w:val="center"/>
          </w:tcPr>
          <w:p w:rsidR="00C46D30" w:rsidRPr="00027EC5" w:rsidRDefault="00C46D30" w:rsidP="00C46D30">
            <w:pPr>
              <w:jc w:val="center"/>
              <w:rPr>
                <w:sz w:val="22"/>
                <w:szCs w:val="22"/>
              </w:rPr>
            </w:pPr>
            <w:r w:rsidRPr="00027EC5">
              <w:rPr>
                <w:b/>
                <w:sz w:val="22"/>
                <w:szCs w:val="22"/>
              </w:rPr>
              <w:t>G 8</w:t>
            </w:r>
            <w:r w:rsidRPr="00027EC5">
              <w:rPr>
                <w:sz w:val="22"/>
                <w:szCs w:val="22"/>
              </w:rPr>
              <w:t xml:space="preserve"> – Developing a skilled workforce responding to labour market needs, promoting job quality and lifelong learning</w:t>
            </w:r>
          </w:p>
          <w:p w:rsidR="00C46D30" w:rsidRPr="00027EC5" w:rsidRDefault="00C46D30" w:rsidP="00C46D30">
            <w:pPr>
              <w:jc w:val="center"/>
              <w:rPr>
                <w:sz w:val="22"/>
                <w:szCs w:val="22"/>
              </w:rPr>
            </w:pPr>
          </w:p>
          <w:p w:rsidR="00C46D30" w:rsidRPr="00027EC5" w:rsidRDefault="00C46D30" w:rsidP="00C46D30">
            <w:pPr>
              <w:jc w:val="center"/>
              <w:rPr>
                <w:sz w:val="22"/>
                <w:szCs w:val="22"/>
              </w:rPr>
            </w:pPr>
            <w:r w:rsidRPr="00027EC5">
              <w:rPr>
                <w:b/>
                <w:sz w:val="22"/>
                <w:szCs w:val="22"/>
              </w:rPr>
              <w:t>G 9</w:t>
            </w:r>
            <w:r w:rsidRPr="00027EC5">
              <w:rPr>
                <w:sz w:val="22"/>
                <w:szCs w:val="22"/>
              </w:rPr>
              <w:t xml:space="preserve"> – Improving the performance of education and training systems at all levels and increasing participation in tertiary education</w:t>
            </w:r>
          </w:p>
          <w:p w:rsidR="00C46D30" w:rsidRPr="00027EC5" w:rsidRDefault="00C46D30" w:rsidP="00C46D30">
            <w:pPr>
              <w:jc w:val="center"/>
              <w:rPr>
                <w:sz w:val="22"/>
                <w:szCs w:val="22"/>
              </w:rPr>
            </w:pPr>
          </w:p>
        </w:tc>
        <w:tc>
          <w:tcPr>
            <w:tcW w:w="2370" w:type="dxa"/>
            <w:vAlign w:val="center"/>
          </w:tcPr>
          <w:p w:rsidR="00C46D30" w:rsidRPr="00027EC5" w:rsidRDefault="00C46D30" w:rsidP="00C46D30">
            <w:pPr>
              <w:jc w:val="center"/>
              <w:rPr>
                <w:sz w:val="22"/>
                <w:szCs w:val="22"/>
                <w:highlight w:val="yellow"/>
              </w:rPr>
            </w:pPr>
            <w:r w:rsidRPr="00027EC5">
              <w:rPr>
                <w:sz w:val="22"/>
                <w:szCs w:val="22"/>
              </w:rPr>
              <w:t>NT – Reduce the dropout rate to 10% by 2020 (from 11,9% in 2009) and increase the share of the population aged 30-34 having completed tertiary education to at least 46% by 2020 (from 44,7% in 2009)</w:t>
            </w:r>
          </w:p>
        </w:tc>
        <w:tc>
          <w:tcPr>
            <w:tcW w:w="1230" w:type="dxa"/>
            <w:vAlign w:val="center"/>
          </w:tcPr>
          <w:p w:rsidR="00C46D30" w:rsidRPr="00027EC5" w:rsidRDefault="00C46D30" w:rsidP="00C46D30">
            <w:pPr>
              <w:jc w:val="center"/>
              <w:rPr>
                <w:sz w:val="22"/>
                <w:szCs w:val="22"/>
              </w:rPr>
            </w:pPr>
            <w:r w:rsidRPr="00027EC5">
              <w:rPr>
                <w:sz w:val="22"/>
                <w:szCs w:val="22"/>
              </w:rPr>
              <w:t>√</w:t>
            </w:r>
          </w:p>
        </w:tc>
        <w:tc>
          <w:tcPr>
            <w:tcW w:w="1290" w:type="dxa"/>
            <w:vAlign w:val="center"/>
          </w:tcPr>
          <w:p w:rsidR="00C46D30" w:rsidRPr="00027EC5" w:rsidRDefault="00C46D30" w:rsidP="00C46D30">
            <w:pPr>
              <w:jc w:val="center"/>
              <w:rPr>
                <w:sz w:val="22"/>
                <w:szCs w:val="22"/>
              </w:rPr>
            </w:pPr>
            <w:r w:rsidRPr="00027EC5">
              <w:rPr>
                <w:sz w:val="22"/>
                <w:szCs w:val="22"/>
              </w:rPr>
              <w:t>√</w:t>
            </w:r>
          </w:p>
        </w:tc>
        <w:tc>
          <w:tcPr>
            <w:tcW w:w="2550" w:type="dxa"/>
            <w:vAlign w:val="center"/>
          </w:tcPr>
          <w:p w:rsidR="00C46D30" w:rsidRPr="00027EC5" w:rsidRDefault="00C46D30" w:rsidP="00C46D30">
            <w:pPr>
              <w:jc w:val="center"/>
              <w:rPr>
                <w:sz w:val="22"/>
                <w:szCs w:val="22"/>
              </w:rPr>
            </w:pPr>
            <w:r w:rsidRPr="00027EC5">
              <w:rPr>
                <w:sz w:val="22"/>
                <w:szCs w:val="22"/>
              </w:rPr>
              <w:t>Several co-f</w:t>
            </w:r>
            <w:r w:rsidR="007F2C8C">
              <w:rPr>
                <w:sz w:val="22"/>
                <w:szCs w:val="22"/>
              </w:rPr>
              <w:t>inanced</w:t>
            </w:r>
            <w:r w:rsidRPr="00027EC5">
              <w:rPr>
                <w:sz w:val="22"/>
                <w:szCs w:val="22"/>
              </w:rPr>
              <w:t xml:space="preserve"> projects are promoted, such us, the Programme against early school leaving, school failure and delinquency in Zones of Educational Priority (ZEP), Programme for Greek language teaching for migrants and other foreign language speaking residents of Cyprus, Modernization and upgrading of the Apprenticeship System, Enterprise Liaison Offices in Universities, E-learning curricula, Pre-Service Training Programme for Candidate Teachers of Secondary Education and On-going Training Programmes for Teachers, Upgrading the infrastructure of the public tertiary education.</w:t>
            </w:r>
          </w:p>
        </w:tc>
      </w:tr>
      <w:tr w:rsidR="00C46D30" w:rsidRPr="005A3BDF" w:rsidTr="00C46D30">
        <w:trPr>
          <w:trHeight w:val="2429"/>
        </w:trPr>
        <w:tc>
          <w:tcPr>
            <w:tcW w:w="2148" w:type="dxa"/>
            <w:vAlign w:val="center"/>
          </w:tcPr>
          <w:p w:rsidR="00C46D30" w:rsidRPr="00027EC5" w:rsidRDefault="00C46D30" w:rsidP="00C46D30">
            <w:pPr>
              <w:jc w:val="center"/>
              <w:rPr>
                <w:b/>
                <w:sz w:val="22"/>
                <w:szCs w:val="22"/>
                <w:u w:val="single"/>
              </w:rPr>
            </w:pPr>
            <w:r w:rsidRPr="00027EC5">
              <w:rPr>
                <w:b/>
                <w:sz w:val="22"/>
                <w:szCs w:val="22"/>
              </w:rPr>
              <w:t>G 4</w:t>
            </w:r>
            <w:r w:rsidRPr="00027EC5">
              <w:rPr>
                <w:sz w:val="22"/>
                <w:szCs w:val="22"/>
              </w:rPr>
              <w:t xml:space="preserve"> – Optimising support for R&amp;D and innovation, strengthening the knowledge triangle and unleashing the potential of the digital economy</w:t>
            </w:r>
          </w:p>
        </w:tc>
        <w:tc>
          <w:tcPr>
            <w:tcW w:w="2370" w:type="dxa"/>
            <w:vAlign w:val="center"/>
          </w:tcPr>
          <w:p w:rsidR="00C46D30" w:rsidRPr="00027EC5" w:rsidRDefault="00C46D30" w:rsidP="00C46D30">
            <w:pPr>
              <w:ind w:left="252" w:hanging="252"/>
              <w:jc w:val="center"/>
              <w:rPr>
                <w:sz w:val="22"/>
                <w:szCs w:val="22"/>
              </w:rPr>
            </w:pPr>
            <w:r w:rsidRPr="00027EC5">
              <w:rPr>
                <w:sz w:val="22"/>
                <w:szCs w:val="22"/>
              </w:rPr>
              <w:t>NPs:</w:t>
            </w:r>
          </w:p>
          <w:p w:rsidR="00C46D30" w:rsidRPr="00027EC5" w:rsidRDefault="00C46D30" w:rsidP="00C46D30">
            <w:pPr>
              <w:ind w:left="252" w:hanging="252"/>
              <w:jc w:val="center"/>
              <w:rPr>
                <w:sz w:val="22"/>
                <w:szCs w:val="22"/>
              </w:rPr>
            </w:pPr>
            <w:r w:rsidRPr="00027EC5">
              <w:rPr>
                <w:sz w:val="22"/>
                <w:szCs w:val="22"/>
              </w:rPr>
              <w:t>A.</w:t>
            </w:r>
            <w:r w:rsidRPr="00027EC5">
              <w:rPr>
                <w:sz w:val="22"/>
                <w:szCs w:val="22"/>
              </w:rPr>
              <w:tab/>
              <w:t>Driving Cyprus into a Digital Era</w:t>
            </w:r>
          </w:p>
          <w:p w:rsidR="00C46D30" w:rsidRPr="00027EC5" w:rsidRDefault="00C46D30" w:rsidP="00C46D30">
            <w:pPr>
              <w:ind w:left="252" w:hanging="252"/>
              <w:jc w:val="center"/>
              <w:rPr>
                <w:sz w:val="22"/>
                <w:szCs w:val="22"/>
                <w:highlight w:val="yellow"/>
              </w:rPr>
            </w:pPr>
            <w:r w:rsidRPr="00027EC5">
              <w:rPr>
                <w:sz w:val="22"/>
                <w:szCs w:val="22"/>
              </w:rPr>
              <w:t>B.</w:t>
            </w:r>
            <w:r w:rsidRPr="00027EC5">
              <w:rPr>
                <w:sz w:val="22"/>
                <w:szCs w:val="22"/>
              </w:rPr>
              <w:tab/>
              <w:t>Empowering Human Capital</w:t>
            </w:r>
          </w:p>
          <w:p w:rsidR="00C46D30" w:rsidRPr="00027EC5" w:rsidRDefault="00C46D30" w:rsidP="00C46D30">
            <w:pPr>
              <w:ind w:left="252" w:hanging="252"/>
              <w:jc w:val="center"/>
              <w:rPr>
                <w:sz w:val="22"/>
                <w:szCs w:val="22"/>
                <w:highlight w:val="yellow"/>
              </w:rPr>
            </w:pPr>
            <w:r w:rsidRPr="00027EC5">
              <w:rPr>
                <w:sz w:val="22"/>
                <w:szCs w:val="22"/>
              </w:rPr>
              <w:t>C.</w:t>
            </w:r>
            <w:r w:rsidRPr="00027EC5">
              <w:rPr>
                <w:sz w:val="22"/>
                <w:szCs w:val="22"/>
              </w:rPr>
              <w:tab/>
              <w:t>Promotion of Green Culture</w:t>
            </w:r>
          </w:p>
          <w:p w:rsidR="00C46D30" w:rsidRPr="00027EC5" w:rsidRDefault="00C46D30" w:rsidP="00C46D30">
            <w:pPr>
              <w:jc w:val="center"/>
              <w:rPr>
                <w:sz w:val="22"/>
                <w:szCs w:val="22"/>
                <w:highlight w:val="yellow"/>
              </w:rPr>
            </w:pPr>
          </w:p>
        </w:tc>
        <w:tc>
          <w:tcPr>
            <w:tcW w:w="1230" w:type="dxa"/>
            <w:vAlign w:val="center"/>
          </w:tcPr>
          <w:p w:rsidR="00C46D30" w:rsidRPr="00027EC5" w:rsidRDefault="00C46D30" w:rsidP="00C46D30">
            <w:pPr>
              <w:jc w:val="center"/>
              <w:rPr>
                <w:sz w:val="22"/>
                <w:szCs w:val="22"/>
              </w:rPr>
            </w:pPr>
            <w:r w:rsidRPr="00027EC5">
              <w:rPr>
                <w:sz w:val="22"/>
                <w:szCs w:val="22"/>
              </w:rPr>
              <w:t>√</w:t>
            </w:r>
          </w:p>
        </w:tc>
        <w:tc>
          <w:tcPr>
            <w:tcW w:w="1290" w:type="dxa"/>
            <w:vAlign w:val="center"/>
          </w:tcPr>
          <w:p w:rsidR="00C46D30" w:rsidRPr="00027EC5" w:rsidRDefault="00C46D30" w:rsidP="00C46D30">
            <w:pPr>
              <w:jc w:val="center"/>
              <w:rPr>
                <w:sz w:val="22"/>
                <w:szCs w:val="22"/>
              </w:rPr>
            </w:pPr>
          </w:p>
        </w:tc>
        <w:tc>
          <w:tcPr>
            <w:tcW w:w="2550" w:type="dxa"/>
            <w:vAlign w:val="center"/>
          </w:tcPr>
          <w:p w:rsidR="00C46D30" w:rsidRPr="00027EC5" w:rsidRDefault="00C46D30" w:rsidP="00C46D30">
            <w:pPr>
              <w:jc w:val="center"/>
              <w:rPr>
                <w:sz w:val="22"/>
                <w:szCs w:val="22"/>
              </w:rPr>
            </w:pPr>
            <w:r w:rsidRPr="00027EC5">
              <w:rPr>
                <w:sz w:val="22"/>
                <w:szCs w:val="22"/>
              </w:rPr>
              <w:t>Several e-Government measures (e.g. Revision of Information Systems Strategy, Setting up of a Help-Desk System, Development of a Central Government Data Warehouse, Development of a Government Secure Gateway, e-Filing in Companies Registration System) as well as measures aiming at upgrading the infrastructure of public tertiary education (i.e. e-University)</w:t>
            </w:r>
          </w:p>
        </w:tc>
      </w:tr>
      <w:tr w:rsidR="00C46D30" w:rsidRPr="005A3BDF" w:rsidTr="00C46D30">
        <w:tc>
          <w:tcPr>
            <w:tcW w:w="2148" w:type="dxa"/>
            <w:vAlign w:val="center"/>
          </w:tcPr>
          <w:p w:rsidR="00C46D30" w:rsidRPr="00027EC5" w:rsidRDefault="00C46D30" w:rsidP="00C46D30">
            <w:pPr>
              <w:jc w:val="center"/>
              <w:rPr>
                <w:sz w:val="22"/>
                <w:szCs w:val="22"/>
              </w:rPr>
            </w:pPr>
            <w:r w:rsidRPr="00027EC5">
              <w:rPr>
                <w:b/>
                <w:sz w:val="22"/>
                <w:szCs w:val="22"/>
              </w:rPr>
              <w:t>G 5</w:t>
            </w:r>
            <w:r w:rsidRPr="00027EC5">
              <w:rPr>
                <w:sz w:val="22"/>
                <w:szCs w:val="22"/>
              </w:rPr>
              <w:t xml:space="preserve"> – Improving Resource Efficiency and reducing greenhouse gases</w:t>
            </w:r>
          </w:p>
        </w:tc>
        <w:tc>
          <w:tcPr>
            <w:tcW w:w="2370" w:type="dxa"/>
            <w:vAlign w:val="center"/>
          </w:tcPr>
          <w:p w:rsidR="00C46D30" w:rsidRPr="00027EC5" w:rsidRDefault="00C46D30" w:rsidP="00C46D30">
            <w:pPr>
              <w:ind w:left="132"/>
              <w:jc w:val="center"/>
              <w:rPr>
                <w:sz w:val="22"/>
                <w:szCs w:val="22"/>
              </w:rPr>
            </w:pPr>
            <w:r w:rsidRPr="00027EC5">
              <w:rPr>
                <w:sz w:val="22"/>
                <w:szCs w:val="22"/>
              </w:rPr>
              <w:t>NTs:</w:t>
            </w:r>
          </w:p>
          <w:p w:rsidR="00C46D30" w:rsidRPr="00027EC5" w:rsidRDefault="00C46D30" w:rsidP="00A073EF">
            <w:pPr>
              <w:numPr>
                <w:ilvl w:val="0"/>
                <w:numId w:val="76"/>
              </w:numPr>
              <w:tabs>
                <w:tab w:val="clear" w:pos="1572"/>
                <w:tab w:val="num" w:pos="252"/>
              </w:tabs>
              <w:ind w:left="12" w:firstLine="0"/>
              <w:jc w:val="center"/>
              <w:rPr>
                <w:sz w:val="22"/>
                <w:szCs w:val="22"/>
              </w:rPr>
            </w:pPr>
            <w:r w:rsidRPr="00027EC5">
              <w:rPr>
                <w:sz w:val="22"/>
                <w:szCs w:val="22"/>
              </w:rPr>
              <w:t>Achieve an increase of 14,3% (463 ktoe) in energy savings in the projected primary energy consumption of the year 2020.</w:t>
            </w:r>
          </w:p>
          <w:p w:rsidR="00C46D30" w:rsidRPr="00027EC5" w:rsidRDefault="00C46D30" w:rsidP="00A073EF">
            <w:pPr>
              <w:numPr>
                <w:ilvl w:val="0"/>
                <w:numId w:val="76"/>
              </w:numPr>
              <w:tabs>
                <w:tab w:val="clear" w:pos="1572"/>
                <w:tab w:val="num" w:pos="252"/>
              </w:tabs>
              <w:ind w:left="12" w:firstLine="0"/>
              <w:jc w:val="center"/>
              <w:rPr>
                <w:sz w:val="22"/>
                <w:szCs w:val="22"/>
              </w:rPr>
            </w:pPr>
            <w:r w:rsidRPr="00027EC5">
              <w:rPr>
                <w:sz w:val="22"/>
                <w:szCs w:val="22"/>
              </w:rPr>
              <w:t>Reduce greenhouse gas emissions by 21% in the installations included in the Emissions Trading System (ETS) and by 5% for the sectors that are not included in the ETS, (transport, waste, agriculture) by 2020</w:t>
            </w:r>
          </w:p>
          <w:p w:rsidR="00C46D30" w:rsidRPr="00027EC5" w:rsidRDefault="00C46D30" w:rsidP="00A073EF">
            <w:pPr>
              <w:numPr>
                <w:ilvl w:val="0"/>
                <w:numId w:val="76"/>
              </w:numPr>
              <w:tabs>
                <w:tab w:val="clear" w:pos="1572"/>
                <w:tab w:val="num" w:pos="252"/>
              </w:tabs>
              <w:ind w:left="12" w:firstLine="0"/>
              <w:jc w:val="center"/>
              <w:rPr>
                <w:sz w:val="22"/>
                <w:szCs w:val="22"/>
              </w:rPr>
            </w:pPr>
            <w:r w:rsidRPr="00027EC5">
              <w:rPr>
                <w:sz w:val="22"/>
                <w:szCs w:val="22"/>
              </w:rPr>
              <w:t>Increase of the contribution of Renewable Energy Sources (RES) to 13% of the total energy consumption by the year 2020</w:t>
            </w:r>
          </w:p>
        </w:tc>
        <w:tc>
          <w:tcPr>
            <w:tcW w:w="1230" w:type="dxa"/>
            <w:vAlign w:val="center"/>
          </w:tcPr>
          <w:p w:rsidR="00C46D30" w:rsidRPr="00027EC5" w:rsidRDefault="00C46D30" w:rsidP="00C46D30">
            <w:pPr>
              <w:jc w:val="center"/>
              <w:rPr>
                <w:sz w:val="22"/>
                <w:szCs w:val="22"/>
              </w:rPr>
            </w:pPr>
            <w:r w:rsidRPr="00027EC5">
              <w:rPr>
                <w:sz w:val="22"/>
                <w:szCs w:val="22"/>
              </w:rPr>
              <w:t>√</w:t>
            </w:r>
          </w:p>
        </w:tc>
        <w:tc>
          <w:tcPr>
            <w:tcW w:w="1290" w:type="dxa"/>
            <w:vAlign w:val="center"/>
          </w:tcPr>
          <w:p w:rsidR="00C46D30" w:rsidRPr="00027EC5" w:rsidRDefault="00C46D30" w:rsidP="00C46D30">
            <w:pPr>
              <w:jc w:val="center"/>
              <w:rPr>
                <w:sz w:val="22"/>
                <w:szCs w:val="22"/>
              </w:rPr>
            </w:pPr>
          </w:p>
        </w:tc>
        <w:tc>
          <w:tcPr>
            <w:tcW w:w="2550" w:type="dxa"/>
            <w:vAlign w:val="center"/>
          </w:tcPr>
          <w:p w:rsidR="00C46D30" w:rsidRPr="00027EC5" w:rsidRDefault="00C46D30" w:rsidP="00C46D30">
            <w:pPr>
              <w:jc w:val="center"/>
              <w:rPr>
                <w:sz w:val="22"/>
                <w:szCs w:val="22"/>
              </w:rPr>
            </w:pPr>
          </w:p>
          <w:p w:rsidR="00C46D30" w:rsidRPr="00027EC5" w:rsidRDefault="00C46D30" w:rsidP="00C46D30">
            <w:pPr>
              <w:jc w:val="center"/>
              <w:rPr>
                <w:sz w:val="22"/>
                <w:szCs w:val="22"/>
              </w:rPr>
            </w:pPr>
            <w:r w:rsidRPr="00027EC5">
              <w:rPr>
                <w:sz w:val="22"/>
                <w:szCs w:val="22"/>
              </w:rPr>
              <w:t xml:space="preserve">Projects for the installation of photovoltaic systems or solar thermal systems for heating and cooling on public buildings </w:t>
            </w:r>
          </w:p>
        </w:tc>
      </w:tr>
      <w:tr w:rsidR="00C46D30" w:rsidRPr="005A3BDF" w:rsidTr="00C46D30">
        <w:tc>
          <w:tcPr>
            <w:tcW w:w="2148" w:type="dxa"/>
            <w:vAlign w:val="center"/>
          </w:tcPr>
          <w:p w:rsidR="00C46D30" w:rsidRPr="00027EC5" w:rsidRDefault="00C46D30" w:rsidP="00C46D30">
            <w:pPr>
              <w:jc w:val="center"/>
              <w:rPr>
                <w:sz w:val="22"/>
                <w:szCs w:val="22"/>
              </w:rPr>
            </w:pPr>
            <w:r w:rsidRPr="00027EC5">
              <w:rPr>
                <w:b/>
                <w:sz w:val="22"/>
                <w:szCs w:val="22"/>
              </w:rPr>
              <w:t>G 6</w:t>
            </w:r>
            <w:r w:rsidRPr="00027EC5">
              <w:rPr>
                <w:sz w:val="22"/>
                <w:szCs w:val="22"/>
              </w:rPr>
              <w:t xml:space="preserve"> – Improving  the business and consumer environment and modernising the industrial base</w:t>
            </w:r>
          </w:p>
        </w:tc>
        <w:tc>
          <w:tcPr>
            <w:tcW w:w="2370" w:type="dxa"/>
            <w:vAlign w:val="center"/>
          </w:tcPr>
          <w:p w:rsidR="00C46D30" w:rsidRPr="00027EC5" w:rsidRDefault="00C46D30" w:rsidP="00C46D30">
            <w:pPr>
              <w:spacing w:line="264" w:lineRule="auto"/>
              <w:ind w:left="132"/>
              <w:jc w:val="center"/>
              <w:rPr>
                <w:sz w:val="22"/>
                <w:szCs w:val="22"/>
                <w:lang w:val="en-GB"/>
              </w:rPr>
            </w:pPr>
            <w:r w:rsidRPr="00027EC5">
              <w:rPr>
                <w:sz w:val="22"/>
                <w:szCs w:val="22"/>
                <w:lang w:val="en-GB"/>
              </w:rPr>
              <w:t>NTs:</w:t>
            </w:r>
          </w:p>
          <w:p w:rsidR="00C46D30" w:rsidRPr="00027EC5" w:rsidRDefault="00C46D30" w:rsidP="00A073EF">
            <w:pPr>
              <w:numPr>
                <w:ilvl w:val="2"/>
                <w:numId w:val="75"/>
              </w:numPr>
              <w:tabs>
                <w:tab w:val="clear" w:pos="2160"/>
                <w:tab w:val="num" w:pos="132"/>
              </w:tabs>
              <w:spacing w:line="264" w:lineRule="auto"/>
              <w:ind w:left="132" w:firstLine="0"/>
              <w:jc w:val="center"/>
              <w:rPr>
                <w:sz w:val="22"/>
                <w:szCs w:val="22"/>
                <w:lang w:val="en-GB"/>
              </w:rPr>
            </w:pPr>
            <w:r w:rsidRPr="00027EC5">
              <w:rPr>
                <w:sz w:val="22"/>
                <w:szCs w:val="22"/>
                <w:lang w:val="en-GB"/>
              </w:rPr>
              <w:t>The promotion of Cyprus as an attractive regional centre for the provision of high value added services, including in the financial, legal, health and education sectors</w:t>
            </w:r>
          </w:p>
          <w:p w:rsidR="00C46D30" w:rsidRPr="00027EC5" w:rsidRDefault="00C46D30" w:rsidP="00A073EF">
            <w:pPr>
              <w:numPr>
                <w:ilvl w:val="2"/>
                <w:numId w:val="75"/>
              </w:numPr>
              <w:tabs>
                <w:tab w:val="clear" w:pos="2160"/>
                <w:tab w:val="num" w:pos="132"/>
              </w:tabs>
              <w:spacing w:line="264" w:lineRule="auto"/>
              <w:ind w:left="132" w:firstLine="0"/>
              <w:jc w:val="center"/>
              <w:rPr>
                <w:sz w:val="22"/>
                <w:szCs w:val="22"/>
                <w:lang w:val="en-GB"/>
              </w:rPr>
            </w:pPr>
            <w:r w:rsidRPr="00027EC5">
              <w:rPr>
                <w:sz w:val="22"/>
                <w:szCs w:val="22"/>
                <w:lang w:val="en-GB"/>
              </w:rPr>
              <w:t>Strengthening the competitiveness of the economy by “The acceleration of the national productivity improvement rate, so that the total labour productivity reaches the  EU27 average”</w:t>
            </w:r>
          </w:p>
          <w:p w:rsidR="00C46D30" w:rsidRPr="00027EC5" w:rsidRDefault="00C46D30" w:rsidP="00C46D30">
            <w:pPr>
              <w:tabs>
                <w:tab w:val="num" w:pos="132"/>
              </w:tabs>
              <w:ind w:left="132"/>
              <w:jc w:val="center"/>
              <w:rPr>
                <w:sz w:val="22"/>
                <w:szCs w:val="22"/>
                <w:lang w:val="en-GB"/>
              </w:rPr>
            </w:pPr>
            <w:r w:rsidRPr="00027EC5">
              <w:rPr>
                <w:sz w:val="22"/>
                <w:szCs w:val="22"/>
                <w:lang w:val="en-GB"/>
              </w:rPr>
              <w:t>Reduction of the administrative burden on national legislation by 20% by 2012</w:t>
            </w:r>
          </w:p>
        </w:tc>
        <w:tc>
          <w:tcPr>
            <w:tcW w:w="1230" w:type="dxa"/>
            <w:vAlign w:val="center"/>
          </w:tcPr>
          <w:p w:rsidR="00C46D30" w:rsidRPr="00027EC5" w:rsidRDefault="00C46D30" w:rsidP="00C46D30">
            <w:pPr>
              <w:jc w:val="center"/>
              <w:rPr>
                <w:sz w:val="22"/>
                <w:szCs w:val="22"/>
              </w:rPr>
            </w:pPr>
            <w:r w:rsidRPr="00027EC5">
              <w:rPr>
                <w:sz w:val="22"/>
                <w:szCs w:val="22"/>
              </w:rPr>
              <w:t>√</w:t>
            </w:r>
          </w:p>
        </w:tc>
        <w:tc>
          <w:tcPr>
            <w:tcW w:w="1290" w:type="dxa"/>
            <w:vAlign w:val="center"/>
          </w:tcPr>
          <w:p w:rsidR="00C46D30" w:rsidRPr="00027EC5" w:rsidRDefault="00C46D30" w:rsidP="00C46D30">
            <w:pPr>
              <w:jc w:val="center"/>
              <w:rPr>
                <w:sz w:val="22"/>
                <w:szCs w:val="22"/>
              </w:rPr>
            </w:pPr>
            <w:r w:rsidRPr="00027EC5">
              <w:rPr>
                <w:sz w:val="22"/>
                <w:szCs w:val="22"/>
              </w:rPr>
              <w:t>√</w:t>
            </w:r>
          </w:p>
        </w:tc>
        <w:tc>
          <w:tcPr>
            <w:tcW w:w="2550" w:type="dxa"/>
            <w:vAlign w:val="center"/>
          </w:tcPr>
          <w:p w:rsidR="00C46D30" w:rsidRPr="00027EC5" w:rsidRDefault="00C46D30" w:rsidP="00C46D30">
            <w:pPr>
              <w:jc w:val="center"/>
              <w:rPr>
                <w:sz w:val="22"/>
                <w:szCs w:val="22"/>
              </w:rPr>
            </w:pPr>
            <w:r w:rsidRPr="00027EC5">
              <w:rPr>
                <w:sz w:val="22"/>
                <w:szCs w:val="22"/>
              </w:rPr>
              <w:t xml:space="preserve">Several measures co-financed by ERDF aim to support SMEs and enhance the productive environment in Cyprus, such us Grant Scheme for strengthening competitiveness of SMEs in the Manufacturing Sector, Grant Schemes for the enhancement of women and youth entrepreneurship, Enhancing competitiveness of the tourism sector (e.g. promotion of thematic tourism in urban areas – Agrotourism Scheme), Supporting SMEs access to finance through JEREMIE Initiative. </w:t>
            </w:r>
          </w:p>
          <w:p w:rsidR="00C46D30" w:rsidRPr="00027EC5" w:rsidRDefault="00C46D30" w:rsidP="00C46D30">
            <w:pPr>
              <w:jc w:val="center"/>
              <w:rPr>
                <w:sz w:val="22"/>
                <w:szCs w:val="22"/>
              </w:rPr>
            </w:pPr>
            <w:r w:rsidRPr="00027EC5">
              <w:rPr>
                <w:sz w:val="22"/>
                <w:szCs w:val="22"/>
              </w:rPr>
              <w:t>A Scheme to facilitate the shift from low productivity jobs to high productivity jobs, is also promoted with the co-financing of ESF.</w:t>
            </w:r>
          </w:p>
        </w:tc>
      </w:tr>
      <w:tr w:rsidR="00C46D30" w:rsidRPr="005A3BDF" w:rsidTr="00C46D30">
        <w:tc>
          <w:tcPr>
            <w:tcW w:w="2148" w:type="dxa"/>
            <w:vAlign w:val="center"/>
          </w:tcPr>
          <w:p w:rsidR="00C46D30" w:rsidRPr="00027EC5" w:rsidRDefault="00C46D30" w:rsidP="00C46D30">
            <w:pPr>
              <w:jc w:val="center"/>
              <w:rPr>
                <w:sz w:val="22"/>
                <w:szCs w:val="22"/>
              </w:rPr>
            </w:pPr>
            <w:r w:rsidRPr="00027EC5">
              <w:rPr>
                <w:b/>
                <w:sz w:val="22"/>
                <w:szCs w:val="22"/>
              </w:rPr>
              <w:t>G 7</w:t>
            </w:r>
            <w:r w:rsidRPr="00027EC5">
              <w:rPr>
                <w:sz w:val="22"/>
                <w:szCs w:val="22"/>
              </w:rPr>
              <w:t xml:space="preserve"> – Increasing labour market participation and reducing structural unemployment</w:t>
            </w:r>
          </w:p>
          <w:p w:rsidR="00C46D30" w:rsidRPr="00027EC5" w:rsidRDefault="00C46D30" w:rsidP="00C46D30">
            <w:pPr>
              <w:jc w:val="center"/>
              <w:rPr>
                <w:sz w:val="22"/>
                <w:szCs w:val="22"/>
              </w:rPr>
            </w:pPr>
          </w:p>
          <w:p w:rsidR="00C46D30" w:rsidRPr="00027EC5" w:rsidRDefault="00C46D30" w:rsidP="00C46D30">
            <w:pPr>
              <w:jc w:val="center"/>
              <w:rPr>
                <w:sz w:val="22"/>
                <w:szCs w:val="22"/>
              </w:rPr>
            </w:pPr>
            <w:r w:rsidRPr="00027EC5">
              <w:rPr>
                <w:b/>
                <w:sz w:val="22"/>
                <w:szCs w:val="22"/>
              </w:rPr>
              <w:t>G 8</w:t>
            </w:r>
            <w:r w:rsidRPr="00027EC5">
              <w:rPr>
                <w:sz w:val="22"/>
                <w:szCs w:val="22"/>
              </w:rPr>
              <w:t xml:space="preserve"> – Developing a skilled workforce responding to labour market needs, promoting job quality and lifelong learning</w:t>
            </w:r>
          </w:p>
        </w:tc>
        <w:tc>
          <w:tcPr>
            <w:tcW w:w="2370" w:type="dxa"/>
            <w:vAlign w:val="center"/>
          </w:tcPr>
          <w:p w:rsidR="00C46D30" w:rsidRPr="00027EC5" w:rsidRDefault="00C46D30" w:rsidP="00C46D30">
            <w:pPr>
              <w:tabs>
                <w:tab w:val="num" w:pos="132"/>
              </w:tabs>
              <w:ind w:left="132"/>
              <w:jc w:val="center"/>
              <w:rPr>
                <w:sz w:val="22"/>
                <w:szCs w:val="22"/>
              </w:rPr>
            </w:pPr>
            <w:r w:rsidRPr="00027EC5">
              <w:rPr>
                <w:sz w:val="22"/>
                <w:szCs w:val="22"/>
              </w:rPr>
              <w:t>NT: 75% - 77% of the population aged 20–64 should be employed by 2020</w:t>
            </w:r>
          </w:p>
        </w:tc>
        <w:tc>
          <w:tcPr>
            <w:tcW w:w="1230" w:type="dxa"/>
            <w:vAlign w:val="center"/>
          </w:tcPr>
          <w:p w:rsidR="00C46D30" w:rsidRPr="00027EC5" w:rsidRDefault="00C46D30" w:rsidP="00C46D30">
            <w:pPr>
              <w:jc w:val="center"/>
              <w:rPr>
                <w:sz w:val="22"/>
                <w:szCs w:val="22"/>
              </w:rPr>
            </w:pPr>
            <w:r w:rsidRPr="00027EC5">
              <w:rPr>
                <w:sz w:val="22"/>
                <w:szCs w:val="22"/>
              </w:rPr>
              <w:t>√</w:t>
            </w:r>
          </w:p>
        </w:tc>
        <w:tc>
          <w:tcPr>
            <w:tcW w:w="1290" w:type="dxa"/>
            <w:vAlign w:val="center"/>
          </w:tcPr>
          <w:p w:rsidR="00C46D30" w:rsidRPr="00027EC5" w:rsidRDefault="00C46D30" w:rsidP="00C46D30">
            <w:pPr>
              <w:jc w:val="center"/>
              <w:rPr>
                <w:sz w:val="22"/>
                <w:szCs w:val="22"/>
              </w:rPr>
            </w:pPr>
            <w:r w:rsidRPr="00027EC5">
              <w:rPr>
                <w:sz w:val="22"/>
                <w:szCs w:val="22"/>
              </w:rPr>
              <w:t>√</w:t>
            </w:r>
          </w:p>
        </w:tc>
        <w:tc>
          <w:tcPr>
            <w:tcW w:w="2550" w:type="dxa"/>
            <w:vAlign w:val="center"/>
          </w:tcPr>
          <w:p w:rsidR="00C46D30" w:rsidRPr="00027EC5" w:rsidRDefault="00C46D30" w:rsidP="00C46D30">
            <w:pPr>
              <w:jc w:val="center"/>
              <w:rPr>
                <w:sz w:val="22"/>
                <w:szCs w:val="22"/>
              </w:rPr>
            </w:pPr>
            <w:r w:rsidRPr="00027EC5">
              <w:rPr>
                <w:sz w:val="22"/>
                <w:szCs w:val="22"/>
              </w:rPr>
              <w:t xml:space="preserve">Several ESF projects contribute to this purpose, through measures aiming at the enhancement of employment services and training structures, improving the link between education and employment, attracting people in the labour market through flexible forms of employment, training of unemployed, grant schemes for unemployed and other vulnerable groups of population, facilitating women to enter or re-enter the labor market etc. </w:t>
            </w:r>
          </w:p>
          <w:p w:rsidR="00C46D30" w:rsidRPr="00027EC5" w:rsidRDefault="00C46D30" w:rsidP="00C46D30">
            <w:pPr>
              <w:jc w:val="center"/>
              <w:rPr>
                <w:sz w:val="22"/>
                <w:szCs w:val="22"/>
              </w:rPr>
            </w:pPr>
            <w:r w:rsidRPr="00027EC5">
              <w:rPr>
                <w:sz w:val="22"/>
                <w:szCs w:val="22"/>
              </w:rPr>
              <w:t>ERDF projects also work towards increasing job creation and competiveness of enterprises, as well as supporting women and youth entrepreneurship.</w:t>
            </w:r>
          </w:p>
        </w:tc>
      </w:tr>
      <w:tr w:rsidR="00C46D30" w:rsidRPr="005A3BDF" w:rsidTr="00C46D30">
        <w:tc>
          <w:tcPr>
            <w:tcW w:w="2148" w:type="dxa"/>
            <w:tcBorders>
              <w:bottom w:val="single" w:sz="4" w:space="0" w:color="auto"/>
            </w:tcBorders>
            <w:vAlign w:val="center"/>
          </w:tcPr>
          <w:p w:rsidR="00C46D30" w:rsidRPr="00027EC5" w:rsidRDefault="00C46D30" w:rsidP="00C46D30">
            <w:pPr>
              <w:jc w:val="center"/>
              <w:rPr>
                <w:sz w:val="22"/>
                <w:szCs w:val="22"/>
              </w:rPr>
            </w:pPr>
            <w:r w:rsidRPr="00027EC5">
              <w:rPr>
                <w:b/>
                <w:sz w:val="22"/>
                <w:szCs w:val="22"/>
              </w:rPr>
              <w:t>G 10</w:t>
            </w:r>
            <w:r w:rsidRPr="00027EC5">
              <w:rPr>
                <w:sz w:val="22"/>
                <w:szCs w:val="22"/>
              </w:rPr>
              <w:t xml:space="preserve"> – Promoting social inclusion and combating poverty</w:t>
            </w:r>
          </w:p>
        </w:tc>
        <w:tc>
          <w:tcPr>
            <w:tcW w:w="2370" w:type="dxa"/>
            <w:tcBorders>
              <w:bottom w:val="single" w:sz="4" w:space="0" w:color="auto"/>
            </w:tcBorders>
            <w:vAlign w:val="center"/>
          </w:tcPr>
          <w:p w:rsidR="00C46D30" w:rsidRPr="00027EC5" w:rsidRDefault="00C46D30" w:rsidP="00C46D30">
            <w:pPr>
              <w:tabs>
                <w:tab w:val="num" w:pos="132"/>
              </w:tabs>
              <w:ind w:left="132"/>
              <w:jc w:val="center"/>
              <w:rPr>
                <w:sz w:val="22"/>
                <w:szCs w:val="22"/>
              </w:rPr>
            </w:pPr>
            <w:r w:rsidRPr="00027EC5">
              <w:rPr>
                <w:sz w:val="22"/>
                <w:szCs w:val="22"/>
              </w:rPr>
              <w:t>NT: Reduce the number of people at risk of poverty and social exclusion  by 27.000 people or decrease the percentage of people at risk-of-poverty and social exclusion from 22,4% to 19,3% by 2020</w:t>
            </w:r>
          </w:p>
        </w:tc>
        <w:tc>
          <w:tcPr>
            <w:tcW w:w="1230" w:type="dxa"/>
            <w:tcBorders>
              <w:bottom w:val="single" w:sz="4" w:space="0" w:color="auto"/>
            </w:tcBorders>
            <w:vAlign w:val="center"/>
          </w:tcPr>
          <w:p w:rsidR="00C46D30" w:rsidRPr="00027EC5" w:rsidRDefault="00C46D30" w:rsidP="00C46D30">
            <w:pPr>
              <w:jc w:val="center"/>
              <w:rPr>
                <w:sz w:val="22"/>
                <w:szCs w:val="22"/>
              </w:rPr>
            </w:pPr>
          </w:p>
        </w:tc>
        <w:tc>
          <w:tcPr>
            <w:tcW w:w="1290" w:type="dxa"/>
            <w:tcBorders>
              <w:bottom w:val="single" w:sz="4" w:space="0" w:color="auto"/>
            </w:tcBorders>
            <w:vAlign w:val="center"/>
          </w:tcPr>
          <w:p w:rsidR="00C46D30" w:rsidRPr="00027EC5" w:rsidRDefault="00C46D30" w:rsidP="00C46D30">
            <w:pPr>
              <w:jc w:val="center"/>
              <w:rPr>
                <w:sz w:val="22"/>
                <w:szCs w:val="22"/>
              </w:rPr>
            </w:pPr>
            <w:r w:rsidRPr="00027EC5">
              <w:rPr>
                <w:sz w:val="22"/>
                <w:szCs w:val="22"/>
              </w:rPr>
              <w:t>√</w:t>
            </w:r>
          </w:p>
        </w:tc>
        <w:tc>
          <w:tcPr>
            <w:tcW w:w="2550" w:type="dxa"/>
            <w:tcBorders>
              <w:bottom w:val="single" w:sz="4" w:space="0" w:color="auto"/>
            </w:tcBorders>
            <w:vAlign w:val="center"/>
          </w:tcPr>
          <w:p w:rsidR="00C46D30" w:rsidRPr="00027EC5" w:rsidRDefault="00C46D30" w:rsidP="00C46D30">
            <w:pPr>
              <w:jc w:val="center"/>
              <w:rPr>
                <w:sz w:val="22"/>
                <w:szCs w:val="22"/>
              </w:rPr>
            </w:pPr>
            <w:r w:rsidRPr="00027EC5">
              <w:rPr>
                <w:sz w:val="22"/>
                <w:szCs w:val="22"/>
              </w:rPr>
              <w:t xml:space="preserve">Incentive schemes promoting the employment of unemployed people with disabilities, </w:t>
            </w:r>
            <w:r w:rsidR="00643096">
              <w:rPr>
                <w:sz w:val="22"/>
                <w:szCs w:val="22"/>
              </w:rPr>
              <w:t>s</w:t>
            </w:r>
            <w:r w:rsidRPr="00027EC5">
              <w:rPr>
                <w:sz w:val="22"/>
                <w:szCs w:val="22"/>
              </w:rPr>
              <w:t xml:space="preserve">cheme providing incentives for the employment of vulnerable groups of population, like disadvantaged individuals, in the private sector and </w:t>
            </w:r>
            <w:r w:rsidR="00643096">
              <w:rPr>
                <w:sz w:val="22"/>
                <w:szCs w:val="22"/>
              </w:rPr>
              <w:t>l</w:t>
            </w:r>
            <w:r w:rsidRPr="00027EC5">
              <w:rPr>
                <w:sz w:val="22"/>
                <w:szCs w:val="22"/>
              </w:rPr>
              <w:t xml:space="preserve">ocal </w:t>
            </w:r>
            <w:r w:rsidR="00643096">
              <w:rPr>
                <w:sz w:val="22"/>
                <w:szCs w:val="22"/>
              </w:rPr>
              <w:t>a</w:t>
            </w:r>
            <w:r w:rsidRPr="00027EC5">
              <w:rPr>
                <w:sz w:val="22"/>
                <w:szCs w:val="22"/>
              </w:rPr>
              <w:t>uthorities</w:t>
            </w:r>
          </w:p>
        </w:tc>
      </w:tr>
    </w:tbl>
    <w:p w:rsidR="006B7AA3" w:rsidRDefault="006B7AA3" w:rsidP="004E6645">
      <w:pPr>
        <w:jc w:val="both"/>
        <w:rPr>
          <w:highlight w:val="green"/>
        </w:rPr>
      </w:pPr>
    </w:p>
    <w:sectPr w:rsidR="006B7AA3" w:rsidSect="008B5FDA">
      <w:type w:val="continuous"/>
      <w:pgSz w:w="12240" w:h="15840"/>
      <w:pgMar w:top="1418"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59" w:rsidRDefault="001C6059" w:rsidP="00852B60">
      <w:r>
        <w:separator/>
      </w:r>
    </w:p>
  </w:endnote>
  <w:endnote w:type="continuationSeparator" w:id="1">
    <w:p w:rsidR="001C6059" w:rsidRDefault="001C6059" w:rsidP="00852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0B2496" w:rsidP="000F0134">
    <w:pPr>
      <w:pStyle w:val="Footer"/>
      <w:framePr w:wrap="around" w:vAnchor="text" w:hAnchor="margin" w:xAlign="center" w:y="1"/>
      <w:rPr>
        <w:rStyle w:val="PageNumber"/>
      </w:rPr>
    </w:pPr>
    <w:r>
      <w:rPr>
        <w:rStyle w:val="PageNumber"/>
      </w:rPr>
      <w:fldChar w:fldCharType="begin"/>
    </w:r>
    <w:r w:rsidR="00D46414">
      <w:rPr>
        <w:rStyle w:val="PageNumber"/>
      </w:rPr>
      <w:instrText xml:space="preserve">PAGE  </w:instrText>
    </w:r>
    <w:r>
      <w:rPr>
        <w:rStyle w:val="PageNumber"/>
      </w:rPr>
      <w:fldChar w:fldCharType="separate"/>
    </w:r>
    <w:r w:rsidR="00D46414">
      <w:rPr>
        <w:rStyle w:val="PageNumber"/>
        <w:noProof/>
      </w:rPr>
      <w:t>2</w:t>
    </w:r>
    <w:r>
      <w:rPr>
        <w:rStyle w:val="PageNumber"/>
      </w:rPr>
      <w:fldChar w:fldCharType="end"/>
    </w:r>
  </w:p>
  <w:p w:rsidR="00D46414" w:rsidRDefault="00D46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516084">
    <w:pPr>
      <w:pStyle w:val="Footer"/>
      <w:tabs>
        <w:tab w:val="clear" w:pos="4320"/>
        <w:tab w:val="clear" w:pos="8640"/>
        <w:tab w:val="left" w:pos="369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8119"/>
      <w:docPartObj>
        <w:docPartGallery w:val="Page Numbers (Bottom of Page)"/>
        <w:docPartUnique/>
      </w:docPartObj>
    </w:sdtPr>
    <w:sdtContent>
      <w:p w:rsidR="00D46414" w:rsidRDefault="000B2496">
        <w:pPr>
          <w:pStyle w:val="Footer"/>
          <w:jc w:val="center"/>
        </w:pPr>
        <w:fldSimple w:instr=" PAGE   \* MERGEFORMAT ">
          <w:r w:rsidR="009B5382">
            <w:rPr>
              <w:noProof/>
            </w:rPr>
            <w:t>47</w:t>
          </w:r>
        </w:fldSimple>
      </w:p>
    </w:sdtContent>
  </w:sdt>
  <w:p w:rsidR="00D46414" w:rsidRDefault="00D4641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6871"/>
      <w:docPartObj>
        <w:docPartGallery w:val="Page Numbers (Bottom of Page)"/>
        <w:docPartUnique/>
      </w:docPartObj>
    </w:sdtPr>
    <w:sdtContent>
      <w:p w:rsidR="00D46414" w:rsidRDefault="000B2496">
        <w:pPr>
          <w:pStyle w:val="Footer"/>
          <w:jc w:val="center"/>
        </w:pPr>
        <w:fldSimple w:instr=" PAGE   \* MERGEFORMAT ">
          <w:r w:rsidR="009B5382">
            <w:rPr>
              <w:noProof/>
            </w:rPr>
            <w:t>37</w:t>
          </w:r>
        </w:fldSimple>
      </w:p>
    </w:sdtContent>
  </w:sdt>
  <w:p w:rsidR="00D46414" w:rsidRDefault="00D46414" w:rsidP="00516084">
    <w:pPr>
      <w:pStyle w:val="Footer"/>
      <w:tabs>
        <w:tab w:val="clear" w:pos="4320"/>
        <w:tab w:val="clear" w:pos="8640"/>
        <w:tab w:val="left" w:pos="369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59" w:rsidRDefault="001C6059" w:rsidP="00852B60">
      <w:r>
        <w:separator/>
      </w:r>
    </w:p>
  </w:footnote>
  <w:footnote w:type="continuationSeparator" w:id="1">
    <w:p w:rsidR="001C6059" w:rsidRDefault="001C6059" w:rsidP="00852B60">
      <w:r>
        <w:continuationSeparator/>
      </w:r>
    </w:p>
  </w:footnote>
  <w:footnote w:id="2">
    <w:p w:rsidR="00D46414" w:rsidRPr="00D95248" w:rsidRDefault="00D46414" w:rsidP="005B39D1">
      <w:pPr>
        <w:autoSpaceDE w:val="0"/>
        <w:autoSpaceDN w:val="0"/>
        <w:adjustRightInd w:val="0"/>
        <w:spacing w:line="276" w:lineRule="auto"/>
        <w:rPr>
          <w:rFonts w:ascii="Calibri" w:eastAsia="SimSun" w:hAnsi="Calibri"/>
          <w:sz w:val="22"/>
          <w:lang w:eastAsia="zh-CN"/>
        </w:rPr>
      </w:pPr>
      <w:r>
        <w:rPr>
          <w:rStyle w:val="FootnoteReference"/>
        </w:rPr>
        <w:footnoteRef/>
      </w:r>
      <w:r>
        <w:t xml:space="preserve"> </w:t>
      </w:r>
      <w:bookmarkStart w:id="57" w:name="_Ref289344842"/>
      <w:r w:rsidRPr="00D95248">
        <w:rPr>
          <w:rFonts w:eastAsia="SimSun"/>
          <w:sz w:val="20"/>
          <w:szCs w:val="20"/>
          <w:lang w:eastAsia="zh-CN"/>
        </w:rPr>
        <w:t>Digiti</w:t>
      </w:r>
      <w:r>
        <w:rPr>
          <w:rFonts w:eastAsia="SimSun"/>
          <w:sz w:val="20"/>
          <w:szCs w:val="20"/>
          <w:lang w:eastAsia="zh-CN"/>
        </w:rPr>
        <w:t>s</w:t>
      </w:r>
      <w:r w:rsidRPr="00D95248">
        <w:rPr>
          <w:rFonts w:eastAsia="SimSun"/>
          <w:sz w:val="20"/>
          <w:szCs w:val="20"/>
          <w:lang w:eastAsia="zh-CN"/>
        </w:rPr>
        <w:t>ing Public Services in Europe: Putting ambition into action, 9th Benchmark Measurement, December 2010</w:t>
      </w:r>
      <w:bookmarkEnd w:id="57"/>
    </w:p>
    <w:p w:rsidR="00D46414" w:rsidRPr="00D95248" w:rsidRDefault="00D46414" w:rsidP="005B39D1">
      <w:pPr>
        <w:pStyle w:val="FootnoteText"/>
        <w:rPr>
          <w:lang w:val="en-US"/>
        </w:rPr>
      </w:pPr>
    </w:p>
  </w:footnote>
  <w:footnote w:id="3">
    <w:p w:rsidR="00D46414" w:rsidRPr="001406A8" w:rsidRDefault="00D46414" w:rsidP="001406A8">
      <w:pPr>
        <w:pStyle w:val="FootnoteText"/>
        <w:ind w:left="0"/>
        <w:rPr>
          <w:rFonts w:ascii="Times New Roman" w:hAnsi="Times New Roman" w:cs="Times New Roman"/>
          <w:u w:val="none"/>
          <w:lang w:val="en-US"/>
        </w:rPr>
      </w:pPr>
      <w:r w:rsidRPr="001406A8">
        <w:rPr>
          <w:rStyle w:val="FootnoteReference"/>
          <w:rFonts w:ascii="Times New Roman" w:hAnsi="Times New Roman" w:cs="Times New Roman"/>
          <w:u w:val="none"/>
        </w:rPr>
        <w:footnoteRef/>
      </w:r>
      <w:r w:rsidRPr="001406A8">
        <w:rPr>
          <w:rFonts w:ascii="Times New Roman" w:hAnsi="Times New Roman" w:cs="Times New Roman"/>
          <w:u w:val="none"/>
          <w:lang w:val="en-US"/>
        </w:rPr>
        <w:t xml:space="preserve"> </w:t>
      </w:r>
      <w:r w:rsidRPr="001406A8">
        <w:rPr>
          <w:rFonts w:ascii="Times New Roman" w:hAnsi="Times New Roman" w:cs="Times New Roman"/>
          <w:u w:val="none"/>
          <w:lang w:val="en-US" w:eastAsia="el-GR"/>
        </w:rPr>
        <w:t>COCOM (COCOM10-29) Broadband access in the EU: situation at 1 July 2010</w:t>
      </w:r>
    </w:p>
  </w:footnote>
  <w:footnote w:id="4">
    <w:p w:rsidR="00D46414" w:rsidRPr="001406A8" w:rsidRDefault="00D46414" w:rsidP="001406A8">
      <w:pPr>
        <w:pStyle w:val="FootnoteText"/>
        <w:ind w:left="0"/>
        <w:rPr>
          <w:rFonts w:ascii="Times New Roman" w:hAnsi="Times New Roman" w:cs="Times New Roman"/>
          <w:u w:val="none"/>
          <w:lang w:val="en-US"/>
        </w:rPr>
      </w:pPr>
      <w:r w:rsidRPr="001406A8">
        <w:rPr>
          <w:rStyle w:val="FootnoteReference"/>
          <w:rFonts w:ascii="Times New Roman" w:hAnsi="Times New Roman" w:cs="Times New Roman"/>
          <w:u w:val="none"/>
        </w:rPr>
        <w:footnoteRef/>
      </w:r>
      <w:r w:rsidRPr="001406A8">
        <w:rPr>
          <w:rFonts w:ascii="Times New Roman" w:hAnsi="Times New Roman" w:cs="Times New Roman"/>
          <w:u w:val="none"/>
          <w:lang w:val="en-US"/>
        </w:rPr>
        <w:t xml:space="preserve"> These a</w:t>
      </w:r>
      <w:r>
        <w:rPr>
          <w:rFonts w:ascii="Times New Roman" w:hAnsi="Times New Roman" w:cs="Times New Roman"/>
          <w:u w:val="none"/>
          <w:lang w:val="en-US"/>
        </w:rPr>
        <w:t>ctions may change as the draft S</w:t>
      </w:r>
      <w:r w:rsidRPr="001406A8">
        <w:rPr>
          <w:rFonts w:ascii="Times New Roman" w:hAnsi="Times New Roman" w:cs="Times New Roman"/>
          <w:u w:val="none"/>
          <w:lang w:val="en-US"/>
        </w:rPr>
        <w:t xml:space="preserve">trategy goes through the approval process.  </w:t>
      </w:r>
    </w:p>
  </w:footnote>
  <w:footnote w:id="5">
    <w:p w:rsidR="00D46414" w:rsidRPr="00C72628" w:rsidRDefault="00D46414" w:rsidP="00852B60">
      <w:pPr>
        <w:pStyle w:val="FootnoteText"/>
        <w:ind w:left="0"/>
        <w:rPr>
          <w:lang w:val="en-US"/>
        </w:rPr>
      </w:pPr>
      <w:r w:rsidRPr="001F70B1">
        <w:rPr>
          <w:rStyle w:val="FootnoteReference"/>
          <w:u w:val="none"/>
        </w:rPr>
        <w:footnoteRef/>
      </w:r>
      <w:r w:rsidRPr="001F70B1">
        <w:rPr>
          <w:u w:val="none"/>
          <w:lang w:val="en-US"/>
        </w:rPr>
        <w:t xml:space="preserve"> </w:t>
      </w:r>
      <w:r w:rsidRPr="001F70B1">
        <w:rPr>
          <w:rFonts w:ascii="Times New Roman" w:hAnsi="Times New Roman" w:cs="Times New Roman"/>
          <w:u w:val="none"/>
          <w:lang w:val="en-US"/>
        </w:rPr>
        <w:t xml:space="preserve">Data from </w:t>
      </w:r>
      <w:r>
        <w:rPr>
          <w:rFonts w:ascii="Times New Roman" w:hAnsi="Times New Roman" w:cs="Times New Roman"/>
          <w:u w:val="none"/>
          <w:lang w:val="en-US"/>
        </w:rPr>
        <w:t>“</w:t>
      </w:r>
      <w:r w:rsidRPr="001F70B1">
        <w:rPr>
          <w:rFonts w:ascii="Times New Roman" w:hAnsi="Times New Roman" w:cs="Times New Roman"/>
          <w:u w:val="none"/>
          <w:lang w:val="en-US"/>
        </w:rPr>
        <w:t>the Lisbon  Review 2006” &amp; 2010 of the World Economic Forum</w:t>
      </w:r>
    </w:p>
  </w:footnote>
  <w:footnote w:id="6">
    <w:p w:rsidR="00D46414" w:rsidRDefault="00D46414" w:rsidP="006246DD">
      <w:pPr>
        <w:pStyle w:val="FootnoteText"/>
        <w:spacing w:line="240" w:lineRule="auto"/>
        <w:ind w:left="0"/>
        <w:rPr>
          <w:rFonts w:ascii="Times New Roman" w:hAnsi="Times New Roman" w:cs="Times New Roman"/>
          <w:lang w:val="en-US"/>
        </w:rPr>
      </w:pPr>
      <w:r w:rsidRPr="00875E99">
        <w:rPr>
          <w:rStyle w:val="FootnoteReference"/>
          <w:rFonts w:ascii="Times New Roman" w:hAnsi="Times New Roman" w:cs="Times New Roman"/>
        </w:rPr>
        <w:footnoteRef/>
      </w:r>
      <w:r w:rsidRPr="00875E99">
        <w:rPr>
          <w:rFonts w:ascii="Times New Roman" w:hAnsi="Times New Roman" w:cs="Times New Roman"/>
          <w:u w:val="none"/>
          <w:lang w:val="en-GB"/>
        </w:rPr>
        <w:t xml:space="preserve"> 2008: 17</w:t>
      </w:r>
      <w:r>
        <w:rPr>
          <w:rFonts w:ascii="Times New Roman" w:hAnsi="Times New Roman" w:cs="Times New Roman"/>
          <w:u w:val="none"/>
          <w:lang w:val="en-GB"/>
        </w:rPr>
        <w:t>4</w:t>
      </w:r>
      <w:r w:rsidRPr="00200631">
        <w:rPr>
          <w:rFonts w:ascii="Times New Roman" w:hAnsi="Times New Roman" w:cs="Times New Roman"/>
          <w:u w:val="none"/>
          <w:lang w:val="en-GB"/>
        </w:rPr>
        <w:t xml:space="preserve">.000 </w:t>
      </w:r>
      <w:r>
        <w:rPr>
          <w:rFonts w:ascii="Times New Roman" w:hAnsi="Times New Roman" w:cs="Times New Roman"/>
          <w:u w:val="none"/>
          <w:lang w:val="en-GB"/>
        </w:rPr>
        <w:t>persons</w:t>
      </w:r>
      <w:r w:rsidRPr="00875E99">
        <w:rPr>
          <w:rFonts w:ascii="Times New Roman" w:hAnsi="Times New Roman" w:cs="Times New Roman"/>
          <w:u w:val="none"/>
          <w:lang w:val="en-GB"/>
        </w:rPr>
        <w:t xml:space="preserve">, </w:t>
      </w:r>
      <w:r w:rsidRPr="00875E99">
        <w:rPr>
          <w:rFonts w:ascii="Times New Roman" w:hAnsi="Times New Roman" w:cs="Times New Roman"/>
          <w:u w:val="none"/>
          <w:lang w:val="en-US"/>
        </w:rPr>
        <w:t xml:space="preserve">or </w:t>
      </w:r>
      <w:r w:rsidRPr="00875E99">
        <w:rPr>
          <w:rFonts w:ascii="Times New Roman" w:hAnsi="Times New Roman" w:cs="Times New Roman"/>
          <w:u w:val="none"/>
          <w:lang w:val="en-GB"/>
        </w:rPr>
        <w:t>22,4% of the population,</w:t>
      </w:r>
      <w:r w:rsidRPr="00875E99">
        <w:rPr>
          <w:rFonts w:ascii="Times New Roman" w:hAnsi="Times New Roman" w:cs="Times New Roman"/>
          <w:u w:val="none"/>
          <w:lang w:val="en-US"/>
        </w:rPr>
        <w:t xml:space="preserve"> were at</w:t>
      </w:r>
      <w:r>
        <w:rPr>
          <w:rFonts w:ascii="Times New Roman" w:hAnsi="Times New Roman" w:cs="Times New Roman"/>
          <w:u w:val="none"/>
          <w:lang w:val="en-US"/>
        </w:rPr>
        <w:t>-</w:t>
      </w:r>
      <w:r w:rsidRPr="00875E99">
        <w:rPr>
          <w:rFonts w:ascii="Times New Roman" w:hAnsi="Times New Roman" w:cs="Times New Roman"/>
          <w:u w:val="none"/>
          <w:lang w:val="en-US"/>
        </w:rPr>
        <w:t>risk</w:t>
      </w:r>
      <w:r>
        <w:rPr>
          <w:rFonts w:ascii="Times New Roman" w:hAnsi="Times New Roman" w:cs="Times New Roman"/>
          <w:u w:val="none"/>
          <w:lang w:val="en-US"/>
        </w:rPr>
        <w:t>-</w:t>
      </w:r>
      <w:r w:rsidRPr="00875E99">
        <w:rPr>
          <w:rFonts w:ascii="Times New Roman" w:hAnsi="Times New Roman" w:cs="Times New Roman"/>
          <w:u w:val="none"/>
          <w:lang w:val="en-US"/>
        </w:rPr>
        <w:t>of</w:t>
      </w:r>
      <w:r>
        <w:rPr>
          <w:rFonts w:ascii="Times New Roman" w:hAnsi="Times New Roman" w:cs="Times New Roman"/>
          <w:u w:val="none"/>
          <w:lang w:val="en-US"/>
        </w:rPr>
        <w:t>-</w:t>
      </w:r>
      <w:r w:rsidRPr="00875E99">
        <w:rPr>
          <w:rFonts w:ascii="Times New Roman" w:hAnsi="Times New Roman" w:cs="Times New Roman"/>
          <w:u w:val="none"/>
          <w:lang w:val="en-US"/>
        </w:rPr>
        <w:t>poverty and social exclusion</w:t>
      </w:r>
      <w:r>
        <w:rPr>
          <w:rFonts w:ascii="Times New Roman" w:hAnsi="Times New Roman" w:cs="Times New Roman"/>
          <w:u w:val="none"/>
          <w:lang w:val="en-US"/>
        </w:rPr>
        <w:t>.</w:t>
      </w:r>
    </w:p>
  </w:footnote>
  <w:footnote w:id="7">
    <w:p w:rsidR="00D46414" w:rsidRPr="00736144" w:rsidRDefault="00D46414" w:rsidP="006246DD">
      <w:pPr>
        <w:pStyle w:val="FootnoteText"/>
        <w:spacing w:line="240" w:lineRule="auto"/>
        <w:ind w:left="0"/>
        <w:rPr>
          <w:u w:val="none"/>
          <w:lang w:val="en-US"/>
        </w:rPr>
      </w:pPr>
      <w:r w:rsidRPr="00736144">
        <w:rPr>
          <w:rStyle w:val="FootnoteReference"/>
        </w:rPr>
        <w:footnoteRef/>
      </w:r>
      <w:r w:rsidRPr="00736144">
        <w:rPr>
          <w:u w:val="none"/>
          <w:lang w:val="en-US"/>
        </w:rPr>
        <w:t xml:space="preserve"> </w:t>
      </w:r>
      <w:r w:rsidRPr="00736144">
        <w:rPr>
          <w:rFonts w:ascii="Times New Roman" w:hAnsi="Times New Roman" w:cs="Times New Roman"/>
          <w:u w:val="none"/>
          <w:lang w:val="en-US"/>
        </w:rPr>
        <w:t>It should be note</w:t>
      </w:r>
      <w:r>
        <w:rPr>
          <w:rFonts w:ascii="Times New Roman" w:hAnsi="Times New Roman" w:cs="Times New Roman"/>
          <w:u w:val="none"/>
          <w:lang w:val="en-US"/>
        </w:rPr>
        <w:t xml:space="preserve">d that the main indicator (at-risk-of-poverty and social exclusion) refers to the union of the 3 sub indicators (at-risk-of-poverty, people living in conditions of severe material deprivation and in low work intensity households). Thus, for the purposes of the main indicator a person who may be presented in the statistics in more than one sub-indicator is only counted once. </w:t>
      </w:r>
    </w:p>
  </w:footnote>
  <w:footnote w:id="8">
    <w:p w:rsidR="00D46414" w:rsidRDefault="00D46414" w:rsidP="006246DD">
      <w:pPr>
        <w:pStyle w:val="FootnoteText"/>
        <w:spacing w:line="240" w:lineRule="auto"/>
        <w:ind w:left="0"/>
        <w:rPr>
          <w:rFonts w:ascii="Times New Roman" w:hAnsi="Times New Roman" w:cs="Times New Roman"/>
          <w:u w:val="none"/>
          <w:lang w:val="en-US"/>
        </w:rPr>
      </w:pPr>
      <w:r w:rsidRPr="00B25888">
        <w:rPr>
          <w:rStyle w:val="FootnoteReference"/>
          <w:rFonts w:ascii="Times New Roman" w:hAnsi="Times New Roman" w:cs="Times New Roman"/>
        </w:rPr>
        <w:footnoteRef/>
      </w:r>
      <w:r w:rsidRPr="00B25888">
        <w:rPr>
          <w:rFonts w:ascii="Times New Roman" w:hAnsi="Times New Roman" w:cs="Times New Roman"/>
          <w:u w:val="none"/>
          <w:lang w:val="en-US"/>
        </w:rPr>
        <w:t xml:space="preserve"> </w:t>
      </w:r>
      <w:r w:rsidRPr="000823B7">
        <w:rPr>
          <w:rFonts w:ascii="Times New Roman" w:hAnsi="Times New Roman" w:cs="Times New Roman"/>
          <w:color w:val="000000"/>
          <w:u w:val="none"/>
          <w:lang w:val="en-US"/>
        </w:rPr>
        <w:t>The collection "material deprivation" covers indicators relating to economic strain, durables, housing and environment of the dwelling. Severely materially deprived persons have living conditions severely constrained by a lack of resources, they experience at least 4 out of 9 following deprivations items: cannot afford i) to pay rent or utility bills, ii) keep home adequately warm, iii) face unexpected expenses, iv) eat meat, fish or a protein equivalent every second day, v) a week holiday away from home, vi) a car, vii) a washing machine, viii) a colour TV, or ix) a telephone.</w:t>
      </w:r>
    </w:p>
  </w:footnote>
  <w:footnote w:id="9">
    <w:p w:rsidR="00D46414" w:rsidRDefault="00D46414" w:rsidP="006246DD">
      <w:pPr>
        <w:pStyle w:val="FootnoteText"/>
        <w:spacing w:line="240" w:lineRule="auto"/>
        <w:ind w:left="0"/>
        <w:rPr>
          <w:u w:val="none"/>
          <w:lang w:val="en-GB"/>
        </w:rPr>
      </w:pPr>
      <w:r>
        <w:rPr>
          <w:rStyle w:val="FootnoteReference"/>
        </w:rPr>
        <w:footnoteRef/>
      </w:r>
      <w:r>
        <w:rPr>
          <w:rFonts w:ascii="Times New Roman" w:hAnsi="Times New Roman" w:cs="Times New Roman"/>
          <w:color w:val="000000"/>
          <w:u w:val="none"/>
          <w:lang w:val="en-US"/>
        </w:rPr>
        <w:t xml:space="preserve"> </w:t>
      </w:r>
      <w:r w:rsidRPr="000823B7">
        <w:rPr>
          <w:rFonts w:ascii="Times New Roman" w:hAnsi="Times New Roman" w:cs="Times New Roman"/>
          <w:color w:val="000000"/>
          <w:u w:val="none"/>
          <w:lang w:val="en-US"/>
        </w:rPr>
        <w:t>People living in households with very low work intensity are people aged 0-59 living in households where the adults work less than 20% of their total work potential during the past year.</w:t>
      </w:r>
      <w:r w:rsidRPr="00B25888">
        <w:rPr>
          <w:lang w:val="en-US"/>
        </w:rPr>
        <w:t xml:space="preserve"> </w:t>
      </w:r>
    </w:p>
  </w:footnote>
  <w:footnote w:id="10">
    <w:p w:rsidR="00D46414" w:rsidRDefault="00D46414" w:rsidP="006246DD">
      <w:pPr>
        <w:pStyle w:val="FootnoteText"/>
        <w:ind w:left="0"/>
        <w:rPr>
          <w:u w:val="none"/>
          <w:lang w:val="en-US"/>
        </w:rPr>
      </w:pPr>
      <w:r w:rsidRPr="00B25888">
        <w:rPr>
          <w:rStyle w:val="FootnoteReference"/>
        </w:rPr>
        <w:footnoteRef/>
      </w:r>
      <w:r w:rsidRPr="00B25888">
        <w:rPr>
          <w:u w:val="none"/>
          <w:lang w:val="en-US"/>
        </w:rPr>
        <w:t xml:space="preserve"> </w:t>
      </w:r>
      <w:r w:rsidRPr="00B25888">
        <w:rPr>
          <w:rFonts w:ascii="Times New Roman" w:hAnsi="Times New Roman" w:cs="Times New Roman"/>
          <w:u w:val="none"/>
          <w:lang w:val="en-US"/>
        </w:rPr>
        <w:t>Jobless refers to the low work intensity indicator</w:t>
      </w:r>
      <w:r>
        <w:rPr>
          <w:rFonts w:ascii="Times New Roman" w:hAnsi="Times New Roman" w:cs="Times New Roman"/>
          <w:u w:val="none"/>
          <w:lang w:val="en-US"/>
        </w:rPr>
        <w:t>.</w:t>
      </w:r>
    </w:p>
  </w:footnote>
  <w:footnote w:id="11">
    <w:p w:rsidR="00D46414" w:rsidRPr="000823B7" w:rsidRDefault="00D46414" w:rsidP="006246DD">
      <w:pPr>
        <w:pStyle w:val="FootnoteText"/>
        <w:ind w:hanging="720"/>
        <w:rPr>
          <w:rFonts w:ascii="Times New Roman" w:hAnsi="Times New Roman" w:cs="Times New Roman"/>
          <w:u w:val="none"/>
          <w:lang w:val="en-US"/>
        </w:rPr>
      </w:pPr>
      <w:r w:rsidRPr="00200631">
        <w:rPr>
          <w:rStyle w:val="FootnoteReference"/>
          <w:rFonts w:ascii="Times New Roman" w:hAnsi="Times New Roman" w:cs="Times New Roman"/>
        </w:rPr>
        <w:footnoteRef/>
      </w:r>
      <w:r w:rsidRPr="00200631">
        <w:rPr>
          <w:rFonts w:ascii="Times New Roman" w:hAnsi="Times New Roman" w:cs="Times New Roman"/>
          <w:u w:val="none"/>
          <w:lang w:val="en-US"/>
        </w:rPr>
        <w:t xml:space="preserve"> 2001 Census</w:t>
      </w:r>
      <w:r>
        <w:rPr>
          <w:rFonts w:ascii="Times New Roman" w:hAnsi="Times New Roman" w:cs="Times New Roman"/>
          <w:u w:val="none"/>
          <w:lang w:val="en-US"/>
        </w:rPr>
        <w:t>.</w:t>
      </w:r>
    </w:p>
  </w:footnote>
  <w:footnote w:id="12">
    <w:p w:rsidR="00D46414" w:rsidRDefault="00D46414" w:rsidP="006246DD">
      <w:pPr>
        <w:pStyle w:val="FootnoteText"/>
        <w:ind w:left="0"/>
        <w:rPr>
          <w:lang w:val="en-US"/>
        </w:rPr>
      </w:pPr>
      <w:r w:rsidRPr="001965A0">
        <w:rPr>
          <w:rStyle w:val="FootnoteReference"/>
          <w:rFonts w:ascii="Times New Roman" w:hAnsi="Times New Roman" w:cs="Times New Roman"/>
          <w:u w:val="none"/>
        </w:rPr>
        <w:footnoteRef/>
      </w:r>
      <w:r w:rsidRPr="001965A0">
        <w:rPr>
          <w:rFonts w:ascii="Times New Roman" w:hAnsi="Times New Roman" w:cs="Times New Roman"/>
          <w:u w:val="none"/>
          <w:lang w:val="en-US"/>
        </w:rPr>
        <w:t xml:space="preserve"> </w:t>
      </w:r>
      <w:r>
        <w:rPr>
          <w:rFonts w:ascii="Times New Roman" w:hAnsi="Times New Roman" w:cs="Times New Roman"/>
          <w:u w:val="none"/>
          <w:lang w:val="en-US"/>
        </w:rPr>
        <w:t>T</w:t>
      </w:r>
      <w:r w:rsidRPr="00B25888">
        <w:rPr>
          <w:rFonts w:ascii="Times New Roman" w:hAnsi="Times New Roman" w:cs="Times New Roman"/>
          <w:u w:val="none"/>
          <w:lang w:val="en-US"/>
        </w:rPr>
        <w:t xml:space="preserve">he </w:t>
      </w:r>
      <w:r>
        <w:rPr>
          <w:rFonts w:ascii="Times New Roman" w:hAnsi="Times New Roman" w:cs="Times New Roman"/>
          <w:u w:val="none"/>
          <w:lang w:val="en-US"/>
        </w:rPr>
        <w:t>Ministerial Council Order</w:t>
      </w:r>
      <w:r w:rsidRPr="00B25888">
        <w:rPr>
          <w:rFonts w:ascii="Times New Roman" w:hAnsi="Times New Roman" w:cs="Times New Roman"/>
          <w:u w:val="none"/>
          <w:lang w:val="en-US"/>
        </w:rPr>
        <w:t xml:space="preserve"> specifically covers </w:t>
      </w:r>
      <w:r>
        <w:rPr>
          <w:rFonts w:ascii="Times New Roman" w:hAnsi="Times New Roman" w:cs="Times New Roman"/>
          <w:u w:val="none"/>
          <w:lang w:val="en-US"/>
        </w:rPr>
        <w:t>9</w:t>
      </w:r>
      <w:r w:rsidRPr="00B25888">
        <w:rPr>
          <w:rFonts w:ascii="Times New Roman" w:hAnsi="Times New Roman" w:cs="Times New Roman"/>
          <w:u w:val="none"/>
          <w:lang w:val="en-US"/>
        </w:rPr>
        <w:t xml:space="preserve"> working posts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5A660A">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D46414" w:rsidRPr="005A660A" w:rsidRDefault="00D46414" w:rsidP="00F0709B">
    <w:pPr>
      <w:pStyle w:val="Header"/>
      <w:spacing w:line="240" w:lineRule="exact"/>
      <w:jc w:val="right"/>
      <w:rPr>
        <w:b/>
        <w:i/>
        <w:color w:val="548DD4" w:themeColor="text2" w:themeTint="99"/>
      </w:rPr>
    </w:pPr>
    <w:r>
      <w:rPr>
        <w:b/>
        <w:i/>
        <w:color w:val="548DD4" w:themeColor="text2" w:themeTint="99"/>
      </w:rPr>
      <w:t>TABLE OF CONTENTS</w:t>
    </w:r>
  </w:p>
  <w:p w:rsidR="00D46414" w:rsidRPr="005A660A" w:rsidRDefault="00D46414" w:rsidP="005A660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Pr="00021AFA" w:rsidRDefault="00D46414" w:rsidP="00021AFA">
    <w:pPr>
      <w:pStyle w:val="Header"/>
      <w:jc w:val="right"/>
      <w:rPr>
        <w:b/>
        <w:i/>
        <w:color w:val="548DD4" w:themeColor="text2" w:themeTint="99"/>
      </w:rPr>
    </w:pPr>
    <w:r w:rsidRPr="00021AFA">
      <w:rPr>
        <w:b/>
        <w:i/>
        <w:color w:val="548DD4" w:themeColor="text2" w:themeTint="99"/>
      </w:rPr>
      <w:t>National Reform Programme of Cyprus EU2020</w:t>
    </w:r>
  </w:p>
  <w:p w:rsidR="00D46414" w:rsidRPr="00021AFA" w:rsidRDefault="00D46414" w:rsidP="00021AFA">
    <w:pPr>
      <w:pStyle w:val="Header"/>
      <w:jc w:val="right"/>
      <w:rPr>
        <w:b/>
        <w:i/>
        <w:color w:val="548DD4" w:themeColor="text2" w:themeTint="99"/>
      </w:rPr>
    </w:pPr>
    <w:r>
      <w:rPr>
        <w:b/>
        <w:i/>
        <w:color w:val="548DD4" w:themeColor="text2" w:themeTint="99"/>
      </w:rPr>
      <w:t>INNOVATION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Pr="00021AFA" w:rsidRDefault="00D46414" w:rsidP="00021AFA">
    <w:pPr>
      <w:pStyle w:val="Header"/>
      <w:jc w:val="right"/>
      <w:rPr>
        <w:b/>
        <w:i/>
        <w:color w:val="548DD4" w:themeColor="text2" w:themeTint="99"/>
      </w:rPr>
    </w:pPr>
    <w:r w:rsidRPr="00021AFA">
      <w:rPr>
        <w:b/>
        <w:i/>
        <w:color w:val="548DD4" w:themeColor="text2" w:themeTint="99"/>
      </w:rPr>
      <w:t>National Reform Programme of Cyprus EU2020</w:t>
    </w:r>
  </w:p>
  <w:p w:rsidR="00D46414" w:rsidRPr="00021AFA" w:rsidRDefault="00D46414" w:rsidP="00021AFA">
    <w:pPr>
      <w:pStyle w:val="Header"/>
      <w:jc w:val="right"/>
      <w:rPr>
        <w:b/>
        <w:i/>
        <w:color w:val="548DD4" w:themeColor="text2" w:themeTint="99"/>
      </w:rPr>
    </w:pPr>
    <w:r>
      <w:rPr>
        <w:b/>
        <w:i/>
        <w:color w:val="548DD4" w:themeColor="text2" w:themeTint="99"/>
      </w:rPr>
      <w:t>EDUCATION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5A660A">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D46414" w:rsidRPr="005A660A" w:rsidRDefault="00D46414" w:rsidP="00F0709B">
    <w:pPr>
      <w:pStyle w:val="Header"/>
      <w:spacing w:line="240" w:lineRule="exact"/>
      <w:jc w:val="right"/>
      <w:rPr>
        <w:b/>
        <w:i/>
        <w:color w:val="548DD4" w:themeColor="text2" w:themeTint="99"/>
      </w:rPr>
    </w:pPr>
    <w:r>
      <w:rPr>
        <w:b/>
        <w:i/>
        <w:color w:val="548DD4" w:themeColor="text2" w:themeTint="99"/>
      </w:rPr>
      <w:t>EDUCATION</w:t>
    </w:r>
  </w:p>
  <w:p w:rsidR="00D46414" w:rsidRPr="005A660A" w:rsidRDefault="00D46414" w:rsidP="005A660A">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Pr="00021AFA" w:rsidRDefault="00D46414" w:rsidP="00021AFA">
    <w:pPr>
      <w:pStyle w:val="Header"/>
      <w:jc w:val="right"/>
      <w:rPr>
        <w:b/>
        <w:i/>
        <w:color w:val="548DD4" w:themeColor="text2" w:themeTint="99"/>
      </w:rPr>
    </w:pPr>
    <w:r w:rsidRPr="00021AFA">
      <w:rPr>
        <w:b/>
        <w:i/>
        <w:color w:val="548DD4" w:themeColor="text2" w:themeTint="99"/>
      </w:rPr>
      <w:t>National Reform Programme of Cyprus EU2020</w:t>
    </w:r>
  </w:p>
  <w:p w:rsidR="00D46414" w:rsidRPr="00021AFA" w:rsidRDefault="00D46414" w:rsidP="00021AFA">
    <w:pPr>
      <w:pStyle w:val="Header"/>
      <w:jc w:val="right"/>
      <w:rPr>
        <w:b/>
        <w:i/>
        <w:color w:val="548DD4" w:themeColor="text2" w:themeTint="99"/>
      </w:rPr>
    </w:pPr>
    <w:r>
      <w:rPr>
        <w:b/>
        <w:i/>
        <w:color w:val="548DD4" w:themeColor="text2" w:themeTint="99"/>
      </w:rPr>
      <w:t>DIGITAL SOCIETY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5A660A">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D46414" w:rsidRPr="005A660A" w:rsidRDefault="00D46414" w:rsidP="00F0709B">
    <w:pPr>
      <w:pStyle w:val="Header"/>
      <w:spacing w:line="240" w:lineRule="exact"/>
      <w:jc w:val="right"/>
      <w:rPr>
        <w:b/>
        <w:i/>
        <w:color w:val="548DD4" w:themeColor="text2" w:themeTint="99"/>
      </w:rPr>
    </w:pPr>
    <w:r>
      <w:rPr>
        <w:b/>
        <w:i/>
        <w:color w:val="548DD4" w:themeColor="text2" w:themeTint="99"/>
      </w:rPr>
      <w:t>DIGITAL SOCIETY</w:t>
    </w:r>
  </w:p>
  <w:p w:rsidR="00D46414" w:rsidRPr="005A660A" w:rsidRDefault="00D46414" w:rsidP="005A660A">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Pr="00021AFA" w:rsidRDefault="00D46414" w:rsidP="00021AFA">
    <w:pPr>
      <w:pStyle w:val="Header"/>
      <w:jc w:val="right"/>
      <w:rPr>
        <w:b/>
        <w:i/>
        <w:color w:val="548DD4" w:themeColor="text2" w:themeTint="99"/>
      </w:rPr>
    </w:pPr>
    <w:r w:rsidRPr="00021AFA">
      <w:rPr>
        <w:b/>
        <w:i/>
        <w:color w:val="548DD4" w:themeColor="text2" w:themeTint="99"/>
      </w:rPr>
      <w:t>National Reform Programme of Cyprus EU2020</w:t>
    </w:r>
  </w:p>
  <w:p w:rsidR="00D46414" w:rsidRPr="00021AFA" w:rsidRDefault="00D46414" w:rsidP="00021AFA">
    <w:pPr>
      <w:pStyle w:val="Header"/>
      <w:jc w:val="right"/>
      <w:rPr>
        <w:b/>
        <w:i/>
        <w:color w:val="548DD4" w:themeColor="text2" w:themeTint="99"/>
      </w:rPr>
    </w:pPr>
    <w:r>
      <w:rPr>
        <w:b/>
        <w:i/>
        <w:color w:val="548DD4" w:themeColor="text2" w:themeTint="99"/>
      </w:rPr>
      <w:t>CLIMATE, ENERGY AND MOBILITY</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Pr="00021AFA" w:rsidRDefault="00D46414" w:rsidP="00021AFA">
    <w:pPr>
      <w:pStyle w:val="Header"/>
      <w:jc w:val="right"/>
      <w:rPr>
        <w:b/>
        <w:i/>
        <w:color w:val="548DD4" w:themeColor="text2" w:themeTint="99"/>
      </w:rPr>
    </w:pPr>
    <w:r w:rsidRPr="00021AFA">
      <w:rPr>
        <w:b/>
        <w:i/>
        <w:color w:val="548DD4" w:themeColor="text2" w:themeTint="99"/>
      </w:rPr>
      <w:t>National Reform Programme of Cyprus EU2020</w:t>
    </w:r>
  </w:p>
  <w:p w:rsidR="00D46414" w:rsidRPr="00021AFA" w:rsidRDefault="00D46414" w:rsidP="00021AFA">
    <w:pPr>
      <w:pStyle w:val="Header"/>
      <w:jc w:val="right"/>
      <w:rPr>
        <w:b/>
        <w:i/>
        <w:color w:val="548DD4" w:themeColor="text2" w:themeTint="99"/>
      </w:rPr>
    </w:pPr>
    <w:r>
      <w:rPr>
        <w:b/>
        <w:i/>
        <w:color w:val="548DD4" w:themeColor="text2" w:themeTint="99"/>
      </w:rPr>
      <w:t>COMPETITIVENESS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2A" w:rsidRDefault="0073142A" w:rsidP="005A660A">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73142A" w:rsidRPr="005A660A" w:rsidRDefault="0073142A" w:rsidP="00F0709B">
    <w:pPr>
      <w:pStyle w:val="Header"/>
      <w:spacing w:line="240" w:lineRule="exact"/>
      <w:jc w:val="right"/>
      <w:rPr>
        <w:b/>
        <w:i/>
        <w:color w:val="548DD4" w:themeColor="text2" w:themeTint="99"/>
      </w:rPr>
    </w:pPr>
    <w:r>
      <w:rPr>
        <w:b/>
        <w:i/>
        <w:color w:val="548DD4" w:themeColor="text2" w:themeTint="99"/>
      </w:rPr>
      <w:t>EMPLOYMENT AND SKILLS</w:t>
    </w:r>
  </w:p>
  <w:p w:rsidR="0073142A" w:rsidRPr="005A660A" w:rsidRDefault="0073142A" w:rsidP="005A660A">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Pr="00021AFA" w:rsidRDefault="00D46414" w:rsidP="00021AFA">
    <w:pPr>
      <w:pStyle w:val="Header"/>
      <w:jc w:val="right"/>
      <w:rPr>
        <w:b/>
        <w:i/>
        <w:color w:val="548DD4" w:themeColor="text2" w:themeTint="99"/>
      </w:rPr>
    </w:pPr>
    <w:r w:rsidRPr="00021AFA">
      <w:rPr>
        <w:b/>
        <w:i/>
        <w:color w:val="548DD4" w:themeColor="text2" w:themeTint="99"/>
      </w:rPr>
      <w:t>National Reform Programme of Cyprus EU2020</w:t>
    </w:r>
  </w:p>
  <w:p w:rsidR="00D46414" w:rsidRPr="00021AFA" w:rsidRDefault="00D46414" w:rsidP="00695001">
    <w:pPr>
      <w:pStyle w:val="Header"/>
      <w:jc w:val="right"/>
      <w:rPr>
        <w:b/>
        <w:i/>
        <w:color w:val="548DD4" w:themeColor="text2" w:themeTint="99"/>
      </w:rPr>
    </w:pPr>
    <w:r>
      <w:rPr>
        <w:b/>
        <w:i/>
        <w:color w:val="548DD4" w:themeColor="text2" w:themeTint="99"/>
      </w:rPr>
      <w:t>COMPETITIVENESS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Pr="00021AFA" w:rsidRDefault="00D46414" w:rsidP="00021AFA">
    <w:pPr>
      <w:pStyle w:val="Header"/>
      <w:jc w:val="right"/>
      <w:rPr>
        <w:b/>
        <w:i/>
        <w:color w:val="548DD4" w:themeColor="text2" w:themeTint="99"/>
      </w:rPr>
    </w:pPr>
    <w:r w:rsidRPr="00021AFA">
      <w:rPr>
        <w:b/>
        <w:i/>
        <w:color w:val="548DD4" w:themeColor="text2" w:themeTint="99"/>
      </w:rPr>
      <w:t>National Reform Programme of Cyprus EU2020</w:t>
    </w:r>
  </w:p>
  <w:p w:rsidR="00D46414" w:rsidRPr="00021AFA" w:rsidRDefault="00D46414" w:rsidP="00695001">
    <w:pPr>
      <w:pStyle w:val="Header"/>
      <w:jc w:val="right"/>
      <w:rPr>
        <w:b/>
        <w:i/>
        <w:color w:val="548DD4" w:themeColor="text2" w:themeTint="99"/>
      </w:rPr>
    </w:pPr>
    <w:r>
      <w:rPr>
        <w:b/>
        <w:i/>
        <w:color w:val="548DD4" w:themeColor="text2" w:themeTint="99"/>
      </w:rPr>
      <w:t>EMPLOYMENT AND SKILLS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EC471E">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D46414" w:rsidRDefault="0073142A" w:rsidP="00EC471E">
    <w:pPr>
      <w:pStyle w:val="Header"/>
      <w:jc w:val="right"/>
    </w:pPr>
    <w:r>
      <w:rPr>
        <w:b/>
        <w:i/>
        <w:color w:val="548DD4" w:themeColor="text2" w:themeTint="99"/>
      </w:rPr>
      <w:t>INTRODUCTION</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5A660A">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D46414" w:rsidRPr="005A660A" w:rsidRDefault="00D46414" w:rsidP="00F0709B">
    <w:pPr>
      <w:pStyle w:val="Header"/>
      <w:spacing w:line="240" w:lineRule="exact"/>
      <w:jc w:val="right"/>
      <w:rPr>
        <w:b/>
        <w:i/>
        <w:color w:val="548DD4" w:themeColor="text2" w:themeTint="99"/>
      </w:rPr>
    </w:pPr>
    <w:r>
      <w:rPr>
        <w:b/>
        <w:i/>
        <w:color w:val="548DD4" w:themeColor="text2" w:themeTint="99"/>
      </w:rPr>
      <w:t>EMPLOYMENT AND SKILLS</w:t>
    </w:r>
  </w:p>
  <w:p w:rsidR="00D46414" w:rsidRPr="005A660A" w:rsidRDefault="00D46414" w:rsidP="005A660A">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5A660A">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D46414" w:rsidRPr="005A660A" w:rsidRDefault="00D46414" w:rsidP="00F0709B">
    <w:pPr>
      <w:pStyle w:val="Header"/>
      <w:spacing w:line="240" w:lineRule="exact"/>
      <w:jc w:val="right"/>
      <w:rPr>
        <w:b/>
        <w:i/>
        <w:color w:val="548DD4" w:themeColor="text2" w:themeTint="99"/>
      </w:rPr>
    </w:pPr>
    <w:r>
      <w:rPr>
        <w:b/>
        <w:i/>
        <w:color w:val="548DD4" w:themeColor="text2" w:themeTint="99"/>
      </w:rPr>
      <w:t>EDUCATION</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5A660A">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D46414" w:rsidRPr="005A660A" w:rsidRDefault="00D46414" w:rsidP="00F0709B">
    <w:pPr>
      <w:pStyle w:val="Header"/>
      <w:spacing w:line="240" w:lineRule="exact"/>
      <w:jc w:val="right"/>
      <w:rPr>
        <w:b/>
        <w:i/>
        <w:color w:val="548DD4" w:themeColor="text2" w:themeTint="99"/>
      </w:rPr>
    </w:pPr>
    <w:r>
      <w:rPr>
        <w:b/>
        <w:i/>
        <w:color w:val="548DD4" w:themeColor="text2" w:themeTint="99"/>
      </w:rPr>
      <w:t>EDUCATION</w:t>
    </w:r>
  </w:p>
  <w:p w:rsidR="00D46414" w:rsidRPr="005A660A" w:rsidRDefault="00D46414" w:rsidP="005A660A">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Pr="00021AFA" w:rsidRDefault="00D46414" w:rsidP="00021AFA">
    <w:pPr>
      <w:pStyle w:val="Header"/>
      <w:jc w:val="right"/>
      <w:rPr>
        <w:b/>
        <w:i/>
        <w:color w:val="548DD4" w:themeColor="text2" w:themeTint="99"/>
      </w:rPr>
    </w:pPr>
    <w:r w:rsidRPr="00021AFA">
      <w:rPr>
        <w:b/>
        <w:i/>
        <w:color w:val="548DD4" w:themeColor="text2" w:themeTint="99"/>
      </w:rPr>
      <w:t>National Reform Programme of Cyprus EU2020</w:t>
    </w:r>
  </w:p>
  <w:p w:rsidR="00D46414" w:rsidRPr="00021AFA" w:rsidRDefault="00D46414" w:rsidP="00021AFA">
    <w:pPr>
      <w:pStyle w:val="Header"/>
      <w:jc w:val="right"/>
      <w:rPr>
        <w:b/>
        <w:i/>
        <w:color w:val="548DD4" w:themeColor="text2" w:themeTint="99"/>
      </w:rPr>
    </w:pPr>
    <w:r>
      <w:rPr>
        <w:b/>
        <w:i/>
        <w:color w:val="548DD4" w:themeColor="text2" w:themeTint="99"/>
      </w:rPr>
      <w:t>FIGHTING POVERTY</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5A660A">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D46414" w:rsidRPr="00021AFA" w:rsidRDefault="00D46414" w:rsidP="00832BD4">
    <w:pPr>
      <w:pStyle w:val="Header"/>
      <w:jc w:val="right"/>
      <w:rPr>
        <w:b/>
        <w:i/>
        <w:color w:val="548DD4" w:themeColor="text2" w:themeTint="99"/>
      </w:rPr>
    </w:pPr>
    <w:r>
      <w:rPr>
        <w:b/>
        <w:i/>
        <w:color w:val="548DD4" w:themeColor="text2" w:themeTint="99"/>
      </w:rPr>
      <w:t>HORIZONTAL AND METHODOLOGICAL ISSUES</w:t>
    </w:r>
  </w:p>
  <w:p w:rsidR="00D46414" w:rsidRPr="005A660A" w:rsidRDefault="00D46414" w:rsidP="005A66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5A660A">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D46414" w:rsidRPr="005A660A" w:rsidRDefault="00D46414" w:rsidP="00F0709B">
    <w:pPr>
      <w:pStyle w:val="Header"/>
      <w:spacing w:line="240" w:lineRule="exact"/>
      <w:jc w:val="right"/>
      <w:rPr>
        <w:b/>
        <w:i/>
        <w:color w:val="548DD4" w:themeColor="text2" w:themeTint="99"/>
      </w:rPr>
    </w:pPr>
    <w:r>
      <w:rPr>
        <w:b/>
        <w:i/>
        <w:color w:val="548DD4" w:themeColor="text2" w:themeTint="99"/>
      </w:rPr>
      <w:t>INTRODUCTION</w:t>
    </w:r>
  </w:p>
  <w:p w:rsidR="00D46414" w:rsidRPr="005A660A" w:rsidRDefault="00D46414" w:rsidP="005A660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5A660A">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D46414" w:rsidRPr="005A660A" w:rsidRDefault="00D46414" w:rsidP="00F0709B">
    <w:pPr>
      <w:pStyle w:val="Header"/>
      <w:spacing w:line="240" w:lineRule="exact"/>
      <w:jc w:val="right"/>
      <w:rPr>
        <w:b/>
        <w:i/>
        <w:color w:val="548DD4" w:themeColor="text2" w:themeTint="99"/>
      </w:rPr>
    </w:pPr>
    <w:r>
      <w:rPr>
        <w:b/>
        <w:i/>
        <w:color w:val="548DD4" w:themeColor="text2" w:themeTint="99"/>
      </w:rPr>
      <w:t>MACROECONOMIC SCENARIO</w:t>
    </w:r>
  </w:p>
  <w:p w:rsidR="00D46414" w:rsidRPr="005A660A" w:rsidRDefault="00D46414" w:rsidP="005A660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Pr="00021AFA" w:rsidRDefault="00D46414" w:rsidP="00021AFA">
    <w:pPr>
      <w:pStyle w:val="Header"/>
      <w:jc w:val="right"/>
      <w:rPr>
        <w:b/>
        <w:i/>
        <w:color w:val="548DD4" w:themeColor="text2" w:themeTint="99"/>
      </w:rPr>
    </w:pPr>
    <w:r w:rsidRPr="00021AFA">
      <w:rPr>
        <w:b/>
        <w:i/>
        <w:color w:val="548DD4" w:themeColor="text2" w:themeTint="99"/>
      </w:rPr>
      <w:t>National Reform Programme of Cyprus EU2020</w:t>
    </w:r>
  </w:p>
  <w:p w:rsidR="00D46414" w:rsidRDefault="00D46414" w:rsidP="00021AFA">
    <w:pPr>
      <w:pStyle w:val="Header"/>
      <w:jc w:val="right"/>
      <w:rPr>
        <w:b/>
        <w:i/>
        <w:color w:val="548DD4" w:themeColor="text2" w:themeTint="99"/>
      </w:rPr>
    </w:pPr>
    <w:r>
      <w:rPr>
        <w:b/>
        <w:i/>
        <w:color w:val="548DD4" w:themeColor="text2" w:themeTint="99"/>
      </w:rPr>
      <w:t>MACROECONOMIC SCENARIO</w:t>
    </w:r>
  </w:p>
  <w:p w:rsidR="00D46414" w:rsidRPr="009A7B6E" w:rsidRDefault="00D46414" w:rsidP="00021AFA">
    <w:pPr>
      <w:pStyle w:val="Header"/>
      <w:jc w:val="right"/>
      <w:rPr>
        <w:b/>
        <w:i/>
        <w:color w:val="548DD4" w:themeColor="text2" w:themeTint="99"/>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Pr="00021AFA" w:rsidRDefault="00D46414" w:rsidP="00021AFA">
    <w:pPr>
      <w:pStyle w:val="Header"/>
      <w:jc w:val="right"/>
      <w:rPr>
        <w:b/>
        <w:i/>
        <w:color w:val="548DD4" w:themeColor="text2" w:themeTint="99"/>
      </w:rPr>
    </w:pPr>
    <w:r w:rsidRPr="00021AFA">
      <w:rPr>
        <w:b/>
        <w:i/>
        <w:color w:val="548DD4" w:themeColor="text2" w:themeTint="99"/>
      </w:rPr>
      <w:t>National Reform Programme of Cyprus EU2020</w:t>
    </w:r>
  </w:p>
  <w:p w:rsidR="00D46414" w:rsidRPr="00021AFA" w:rsidRDefault="00D46414" w:rsidP="00021AFA">
    <w:pPr>
      <w:pStyle w:val="Header"/>
      <w:jc w:val="right"/>
      <w:rPr>
        <w:b/>
        <w:i/>
        <w:color w:val="548DD4" w:themeColor="text2" w:themeTint="99"/>
      </w:rPr>
    </w:pPr>
    <w:r>
      <w:rPr>
        <w:b/>
        <w:i/>
        <w:color w:val="548DD4" w:themeColor="text2" w:themeTint="99"/>
      </w:rPr>
      <w:t>MACROECONOMIC SURVEILLANCE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5A660A">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D46414" w:rsidRPr="005A660A" w:rsidRDefault="00D46414" w:rsidP="00F0709B">
    <w:pPr>
      <w:pStyle w:val="Header"/>
      <w:spacing w:line="240" w:lineRule="exact"/>
      <w:jc w:val="right"/>
      <w:rPr>
        <w:b/>
        <w:i/>
        <w:color w:val="548DD4" w:themeColor="text2" w:themeTint="99"/>
      </w:rPr>
    </w:pPr>
    <w:r>
      <w:rPr>
        <w:b/>
        <w:i/>
        <w:color w:val="548DD4" w:themeColor="text2" w:themeTint="99"/>
      </w:rPr>
      <w:t>MACROECONOMIC SURVEILLANCE</w:t>
    </w:r>
  </w:p>
  <w:p w:rsidR="00D46414" w:rsidRPr="005A660A" w:rsidRDefault="00D46414" w:rsidP="005A660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5A660A">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D46414" w:rsidRPr="005A660A" w:rsidRDefault="00D46414" w:rsidP="00F0709B">
    <w:pPr>
      <w:pStyle w:val="Header"/>
      <w:spacing w:line="240" w:lineRule="exact"/>
      <w:jc w:val="right"/>
      <w:rPr>
        <w:b/>
        <w:i/>
        <w:color w:val="548DD4" w:themeColor="text2" w:themeTint="99"/>
      </w:rPr>
    </w:pPr>
    <w:r>
      <w:rPr>
        <w:b/>
        <w:i/>
        <w:color w:val="548DD4" w:themeColor="text2" w:themeTint="99"/>
      </w:rPr>
      <w:t>MACROECONOMIC SURVEILLANCE</w:t>
    </w:r>
  </w:p>
  <w:p w:rsidR="00D46414" w:rsidRPr="005A660A" w:rsidRDefault="00D46414" w:rsidP="005A660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4" w:rsidRDefault="00D46414" w:rsidP="005A660A">
    <w:pPr>
      <w:pStyle w:val="Header"/>
      <w:spacing w:line="240" w:lineRule="exact"/>
      <w:jc w:val="right"/>
      <w:rPr>
        <w:b/>
        <w:i/>
        <w:color w:val="548DD4" w:themeColor="text2" w:themeTint="99"/>
      </w:rPr>
    </w:pPr>
    <w:r w:rsidRPr="005A660A">
      <w:rPr>
        <w:b/>
        <w:i/>
        <w:color w:val="548DD4" w:themeColor="text2" w:themeTint="99"/>
      </w:rPr>
      <w:t>National Reform Programme of Cyprus EU2020</w:t>
    </w:r>
  </w:p>
  <w:p w:rsidR="00D46414" w:rsidRPr="005A660A" w:rsidRDefault="00D46414" w:rsidP="00F0709B">
    <w:pPr>
      <w:pStyle w:val="Header"/>
      <w:spacing w:line="240" w:lineRule="exact"/>
      <w:jc w:val="right"/>
      <w:rPr>
        <w:b/>
        <w:i/>
        <w:color w:val="548DD4" w:themeColor="text2" w:themeTint="99"/>
      </w:rPr>
    </w:pPr>
    <w:r>
      <w:rPr>
        <w:b/>
        <w:i/>
        <w:color w:val="548DD4" w:themeColor="text2" w:themeTint="99"/>
      </w:rPr>
      <w:t>DIGITAL SOCIE</w:t>
    </w:r>
  </w:p>
  <w:p w:rsidR="00D46414" w:rsidRPr="005A660A" w:rsidRDefault="00D46414" w:rsidP="005A6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917"/>
    <w:multiLevelType w:val="hybridMultilevel"/>
    <w:tmpl w:val="7074B394"/>
    <w:lvl w:ilvl="0" w:tplc="AE4C129C">
      <w:start w:val="1"/>
      <w:numFmt w:val="bullet"/>
      <w:lvlText w:val=""/>
      <w:lvlJc w:val="left"/>
      <w:pPr>
        <w:ind w:left="786" w:hanging="360"/>
      </w:pPr>
      <w:rPr>
        <w:rFonts w:ascii="Symbol" w:hAnsi="Symbo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85B67"/>
    <w:multiLevelType w:val="hybridMultilevel"/>
    <w:tmpl w:val="6AB4DCB8"/>
    <w:lvl w:ilvl="0" w:tplc="2A5EB7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72935"/>
    <w:multiLevelType w:val="hybridMultilevel"/>
    <w:tmpl w:val="372AB548"/>
    <w:lvl w:ilvl="0" w:tplc="31C84C5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5D1087"/>
    <w:multiLevelType w:val="hybridMultilevel"/>
    <w:tmpl w:val="8ED89A3A"/>
    <w:lvl w:ilvl="0" w:tplc="AE4C12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E90DED"/>
    <w:multiLevelType w:val="hybridMultilevel"/>
    <w:tmpl w:val="4C443FC4"/>
    <w:lvl w:ilvl="0" w:tplc="5B5A049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08211DBB"/>
    <w:multiLevelType w:val="hybridMultilevel"/>
    <w:tmpl w:val="B7C0B890"/>
    <w:lvl w:ilvl="0" w:tplc="741CB82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9936D31"/>
    <w:multiLevelType w:val="hybridMultilevel"/>
    <w:tmpl w:val="83BA1B94"/>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C2A65DF"/>
    <w:multiLevelType w:val="hybridMultilevel"/>
    <w:tmpl w:val="F7D2EA2E"/>
    <w:lvl w:ilvl="0" w:tplc="31C84C5A">
      <w:start w:val="1"/>
      <w:numFmt w:val="bullet"/>
      <w:lvlText w:val=""/>
      <w:lvlJc w:val="left"/>
      <w:pPr>
        <w:ind w:left="1080" w:hanging="360"/>
      </w:pPr>
      <w:rPr>
        <w:rFonts w:ascii="Symbol" w:hAnsi="Symbol" w:hint="default"/>
        <w:sz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0D0D5F88"/>
    <w:multiLevelType w:val="hybridMultilevel"/>
    <w:tmpl w:val="57BE70F6"/>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E336620"/>
    <w:multiLevelType w:val="hybridMultilevel"/>
    <w:tmpl w:val="3A8A40AC"/>
    <w:lvl w:ilvl="0" w:tplc="AE4C129C">
      <w:start w:val="1"/>
      <w:numFmt w:val="bullet"/>
      <w:lvlText w:val=""/>
      <w:lvlJc w:val="left"/>
      <w:pPr>
        <w:ind w:left="786" w:hanging="360"/>
      </w:pPr>
      <w:rPr>
        <w:rFonts w:ascii="Symbol" w:hAnsi="Symbo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617C87"/>
    <w:multiLevelType w:val="hybridMultilevel"/>
    <w:tmpl w:val="4E64C89E"/>
    <w:lvl w:ilvl="0" w:tplc="31C84C5A">
      <w:start w:val="1"/>
      <w:numFmt w:val="bullet"/>
      <w:lvlText w:val=""/>
      <w:lvlJc w:val="left"/>
      <w:pPr>
        <w:tabs>
          <w:tab w:val="num" w:pos="720"/>
        </w:tabs>
        <w:ind w:left="720" w:hanging="360"/>
      </w:pPr>
      <w:rPr>
        <w:rFonts w:ascii="Symbol" w:hAnsi="Symbol" w:hint="default"/>
        <w:sz w:val="20"/>
      </w:rPr>
    </w:lvl>
    <w:lvl w:ilvl="1" w:tplc="E6FCD8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30DFA"/>
    <w:multiLevelType w:val="hybridMultilevel"/>
    <w:tmpl w:val="D79C1542"/>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35255D1"/>
    <w:multiLevelType w:val="hybridMultilevel"/>
    <w:tmpl w:val="0DCA7674"/>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5103A3A"/>
    <w:multiLevelType w:val="hybridMultilevel"/>
    <w:tmpl w:val="13282536"/>
    <w:lvl w:ilvl="0" w:tplc="6DF6E0FC">
      <w:start w:val="1"/>
      <w:numFmt w:val="lowerRoman"/>
      <w:lvlText w:val="%1."/>
      <w:lvlJc w:val="left"/>
      <w:pPr>
        <w:tabs>
          <w:tab w:val="num" w:pos="1572"/>
        </w:tabs>
        <w:ind w:left="1572" w:hanging="360"/>
      </w:pPr>
      <w:rPr>
        <w:rFonts w:hint="default"/>
      </w:r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14">
    <w:nsid w:val="15F45FB4"/>
    <w:multiLevelType w:val="hybridMultilevel"/>
    <w:tmpl w:val="6AACD2DC"/>
    <w:lvl w:ilvl="0" w:tplc="F600E2D2">
      <w:start w:val="1"/>
      <w:numFmt w:val="bullet"/>
      <w:lvlText w:val=""/>
      <w:lvlJc w:val="left"/>
      <w:pPr>
        <w:ind w:left="720" w:hanging="360"/>
      </w:pPr>
      <w:rPr>
        <w:rFonts w:ascii="Symbol" w:hAnsi="Symbol" w:hint="default"/>
        <w:color w:val="auto"/>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7EA28A7"/>
    <w:multiLevelType w:val="hybridMultilevel"/>
    <w:tmpl w:val="48D20616"/>
    <w:lvl w:ilvl="0" w:tplc="697C0F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185279"/>
    <w:multiLevelType w:val="hybridMultilevel"/>
    <w:tmpl w:val="9CEA42D0"/>
    <w:lvl w:ilvl="0" w:tplc="8EB2EABA">
      <w:start w:val="1"/>
      <w:numFmt w:val="decimal"/>
      <w:lvlText w:val="%1."/>
      <w:lvlJc w:val="left"/>
      <w:pPr>
        <w:ind w:left="502" w:hanging="360"/>
      </w:pPr>
      <w:rPr>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EC16FB"/>
    <w:multiLevelType w:val="hybridMultilevel"/>
    <w:tmpl w:val="A12ECC4A"/>
    <w:lvl w:ilvl="0" w:tplc="AE4C129C">
      <w:start w:val="1"/>
      <w:numFmt w:val="bullet"/>
      <w:lvlText w:val=""/>
      <w:lvlJc w:val="left"/>
      <w:pPr>
        <w:ind w:left="786" w:hanging="360"/>
      </w:pPr>
      <w:rPr>
        <w:rFonts w:ascii="Symbol" w:hAnsi="Symbo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0442B9"/>
    <w:multiLevelType w:val="hybridMultilevel"/>
    <w:tmpl w:val="7CD80B22"/>
    <w:lvl w:ilvl="0" w:tplc="F612C44E">
      <w:start w:val="1"/>
      <w:numFmt w:val="bullet"/>
      <w:lvlText w:val=""/>
      <w:lvlJc w:val="left"/>
      <w:pPr>
        <w:ind w:left="720" w:hanging="360"/>
      </w:pPr>
      <w:rPr>
        <w:rFonts w:ascii="Symbol" w:hAnsi="Symbol" w:hint="default"/>
        <w:color w:val="auto"/>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E555C66"/>
    <w:multiLevelType w:val="hybridMultilevel"/>
    <w:tmpl w:val="110E8A72"/>
    <w:lvl w:ilvl="0" w:tplc="AE4C129C">
      <w:start w:val="1"/>
      <w:numFmt w:val="bullet"/>
      <w:lvlText w:val=""/>
      <w:lvlJc w:val="left"/>
      <w:pPr>
        <w:ind w:left="786" w:hanging="360"/>
      </w:pPr>
      <w:rPr>
        <w:rFonts w:ascii="Symbol" w:hAnsi="Symbo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D2256A"/>
    <w:multiLevelType w:val="hybridMultilevel"/>
    <w:tmpl w:val="E3AA9E52"/>
    <w:lvl w:ilvl="0" w:tplc="BE52DAFE">
      <w:start w:val="2"/>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32A3186"/>
    <w:multiLevelType w:val="hybridMultilevel"/>
    <w:tmpl w:val="1B40D34A"/>
    <w:lvl w:ilvl="0" w:tplc="F496A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8B4960"/>
    <w:multiLevelType w:val="hybridMultilevel"/>
    <w:tmpl w:val="776CFCCA"/>
    <w:lvl w:ilvl="0" w:tplc="7D665412">
      <w:start w:val="1"/>
      <w:numFmt w:val="lowerLetter"/>
      <w:lvlText w:val="(%1)"/>
      <w:lvlJc w:val="left"/>
      <w:pPr>
        <w:ind w:left="720" w:hanging="360"/>
      </w:pPr>
      <w:rPr>
        <w:rFonts w:hint="default"/>
        <w:sz w:val="24"/>
        <w:szCs w:val="24"/>
      </w:rPr>
    </w:lvl>
    <w:lvl w:ilvl="1" w:tplc="E286C0A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7A18E2"/>
    <w:multiLevelType w:val="hybridMultilevel"/>
    <w:tmpl w:val="353EE290"/>
    <w:lvl w:ilvl="0" w:tplc="55FAAC8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A2925CA"/>
    <w:multiLevelType w:val="hybridMultilevel"/>
    <w:tmpl w:val="1EE453A4"/>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C64297E"/>
    <w:multiLevelType w:val="hybridMultilevel"/>
    <w:tmpl w:val="EC145592"/>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D3F0639"/>
    <w:multiLevelType w:val="hybridMultilevel"/>
    <w:tmpl w:val="D5F83CD6"/>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DFE265A"/>
    <w:multiLevelType w:val="hybridMultilevel"/>
    <w:tmpl w:val="2BB2A2A2"/>
    <w:lvl w:ilvl="0" w:tplc="AE4C12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07652C8"/>
    <w:multiLevelType w:val="hybridMultilevel"/>
    <w:tmpl w:val="34702A26"/>
    <w:lvl w:ilvl="0" w:tplc="F612C44E">
      <w:start w:val="1"/>
      <w:numFmt w:val="bullet"/>
      <w:lvlText w:val=""/>
      <w:lvlJc w:val="left"/>
      <w:pPr>
        <w:ind w:left="720" w:hanging="360"/>
      </w:pPr>
      <w:rPr>
        <w:rFonts w:ascii="Symbol" w:hAnsi="Symbol" w:hint="default"/>
        <w:color w:val="auto"/>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24C51F7"/>
    <w:multiLevelType w:val="hybridMultilevel"/>
    <w:tmpl w:val="8AC4EBB6"/>
    <w:lvl w:ilvl="0" w:tplc="0409000F">
      <w:start w:val="1"/>
      <w:numFmt w:val="decimal"/>
      <w:lvlText w:val="%1."/>
      <w:lvlJc w:val="left"/>
      <w:pPr>
        <w:tabs>
          <w:tab w:val="num" w:pos="720"/>
        </w:tabs>
        <w:ind w:left="720" w:hanging="360"/>
      </w:pPr>
      <w:rPr>
        <w:rFonts w:hint="default"/>
      </w:rPr>
    </w:lvl>
    <w:lvl w:ilvl="1" w:tplc="48126B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2A92D07"/>
    <w:multiLevelType w:val="hybridMultilevel"/>
    <w:tmpl w:val="5AC6C062"/>
    <w:lvl w:ilvl="0" w:tplc="31C84C5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33E0EEA"/>
    <w:multiLevelType w:val="hybridMultilevel"/>
    <w:tmpl w:val="BE1EFAEA"/>
    <w:lvl w:ilvl="0" w:tplc="AE4C129C">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nsid w:val="363B2785"/>
    <w:multiLevelType w:val="hybridMultilevel"/>
    <w:tmpl w:val="B47692FE"/>
    <w:lvl w:ilvl="0" w:tplc="F612C44E">
      <w:start w:val="1"/>
      <w:numFmt w:val="bullet"/>
      <w:lvlText w:val=""/>
      <w:lvlJc w:val="left"/>
      <w:pPr>
        <w:ind w:left="720" w:hanging="360"/>
      </w:pPr>
      <w:rPr>
        <w:rFonts w:ascii="Symbol" w:hAnsi="Symbol" w:hint="default"/>
        <w:color w:val="auto"/>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3A8F45AA"/>
    <w:multiLevelType w:val="hybridMultilevel"/>
    <w:tmpl w:val="AA088E34"/>
    <w:lvl w:ilvl="0" w:tplc="AE4C129C">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3B086EFA"/>
    <w:multiLevelType w:val="hybridMultilevel"/>
    <w:tmpl w:val="793A42B0"/>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B875C81"/>
    <w:multiLevelType w:val="hybridMultilevel"/>
    <w:tmpl w:val="1EF0622E"/>
    <w:lvl w:ilvl="0" w:tplc="AE4C129C">
      <w:start w:val="1"/>
      <w:numFmt w:val="bullet"/>
      <w:lvlText w:val=""/>
      <w:lvlJc w:val="left"/>
      <w:pPr>
        <w:ind w:left="786" w:hanging="360"/>
      </w:pPr>
      <w:rPr>
        <w:rFonts w:ascii="Symbol" w:hAnsi="Symbo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ED22C7"/>
    <w:multiLevelType w:val="hybridMultilevel"/>
    <w:tmpl w:val="B35A3AD0"/>
    <w:lvl w:ilvl="0" w:tplc="AE4C129C">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7">
    <w:nsid w:val="3C53058E"/>
    <w:multiLevelType w:val="hybridMultilevel"/>
    <w:tmpl w:val="78B09C2C"/>
    <w:lvl w:ilvl="0" w:tplc="31C84C5A">
      <w:start w:val="1"/>
      <w:numFmt w:val="bullet"/>
      <w:lvlText w:val=""/>
      <w:lvlJc w:val="left"/>
      <w:pPr>
        <w:tabs>
          <w:tab w:val="num" w:pos="720"/>
        </w:tabs>
        <w:ind w:left="720" w:hanging="360"/>
      </w:pPr>
      <w:rPr>
        <w:rFonts w:ascii="Symbol" w:hAnsi="Symbol" w:hint="default"/>
        <w:color w:val="auto"/>
        <w:sz w:val="2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3CA00385"/>
    <w:multiLevelType w:val="hybridMultilevel"/>
    <w:tmpl w:val="6FBE26EA"/>
    <w:lvl w:ilvl="0" w:tplc="04090003">
      <w:start w:val="1"/>
      <w:numFmt w:val="bullet"/>
      <w:lvlText w:val="o"/>
      <w:lvlJc w:val="left"/>
      <w:pPr>
        <w:ind w:left="720" w:hanging="360"/>
      </w:pPr>
      <w:rPr>
        <w:rFonts w:ascii="Courier New" w:hAnsi="Courier New" w:cs="Courier New" w:hint="default"/>
      </w:rPr>
    </w:lvl>
    <w:lvl w:ilvl="1" w:tplc="AE4C129C">
      <w:start w:val="1"/>
      <w:numFmt w:val="bullet"/>
      <w:lvlText w:val=""/>
      <w:lvlJc w:val="left"/>
      <w:pPr>
        <w:ind w:left="1353"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EA5043"/>
    <w:multiLevelType w:val="hybridMultilevel"/>
    <w:tmpl w:val="A842587A"/>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04D143D"/>
    <w:multiLevelType w:val="hybridMultilevel"/>
    <w:tmpl w:val="57780AC6"/>
    <w:lvl w:ilvl="0" w:tplc="31C84C5A">
      <w:start w:val="1"/>
      <w:numFmt w:val="bullet"/>
      <w:lvlText w:val=""/>
      <w:lvlJc w:val="left"/>
      <w:pPr>
        <w:ind w:left="786" w:hanging="360"/>
      </w:pPr>
      <w:rPr>
        <w:rFonts w:ascii="Symbol" w:hAnsi="Symbol" w:hint="default"/>
        <w:sz w:val="2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1">
    <w:nsid w:val="430E254D"/>
    <w:multiLevelType w:val="hybridMultilevel"/>
    <w:tmpl w:val="513E2908"/>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439A3D4A"/>
    <w:multiLevelType w:val="hybridMultilevel"/>
    <w:tmpl w:val="203054D2"/>
    <w:lvl w:ilvl="0" w:tplc="AE4C129C">
      <w:start w:val="1"/>
      <w:numFmt w:val="bullet"/>
      <w:lvlText w:val=""/>
      <w:lvlJc w:val="left"/>
      <w:pPr>
        <w:ind w:left="786" w:hanging="360"/>
      </w:pPr>
      <w:rPr>
        <w:rFonts w:ascii="Symbol" w:hAnsi="Symbo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1C72F5"/>
    <w:multiLevelType w:val="hybridMultilevel"/>
    <w:tmpl w:val="F28809BC"/>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45E52781"/>
    <w:multiLevelType w:val="hybridMultilevel"/>
    <w:tmpl w:val="A0C066A2"/>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46E7509B"/>
    <w:multiLevelType w:val="hybridMultilevel"/>
    <w:tmpl w:val="244E445A"/>
    <w:lvl w:ilvl="0" w:tplc="AE4C129C">
      <w:start w:val="1"/>
      <w:numFmt w:val="bullet"/>
      <w:lvlText w:val=""/>
      <w:lvlJc w:val="left"/>
      <w:pPr>
        <w:ind w:left="1004" w:hanging="360"/>
      </w:pPr>
      <w:rPr>
        <w:rFonts w:ascii="Symbol" w:hAnsi="Symbol" w:hint="default"/>
        <w:sz w:val="16"/>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6">
    <w:nsid w:val="48024539"/>
    <w:multiLevelType w:val="hybridMultilevel"/>
    <w:tmpl w:val="B26C5BA6"/>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48AD6199"/>
    <w:multiLevelType w:val="hybridMultilevel"/>
    <w:tmpl w:val="C3D0945C"/>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49AF7D4F"/>
    <w:multiLevelType w:val="hybridMultilevel"/>
    <w:tmpl w:val="88D82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4EF420CB"/>
    <w:multiLevelType w:val="hybridMultilevel"/>
    <w:tmpl w:val="80386EC6"/>
    <w:lvl w:ilvl="0" w:tplc="AE4C129C">
      <w:start w:val="1"/>
      <w:numFmt w:val="bullet"/>
      <w:lvlText w:val=""/>
      <w:lvlJc w:val="left"/>
      <w:pPr>
        <w:ind w:left="786" w:hanging="360"/>
      </w:pPr>
      <w:rPr>
        <w:rFonts w:ascii="Symbol" w:hAnsi="Symbo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3D577A"/>
    <w:multiLevelType w:val="hybridMultilevel"/>
    <w:tmpl w:val="504848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541D26F9"/>
    <w:multiLevelType w:val="hybridMultilevel"/>
    <w:tmpl w:val="4BAA16B8"/>
    <w:lvl w:ilvl="0" w:tplc="F600E2D2">
      <w:start w:val="1"/>
      <w:numFmt w:val="bullet"/>
      <w:lvlText w:val=""/>
      <w:lvlJc w:val="left"/>
      <w:pPr>
        <w:ind w:left="720" w:hanging="360"/>
      </w:pPr>
      <w:rPr>
        <w:rFonts w:ascii="Symbol" w:hAnsi="Symbol" w:hint="default"/>
        <w:color w:val="auto"/>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5482583F"/>
    <w:multiLevelType w:val="hybridMultilevel"/>
    <w:tmpl w:val="5DC84D58"/>
    <w:lvl w:ilvl="0" w:tplc="F600E2D2">
      <w:start w:val="1"/>
      <w:numFmt w:val="bullet"/>
      <w:lvlText w:val=""/>
      <w:lvlJc w:val="left"/>
      <w:pPr>
        <w:ind w:left="720" w:hanging="360"/>
      </w:pPr>
      <w:rPr>
        <w:rFonts w:ascii="Symbol" w:hAnsi="Symbol" w:hint="default"/>
        <w:color w:val="auto"/>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56042685"/>
    <w:multiLevelType w:val="hybridMultilevel"/>
    <w:tmpl w:val="EA101E60"/>
    <w:lvl w:ilvl="0" w:tplc="31C84C5A">
      <w:start w:val="1"/>
      <w:numFmt w:val="bullet"/>
      <w:lvlText w:val=""/>
      <w:lvlJc w:val="left"/>
      <w:pPr>
        <w:ind w:left="720" w:hanging="360"/>
      </w:pPr>
      <w:rPr>
        <w:rFonts w:ascii="Symbol" w:hAnsi="Symbol" w:hint="default"/>
        <w:sz w:val="2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58C66898"/>
    <w:multiLevelType w:val="hybridMultilevel"/>
    <w:tmpl w:val="C174E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DB7C24"/>
    <w:multiLevelType w:val="hybridMultilevel"/>
    <w:tmpl w:val="7AC08432"/>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5AAC4742"/>
    <w:multiLevelType w:val="hybridMultilevel"/>
    <w:tmpl w:val="9A0414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4A4645"/>
    <w:multiLevelType w:val="hybridMultilevel"/>
    <w:tmpl w:val="007274FE"/>
    <w:lvl w:ilvl="0" w:tplc="AE4C129C">
      <w:start w:val="1"/>
      <w:numFmt w:val="bullet"/>
      <w:lvlText w:val=""/>
      <w:lvlJc w:val="left"/>
      <w:pPr>
        <w:ind w:left="786" w:hanging="360"/>
      </w:pPr>
      <w:rPr>
        <w:rFonts w:ascii="Symbol" w:hAnsi="Symbo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054743"/>
    <w:multiLevelType w:val="hybridMultilevel"/>
    <w:tmpl w:val="033A158E"/>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5F505DFC"/>
    <w:multiLevelType w:val="hybridMultilevel"/>
    <w:tmpl w:val="691A95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FC13187"/>
    <w:multiLevelType w:val="hybridMultilevel"/>
    <w:tmpl w:val="1B90B238"/>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619C607F"/>
    <w:multiLevelType w:val="hybridMultilevel"/>
    <w:tmpl w:val="66985730"/>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63714204"/>
    <w:multiLevelType w:val="hybridMultilevel"/>
    <w:tmpl w:val="D49CF0A2"/>
    <w:lvl w:ilvl="0" w:tplc="5B5A049A">
      <w:start w:val="1"/>
      <w:numFmt w:val="lowerLetter"/>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63F14EBC"/>
    <w:multiLevelType w:val="hybridMultilevel"/>
    <w:tmpl w:val="A8986C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4171068"/>
    <w:multiLevelType w:val="hybridMultilevel"/>
    <w:tmpl w:val="50DEE362"/>
    <w:lvl w:ilvl="0" w:tplc="31C84C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DF3319"/>
    <w:multiLevelType w:val="hybridMultilevel"/>
    <w:tmpl w:val="98DA4B68"/>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678E745A"/>
    <w:multiLevelType w:val="hybridMultilevel"/>
    <w:tmpl w:val="08B677E4"/>
    <w:lvl w:ilvl="0" w:tplc="AE4C129C">
      <w:start w:val="1"/>
      <w:numFmt w:val="bullet"/>
      <w:lvlText w:val=""/>
      <w:lvlJc w:val="left"/>
      <w:pPr>
        <w:ind w:left="786" w:hanging="360"/>
      </w:pPr>
      <w:rPr>
        <w:rFonts w:ascii="Symbol" w:hAnsi="Symbo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E03D59"/>
    <w:multiLevelType w:val="hybridMultilevel"/>
    <w:tmpl w:val="756C387C"/>
    <w:lvl w:ilvl="0" w:tplc="AC86357C">
      <w:start w:val="1"/>
      <w:numFmt w:val="lowerRoman"/>
      <w:lvlText w:val="(%1)"/>
      <w:lvlJc w:val="left"/>
      <w:pPr>
        <w:ind w:left="57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68A00FB8"/>
    <w:multiLevelType w:val="hybridMultilevel"/>
    <w:tmpl w:val="0C5C7210"/>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69147599"/>
    <w:multiLevelType w:val="hybridMultilevel"/>
    <w:tmpl w:val="EAF0BD7C"/>
    <w:lvl w:ilvl="0" w:tplc="D7C66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664586"/>
    <w:multiLevelType w:val="hybridMultilevel"/>
    <w:tmpl w:val="E95062CA"/>
    <w:lvl w:ilvl="0" w:tplc="AE4C129C">
      <w:start w:val="1"/>
      <w:numFmt w:val="bullet"/>
      <w:lvlText w:val=""/>
      <w:lvlJc w:val="left"/>
      <w:pPr>
        <w:ind w:left="786" w:hanging="360"/>
      </w:pPr>
      <w:rPr>
        <w:rFonts w:ascii="Symbol" w:hAnsi="Symbo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9B05AA1"/>
    <w:multiLevelType w:val="multilevel"/>
    <w:tmpl w:val="C6F05FC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6A4C3A58"/>
    <w:multiLevelType w:val="hybridMultilevel"/>
    <w:tmpl w:val="DEFAC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C7E59F0"/>
    <w:multiLevelType w:val="hybridMultilevel"/>
    <w:tmpl w:val="100E6BF8"/>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nsid w:val="6FD476A3"/>
    <w:multiLevelType w:val="hybridMultilevel"/>
    <w:tmpl w:val="FD205692"/>
    <w:lvl w:ilvl="0" w:tplc="F600E2D2">
      <w:start w:val="1"/>
      <w:numFmt w:val="bullet"/>
      <w:lvlText w:val=""/>
      <w:lvlJc w:val="left"/>
      <w:pPr>
        <w:ind w:left="720" w:hanging="360"/>
      </w:pPr>
      <w:rPr>
        <w:rFonts w:ascii="Symbol" w:hAnsi="Symbol" w:hint="default"/>
        <w:color w:val="auto"/>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nsid w:val="73B772DE"/>
    <w:multiLevelType w:val="hybridMultilevel"/>
    <w:tmpl w:val="7C4E4368"/>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74EC629D"/>
    <w:multiLevelType w:val="hybridMultilevel"/>
    <w:tmpl w:val="DBCCDBE6"/>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nsid w:val="77E71EFB"/>
    <w:multiLevelType w:val="hybridMultilevel"/>
    <w:tmpl w:val="FD902436"/>
    <w:lvl w:ilvl="0" w:tplc="31C84C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nsid w:val="7AD63793"/>
    <w:multiLevelType w:val="hybridMultilevel"/>
    <w:tmpl w:val="1AC2F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C9653BE"/>
    <w:multiLevelType w:val="multilevel"/>
    <w:tmpl w:val="FA3A0AF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7D003717"/>
    <w:multiLevelType w:val="hybridMultilevel"/>
    <w:tmpl w:val="7C5C7BDA"/>
    <w:lvl w:ilvl="0" w:tplc="AE4C129C">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72"/>
  </w:num>
  <w:num w:numId="2">
    <w:abstractNumId w:val="26"/>
  </w:num>
  <w:num w:numId="3">
    <w:abstractNumId w:val="73"/>
  </w:num>
  <w:num w:numId="4">
    <w:abstractNumId w:val="55"/>
  </w:num>
  <w:num w:numId="5">
    <w:abstractNumId w:val="65"/>
  </w:num>
  <w:num w:numId="6">
    <w:abstractNumId w:val="78"/>
  </w:num>
  <w:num w:numId="7">
    <w:abstractNumId w:val="56"/>
  </w:num>
  <w:num w:numId="8">
    <w:abstractNumId w:val="71"/>
  </w:num>
  <w:num w:numId="9">
    <w:abstractNumId w:val="48"/>
  </w:num>
  <w:num w:numId="10">
    <w:abstractNumId w:val="21"/>
  </w:num>
  <w:num w:numId="11">
    <w:abstractNumId w:val="64"/>
  </w:num>
  <w:num w:numId="12">
    <w:abstractNumId w:val="40"/>
  </w:num>
  <w:num w:numId="13">
    <w:abstractNumId w:val="11"/>
  </w:num>
  <w:num w:numId="14">
    <w:abstractNumId w:val="54"/>
  </w:num>
  <w:num w:numId="15">
    <w:abstractNumId w:val="5"/>
  </w:num>
  <w:num w:numId="16">
    <w:abstractNumId w:val="15"/>
  </w:num>
  <w:num w:numId="17">
    <w:abstractNumId w:val="22"/>
  </w:num>
  <w:num w:numId="18">
    <w:abstractNumId w:val="69"/>
  </w:num>
  <w:num w:numId="19">
    <w:abstractNumId w:val="1"/>
  </w:num>
  <w:num w:numId="20">
    <w:abstractNumId w:val="4"/>
  </w:num>
  <w:num w:numId="21">
    <w:abstractNumId w:val="50"/>
  </w:num>
  <w:num w:numId="22">
    <w:abstractNumId w:val="16"/>
  </w:num>
  <w:num w:numId="23">
    <w:abstractNumId w:val="62"/>
  </w:num>
  <w:num w:numId="24">
    <w:abstractNumId w:val="23"/>
  </w:num>
  <w:num w:numId="25">
    <w:abstractNumId w:val="20"/>
  </w:num>
  <w:num w:numId="26">
    <w:abstractNumId w:val="25"/>
  </w:num>
  <w:num w:numId="27">
    <w:abstractNumId w:val="37"/>
  </w:num>
  <w:num w:numId="28">
    <w:abstractNumId w:val="12"/>
  </w:num>
  <w:num w:numId="29">
    <w:abstractNumId w:val="43"/>
  </w:num>
  <w:num w:numId="30">
    <w:abstractNumId w:val="47"/>
  </w:num>
  <w:num w:numId="31">
    <w:abstractNumId w:val="18"/>
  </w:num>
  <w:num w:numId="32">
    <w:abstractNumId w:val="28"/>
  </w:num>
  <w:num w:numId="33">
    <w:abstractNumId w:val="32"/>
  </w:num>
  <w:num w:numId="34">
    <w:abstractNumId w:val="53"/>
  </w:num>
  <w:num w:numId="35">
    <w:abstractNumId w:val="61"/>
  </w:num>
  <w:num w:numId="36">
    <w:abstractNumId w:val="34"/>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77"/>
  </w:num>
  <w:num w:numId="40">
    <w:abstractNumId w:val="58"/>
  </w:num>
  <w:num w:numId="41">
    <w:abstractNumId w:val="75"/>
  </w:num>
  <w:num w:numId="42">
    <w:abstractNumId w:val="39"/>
  </w:num>
  <w:num w:numId="43">
    <w:abstractNumId w:val="2"/>
  </w:num>
  <w:num w:numId="44">
    <w:abstractNumId w:val="7"/>
  </w:num>
  <w:num w:numId="45">
    <w:abstractNumId w:val="68"/>
  </w:num>
  <w:num w:numId="46">
    <w:abstractNumId w:val="42"/>
  </w:num>
  <w:num w:numId="47">
    <w:abstractNumId w:val="31"/>
  </w:num>
  <w:num w:numId="48">
    <w:abstractNumId w:val="57"/>
  </w:num>
  <w:num w:numId="49">
    <w:abstractNumId w:val="19"/>
  </w:num>
  <w:num w:numId="50">
    <w:abstractNumId w:val="45"/>
  </w:num>
  <w:num w:numId="51">
    <w:abstractNumId w:val="49"/>
  </w:num>
  <w:num w:numId="52">
    <w:abstractNumId w:val="9"/>
  </w:num>
  <w:num w:numId="53">
    <w:abstractNumId w:val="35"/>
  </w:num>
  <w:num w:numId="54">
    <w:abstractNumId w:val="80"/>
  </w:num>
  <w:num w:numId="55">
    <w:abstractNumId w:val="36"/>
  </w:num>
  <w:num w:numId="56">
    <w:abstractNumId w:val="66"/>
  </w:num>
  <w:num w:numId="57">
    <w:abstractNumId w:val="0"/>
  </w:num>
  <w:num w:numId="58">
    <w:abstractNumId w:val="70"/>
  </w:num>
  <w:num w:numId="59">
    <w:abstractNumId w:val="17"/>
  </w:num>
  <w:num w:numId="60">
    <w:abstractNumId w:val="60"/>
  </w:num>
  <w:num w:numId="61">
    <w:abstractNumId w:val="6"/>
  </w:num>
  <w:num w:numId="62">
    <w:abstractNumId w:val="46"/>
  </w:num>
  <w:num w:numId="63">
    <w:abstractNumId w:val="8"/>
  </w:num>
  <w:num w:numId="64">
    <w:abstractNumId w:val="76"/>
  </w:num>
  <w:num w:numId="65">
    <w:abstractNumId w:val="41"/>
  </w:num>
  <w:num w:numId="66">
    <w:abstractNumId w:val="38"/>
  </w:num>
  <w:num w:numId="67">
    <w:abstractNumId w:val="51"/>
  </w:num>
  <w:num w:numId="68">
    <w:abstractNumId w:val="14"/>
  </w:num>
  <w:num w:numId="69">
    <w:abstractNumId w:val="52"/>
  </w:num>
  <w:num w:numId="70">
    <w:abstractNumId w:val="33"/>
  </w:num>
  <w:num w:numId="71">
    <w:abstractNumId w:val="74"/>
  </w:num>
  <w:num w:numId="72">
    <w:abstractNumId w:val="79"/>
  </w:num>
  <w:num w:numId="73">
    <w:abstractNumId w:val="29"/>
  </w:num>
  <w:num w:numId="74">
    <w:abstractNumId w:val="63"/>
  </w:num>
  <w:num w:numId="75">
    <w:abstractNumId w:val="59"/>
  </w:num>
  <w:num w:numId="76">
    <w:abstractNumId w:val="13"/>
  </w:num>
  <w:num w:numId="77">
    <w:abstractNumId w:val="30"/>
  </w:num>
  <w:num w:numId="78">
    <w:abstractNumId w:val="10"/>
  </w:num>
  <w:num w:numId="79">
    <w:abstractNumId w:val="44"/>
  </w:num>
  <w:num w:numId="80">
    <w:abstractNumId w:val="27"/>
  </w:num>
  <w:num w:numId="81">
    <w:abstractNumId w:val="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109569"/>
  </w:hdrShapeDefaults>
  <w:footnotePr>
    <w:footnote w:id="0"/>
    <w:footnote w:id="1"/>
  </w:footnotePr>
  <w:endnotePr>
    <w:endnote w:id="0"/>
    <w:endnote w:id="1"/>
  </w:endnotePr>
  <w:compat/>
  <w:rsids>
    <w:rsidRoot w:val="00664736"/>
    <w:rsid w:val="00001F96"/>
    <w:rsid w:val="000165E3"/>
    <w:rsid w:val="00021AFA"/>
    <w:rsid w:val="00023680"/>
    <w:rsid w:val="00040EDE"/>
    <w:rsid w:val="000461F3"/>
    <w:rsid w:val="000623A3"/>
    <w:rsid w:val="00062A0C"/>
    <w:rsid w:val="00065456"/>
    <w:rsid w:val="00075431"/>
    <w:rsid w:val="00076DF9"/>
    <w:rsid w:val="000A32EB"/>
    <w:rsid w:val="000A72FC"/>
    <w:rsid w:val="000B2496"/>
    <w:rsid w:val="000B3728"/>
    <w:rsid w:val="000B4E9F"/>
    <w:rsid w:val="000B7A85"/>
    <w:rsid w:val="000C1359"/>
    <w:rsid w:val="000D02EE"/>
    <w:rsid w:val="000D0C0F"/>
    <w:rsid w:val="000D3EC1"/>
    <w:rsid w:val="000D485B"/>
    <w:rsid w:val="000F0134"/>
    <w:rsid w:val="000F712B"/>
    <w:rsid w:val="000F7936"/>
    <w:rsid w:val="0010010B"/>
    <w:rsid w:val="00100308"/>
    <w:rsid w:val="00103768"/>
    <w:rsid w:val="00104072"/>
    <w:rsid w:val="00105867"/>
    <w:rsid w:val="00115EC2"/>
    <w:rsid w:val="001178D2"/>
    <w:rsid w:val="00120C78"/>
    <w:rsid w:val="0012544A"/>
    <w:rsid w:val="00133FC6"/>
    <w:rsid w:val="001406A8"/>
    <w:rsid w:val="001451B7"/>
    <w:rsid w:val="0015121E"/>
    <w:rsid w:val="0015618A"/>
    <w:rsid w:val="00156E59"/>
    <w:rsid w:val="001638FC"/>
    <w:rsid w:val="00166499"/>
    <w:rsid w:val="00175FC6"/>
    <w:rsid w:val="001806D5"/>
    <w:rsid w:val="00191350"/>
    <w:rsid w:val="001960BA"/>
    <w:rsid w:val="001965A0"/>
    <w:rsid w:val="00196732"/>
    <w:rsid w:val="001A01AA"/>
    <w:rsid w:val="001A0A4A"/>
    <w:rsid w:val="001A26E2"/>
    <w:rsid w:val="001C6059"/>
    <w:rsid w:val="001D09A7"/>
    <w:rsid w:val="001D114C"/>
    <w:rsid w:val="001D16F2"/>
    <w:rsid w:val="001D3DFC"/>
    <w:rsid w:val="001D602D"/>
    <w:rsid w:val="001E0EF5"/>
    <w:rsid w:val="001E4F0C"/>
    <w:rsid w:val="001F0FDF"/>
    <w:rsid w:val="00201C40"/>
    <w:rsid w:val="0021139A"/>
    <w:rsid w:val="0021652D"/>
    <w:rsid w:val="002167AC"/>
    <w:rsid w:val="002459CC"/>
    <w:rsid w:val="00245E5C"/>
    <w:rsid w:val="00252094"/>
    <w:rsid w:val="0025388B"/>
    <w:rsid w:val="00257993"/>
    <w:rsid w:val="00261141"/>
    <w:rsid w:val="00271CDD"/>
    <w:rsid w:val="00283CBA"/>
    <w:rsid w:val="00285FB3"/>
    <w:rsid w:val="0029235D"/>
    <w:rsid w:val="00292ADE"/>
    <w:rsid w:val="002B3EA2"/>
    <w:rsid w:val="002D683F"/>
    <w:rsid w:val="002E01AB"/>
    <w:rsid w:val="002E39AE"/>
    <w:rsid w:val="002E55EB"/>
    <w:rsid w:val="002E5608"/>
    <w:rsid w:val="002F1DDB"/>
    <w:rsid w:val="002F2FFA"/>
    <w:rsid w:val="002F71A1"/>
    <w:rsid w:val="00305FB2"/>
    <w:rsid w:val="003077B6"/>
    <w:rsid w:val="00307C28"/>
    <w:rsid w:val="0031365B"/>
    <w:rsid w:val="00315736"/>
    <w:rsid w:val="00316E34"/>
    <w:rsid w:val="0032063C"/>
    <w:rsid w:val="00320AD5"/>
    <w:rsid w:val="00324723"/>
    <w:rsid w:val="00326D6D"/>
    <w:rsid w:val="00331362"/>
    <w:rsid w:val="003344FB"/>
    <w:rsid w:val="00340AA3"/>
    <w:rsid w:val="00347769"/>
    <w:rsid w:val="003573B2"/>
    <w:rsid w:val="00367640"/>
    <w:rsid w:val="00367F5B"/>
    <w:rsid w:val="00373E85"/>
    <w:rsid w:val="00377323"/>
    <w:rsid w:val="003835E1"/>
    <w:rsid w:val="003877CE"/>
    <w:rsid w:val="0039210D"/>
    <w:rsid w:val="00396C35"/>
    <w:rsid w:val="003977D5"/>
    <w:rsid w:val="003A0A3E"/>
    <w:rsid w:val="003A6B1B"/>
    <w:rsid w:val="003B1028"/>
    <w:rsid w:val="003B7024"/>
    <w:rsid w:val="003E421C"/>
    <w:rsid w:val="00402B2E"/>
    <w:rsid w:val="0042001C"/>
    <w:rsid w:val="004448D8"/>
    <w:rsid w:val="00445723"/>
    <w:rsid w:val="004470E9"/>
    <w:rsid w:val="00450C86"/>
    <w:rsid w:val="0045183D"/>
    <w:rsid w:val="00455109"/>
    <w:rsid w:val="00455594"/>
    <w:rsid w:val="00456070"/>
    <w:rsid w:val="00457478"/>
    <w:rsid w:val="00457671"/>
    <w:rsid w:val="00461A47"/>
    <w:rsid w:val="00462810"/>
    <w:rsid w:val="00462CFF"/>
    <w:rsid w:val="00463FF5"/>
    <w:rsid w:val="00475AA4"/>
    <w:rsid w:val="00477B3D"/>
    <w:rsid w:val="0048308D"/>
    <w:rsid w:val="00490FDA"/>
    <w:rsid w:val="00491F00"/>
    <w:rsid w:val="00492583"/>
    <w:rsid w:val="0049436C"/>
    <w:rsid w:val="004957A0"/>
    <w:rsid w:val="00495D75"/>
    <w:rsid w:val="004966CD"/>
    <w:rsid w:val="004A076E"/>
    <w:rsid w:val="004A1633"/>
    <w:rsid w:val="004A3BC1"/>
    <w:rsid w:val="004A452F"/>
    <w:rsid w:val="004B1CFA"/>
    <w:rsid w:val="004C29B0"/>
    <w:rsid w:val="004C592C"/>
    <w:rsid w:val="004E2C42"/>
    <w:rsid w:val="004E3885"/>
    <w:rsid w:val="004E391C"/>
    <w:rsid w:val="004E6645"/>
    <w:rsid w:val="004F7375"/>
    <w:rsid w:val="0050232A"/>
    <w:rsid w:val="00510A65"/>
    <w:rsid w:val="00511994"/>
    <w:rsid w:val="00512021"/>
    <w:rsid w:val="00514CED"/>
    <w:rsid w:val="005158D6"/>
    <w:rsid w:val="00516084"/>
    <w:rsid w:val="00527480"/>
    <w:rsid w:val="00530713"/>
    <w:rsid w:val="00542547"/>
    <w:rsid w:val="005440B9"/>
    <w:rsid w:val="0055040D"/>
    <w:rsid w:val="00555225"/>
    <w:rsid w:val="005733AC"/>
    <w:rsid w:val="00581764"/>
    <w:rsid w:val="005A37EC"/>
    <w:rsid w:val="005A660A"/>
    <w:rsid w:val="005B39D1"/>
    <w:rsid w:val="005B5BA6"/>
    <w:rsid w:val="005B76E8"/>
    <w:rsid w:val="005C0EA3"/>
    <w:rsid w:val="005C6ECA"/>
    <w:rsid w:val="005E5D42"/>
    <w:rsid w:val="005F6233"/>
    <w:rsid w:val="00600258"/>
    <w:rsid w:val="00600A71"/>
    <w:rsid w:val="00600B96"/>
    <w:rsid w:val="00601DFE"/>
    <w:rsid w:val="00602DA7"/>
    <w:rsid w:val="00604EA9"/>
    <w:rsid w:val="00607105"/>
    <w:rsid w:val="00612D9D"/>
    <w:rsid w:val="006131A4"/>
    <w:rsid w:val="00613DE6"/>
    <w:rsid w:val="00620D24"/>
    <w:rsid w:val="00621CC3"/>
    <w:rsid w:val="006246DD"/>
    <w:rsid w:val="0064119C"/>
    <w:rsid w:val="0064223B"/>
    <w:rsid w:val="00643096"/>
    <w:rsid w:val="00664736"/>
    <w:rsid w:val="00673B19"/>
    <w:rsid w:val="00677321"/>
    <w:rsid w:val="0068237B"/>
    <w:rsid w:val="00684280"/>
    <w:rsid w:val="0068692D"/>
    <w:rsid w:val="00691A1A"/>
    <w:rsid w:val="00695001"/>
    <w:rsid w:val="006A1959"/>
    <w:rsid w:val="006A63CA"/>
    <w:rsid w:val="006B7851"/>
    <w:rsid w:val="006B7AA3"/>
    <w:rsid w:val="006B7B10"/>
    <w:rsid w:val="006C0F6D"/>
    <w:rsid w:val="006C2BEE"/>
    <w:rsid w:val="006D0D6F"/>
    <w:rsid w:val="006E6859"/>
    <w:rsid w:val="006E768D"/>
    <w:rsid w:val="006F137B"/>
    <w:rsid w:val="006F49E6"/>
    <w:rsid w:val="006F4F78"/>
    <w:rsid w:val="006F7942"/>
    <w:rsid w:val="007279C9"/>
    <w:rsid w:val="0073142A"/>
    <w:rsid w:val="00731D68"/>
    <w:rsid w:val="00733868"/>
    <w:rsid w:val="00733F0C"/>
    <w:rsid w:val="0073589A"/>
    <w:rsid w:val="00742677"/>
    <w:rsid w:val="00746361"/>
    <w:rsid w:val="00764CDD"/>
    <w:rsid w:val="00772246"/>
    <w:rsid w:val="007729B9"/>
    <w:rsid w:val="00772BED"/>
    <w:rsid w:val="00795908"/>
    <w:rsid w:val="007A045B"/>
    <w:rsid w:val="007A32CE"/>
    <w:rsid w:val="007A6D2C"/>
    <w:rsid w:val="007A704B"/>
    <w:rsid w:val="007A7801"/>
    <w:rsid w:val="007B7CCD"/>
    <w:rsid w:val="007C364F"/>
    <w:rsid w:val="007D390D"/>
    <w:rsid w:val="007E05A6"/>
    <w:rsid w:val="007E18BB"/>
    <w:rsid w:val="007E26E2"/>
    <w:rsid w:val="007E3350"/>
    <w:rsid w:val="007E7816"/>
    <w:rsid w:val="007F2C8C"/>
    <w:rsid w:val="007F65B5"/>
    <w:rsid w:val="00800069"/>
    <w:rsid w:val="008021A7"/>
    <w:rsid w:val="00805202"/>
    <w:rsid w:val="00811CE3"/>
    <w:rsid w:val="00812B88"/>
    <w:rsid w:val="00812ED8"/>
    <w:rsid w:val="00815DFD"/>
    <w:rsid w:val="008161F4"/>
    <w:rsid w:val="00822C45"/>
    <w:rsid w:val="0083224D"/>
    <w:rsid w:val="00832BD4"/>
    <w:rsid w:val="00835798"/>
    <w:rsid w:val="00840475"/>
    <w:rsid w:val="008461E6"/>
    <w:rsid w:val="00852B60"/>
    <w:rsid w:val="008650CC"/>
    <w:rsid w:val="008663CD"/>
    <w:rsid w:val="00866BE6"/>
    <w:rsid w:val="008763BB"/>
    <w:rsid w:val="00882354"/>
    <w:rsid w:val="0088554C"/>
    <w:rsid w:val="008914EC"/>
    <w:rsid w:val="00894AAD"/>
    <w:rsid w:val="00897430"/>
    <w:rsid w:val="00897884"/>
    <w:rsid w:val="008B2893"/>
    <w:rsid w:val="008B2A63"/>
    <w:rsid w:val="008B5FDA"/>
    <w:rsid w:val="008C0C3A"/>
    <w:rsid w:val="008C3821"/>
    <w:rsid w:val="008D50A5"/>
    <w:rsid w:val="008D6725"/>
    <w:rsid w:val="008F0F5E"/>
    <w:rsid w:val="008F2111"/>
    <w:rsid w:val="008F2759"/>
    <w:rsid w:val="00900A99"/>
    <w:rsid w:val="009020CF"/>
    <w:rsid w:val="00906FDA"/>
    <w:rsid w:val="00912B0D"/>
    <w:rsid w:val="00920E59"/>
    <w:rsid w:val="00923C68"/>
    <w:rsid w:val="0093090A"/>
    <w:rsid w:val="00930D43"/>
    <w:rsid w:val="009311F2"/>
    <w:rsid w:val="00937D03"/>
    <w:rsid w:val="00942AFF"/>
    <w:rsid w:val="00943184"/>
    <w:rsid w:val="00944460"/>
    <w:rsid w:val="0096063D"/>
    <w:rsid w:val="00967FA3"/>
    <w:rsid w:val="00977406"/>
    <w:rsid w:val="009813B8"/>
    <w:rsid w:val="00981DAE"/>
    <w:rsid w:val="00987988"/>
    <w:rsid w:val="00994E3E"/>
    <w:rsid w:val="00997C98"/>
    <w:rsid w:val="009A7B6E"/>
    <w:rsid w:val="009B5382"/>
    <w:rsid w:val="009B6659"/>
    <w:rsid w:val="009C07B4"/>
    <w:rsid w:val="009C34B5"/>
    <w:rsid w:val="009C6172"/>
    <w:rsid w:val="009C76E0"/>
    <w:rsid w:val="009D0F9A"/>
    <w:rsid w:val="009D15DA"/>
    <w:rsid w:val="009D56FC"/>
    <w:rsid w:val="009F0A3C"/>
    <w:rsid w:val="009F3F8F"/>
    <w:rsid w:val="00A06E57"/>
    <w:rsid w:val="00A073EF"/>
    <w:rsid w:val="00A22462"/>
    <w:rsid w:val="00A238DA"/>
    <w:rsid w:val="00A25748"/>
    <w:rsid w:val="00A34238"/>
    <w:rsid w:val="00A4192E"/>
    <w:rsid w:val="00A51AE6"/>
    <w:rsid w:val="00A63043"/>
    <w:rsid w:val="00A66431"/>
    <w:rsid w:val="00A70F8B"/>
    <w:rsid w:val="00A77E15"/>
    <w:rsid w:val="00A86ABC"/>
    <w:rsid w:val="00A906C8"/>
    <w:rsid w:val="00AA7123"/>
    <w:rsid w:val="00AB43A1"/>
    <w:rsid w:val="00AB602C"/>
    <w:rsid w:val="00AB65B6"/>
    <w:rsid w:val="00AB7909"/>
    <w:rsid w:val="00AC17AF"/>
    <w:rsid w:val="00AC3CE1"/>
    <w:rsid w:val="00AC5BFF"/>
    <w:rsid w:val="00AC652B"/>
    <w:rsid w:val="00AD0ADB"/>
    <w:rsid w:val="00AD5978"/>
    <w:rsid w:val="00AF139F"/>
    <w:rsid w:val="00B053C0"/>
    <w:rsid w:val="00B14006"/>
    <w:rsid w:val="00B156A5"/>
    <w:rsid w:val="00B15D67"/>
    <w:rsid w:val="00B54341"/>
    <w:rsid w:val="00B55732"/>
    <w:rsid w:val="00B5576F"/>
    <w:rsid w:val="00B5673E"/>
    <w:rsid w:val="00B63195"/>
    <w:rsid w:val="00B64A74"/>
    <w:rsid w:val="00B715AF"/>
    <w:rsid w:val="00B728DC"/>
    <w:rsid w:val="00B75463"/>
    <w:rsid w:val="00B76405"/>
    <w:rsid w:val="00B80910"/>
    <w:rsid w:val="00B81805"/>
    <w:rsid w:val="00B8671F"/>
    <w:rsid w:val="00B92EFD"/>
    <w:rsid w:val="00B979B1"/>
    <w:rsid w:val="00BA0A37"/>
    <w:rsid w:val="00BA685D"/>
    <w:rsid w:val="00BA6C89"/>
    <w:rsid w:val="00BA700D"/>
    <w:rsid w:val="00BB5B1C"/>
    <w:rsid w:val="00BB6138"/>
    <w:rsid w:val="00BB635D"/>
    <w:rsid w:val="00BB650B"/>
    <w:rsid w:val="00BC086D"/>
    <w:rsid w:val="00BD2FBD"/>
    <w:rsid w:val="00BD4F01"/>
    <w:rsid w:val="00BE2374"/>
    <w:rsid w:val="00BE70D8"/>
    <w:rsid w:val="00BF5561"/>
    <w:rsid w:val="00C01F7A"/>
    <w:rsid w:val="00C1395F"/>
    <w:rsid w:val="00C21C93"/>
    <w:rsid w:val="00C25C5F"/>
    <w:rsid w:val="00C32C9F"/>
    <w:rsid w:val="00C32CA0"/>
    <w:rsid w:val="00C3544D"/>
    <w:rsid w:val="00C35E74"/>
    <w:rsid w:val="00C42766"/>
    <w:rsid w:val="00C42ECB"/>
    <w:rsid w:val="00C46D30"/>
    <w:rsid w:val="00C527D2"/>
    <w:rsid w:val="00C53527"/>
    <w:rsid w:val="00C575F9"/>
    <w:rsid w:val="00C605E8"/>
    <w:rsid w:val="00C6608B"/>
    <w:rsid w:val="00C741A8"/>
    <w:rsid w:val="00C7449E"/>
    <w:rsid w:val="00C76B51"/>
    <w:rsid w:val="00C8134F"/>
    <w:rsid w:val="00C87EB0"/>
    <w:rsid w:val="00C916DB"/>
    <w:rsid w:val="00CB49AE"/>
    <w:rsid w:val="00CB6C3B"/>
    <w:rsid w:val="00CC041F"/>
    <w:rsid w:val="00CD42CE"/>
    <w:rsid w:val="00CD4DF4"/>
    <w:rsid w:val="00CD6A59"/>
    <w:rsid w:val="00CE237E"/>
    <w:rsid w:val="00CF00A2"/>
    <w:rsid w:val="00CF255D"/>
    <w:rsid w:val="00D0205C"/>
    <w:rsid w:val="00D066DE"/>
    <w:rsid w:val="00D15038"/>
    <w:rsid w:val="00D166EC"/>
    <w:rsid w:val="00D32C72"/>
    <w:rsid w:val="00D361C0"/>
    <w:rsid w:val="00D46414"/>
    <w:rsid w:val="00D46F6E"/>
    <w:rsid w:val="00D50506"/>
    <w:rsid w:val="00D517D0"/>
    <w:rsid w:val="00D60AA1"/>
    <w:rsid w:val="00D64A6A"/>
    <w:rsid w:val="00D74FF1"/>
    <w:rsid w:val="00D77D57"/>
    <w:rsid w:val="00D80361"/>
    <w:rsid w:val="00D92BC4"/>
    <w:rsid w:val="00D959AE"/>
    <w:rsid w:val="00D97677"/>
    <w:rsid w:val="00DA0E87"/>
    <w:rsid w:val="00DA2A91"/>
    <w:rsid w:val="00DA4BFF"/>
    <w:rsid w:val="00DC00F7"/>
    <w:rsid w:val="00DC281F"/>
    <w:rsid w:val="00DD1679"/>
    <w:rsid w:val="00DD4BC6"/>
    <w:rsid w:val="00DE1F31"/>
    <w:rsid w:val="00DE28F8"/>
    <w:rsid w:val="00DE2946"/>
    <w:rsid w:val="00DE59B9"/>
    <w:rsid w:val="00DF3E45"/>
    <w:rsid w:val="00DF6F27"/>
    <w:rsid w:val="00E07738"/>
    <w:rsid w:val="00E15E2C"/>
    <w:rsid w:val="00E16013"/>
    <w:rsid w:val="00E16145"/>
    <w:rsid w:val="00E16ED5"/>
    <w:rsid w:val="00E23774"/>
    <w:rsid w:val="00E256AE"/>
    <w:rsid w:val="00E43436"/>
    <w:rsid w:val="00E46FFB"/>
    <w:rsid w:val="00E50886"/>
    <w:rsid w:val="00E50BFD"/>
    <w:rsid w:val="00E56AA5"/>
    <w:rsid w:val="00E578AE"/>
    <w:rsid w:val="00E57BC1"/>
    <w:rsid w:val="00E62B5F"/>
    <w:rsid w:val="00E73F30"/>
    <w:rsid w:val="00E91396"/>
    <w:rsid w:val="00E927EE"/>
    <w:rsid w:val="00E963A6"/>
    <w:rsid w:val="00EA3EEB"/>
    <w:rsid w:val="00EA7B68"/>
    <w:rsid w:val="00EB1BE8"/>
    <w:rsid w:val="00EC471E"/>
    <w:rsid w:val="00EC7158"/>
    <w:rsid w:val="00ED15C7"/>
    <w:rsid w:val="00ED33CC"/>
    <w:rsid w:val="00EE2031"/>
    <w:rsid w:val="00EE699F"/>
    <w:rsid w:val="00EF1611"/>
    <w:rsid w:val="00EF71C1"/>
    <w:rsid w:val="00F024F5"/>
    <w:rsid w:val="00F0416C"/>
    <w:rsid w:val="00F0627B"/>
    <w:rsid w:val="00F0709B"/>
    <w:rsid w:val="00F07A53"/>
    <w:rsid w:val="00F14D16"/>
    <w:rsid w:val="00F17721"/>
    <w:rsid w:val="00F2247E"/>
    <w:rsid w:val="00F25240"/>
    <w:rsid w:val="00F27C67"/>
    <w:rsid w:val="00F27ECD"/>
    <w:rsid w:val="00F330AF"/>
    <w:rsid w:val="00F3347C"/>
    <w:rsid w:val="00F35EDA"/>
    <w:rsid w:val="00F3710D"/>
    <w:rsid w:val="00F5083E"/>
    <w:rsid w:val="00F61CE5"/>
    <w:rsid w:val="00F72BE8"/>
    <w:rsid w:val="00F73AA7"/>
    <w:rsid w:val="00F73E94"/>
    <w:rsid w:val="00F74058"/>
    <w:rsid w:val="00F82A61"/>
    <w:rsid w:val="00F86D8D"/>
    <w:rsid w:val="00F901D8"/>
    <w:rsid w:val="00F9090E"/>
    <w:rsid w:val="00FA0B8D"/>
    <w:rsid w:val="00FA6881"/>
    <w:rsid w:val="00FB5342"/>
    <w:rsid w:val="00FB7BAC"/>
    <w:rsid w:val="00FC08F3"/>
    <w:rsid w:val="00FC1EA3"/>
    <w:rsid w:val="00FC3062"/>
    <w:rsid w:val="00FC693D"/>
    <w:rsid w:val="00FC7A80"/>
    <w:rsid w:val="00FD1561"/>
    <w:rsid w:val="00FD3920"/>
    <w:rsid w:val="00FD4D34"/>
    <w:rsid w:val="00FD5558"/>
    <w:rsid w:val="00FE49F8"/>
    <w:rsid w:val="00FF06F9"/>
    <w:rsid w:val="00FF6D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35"/>
    <w:pPr>
      <w:spacing w:after="0" w:line="240" w:lineRule="auto"/>
    </w:pPr>
    <w:rPr>
      <w:rFonts w:eastAsia="Times New Roman"/>
      <w:u w:val="none"/>
      <w:lang w:val="en-US"/>
    </w:rPr>
  </w:style>
  <w:style w:type="paragraph" w:styleId="Heading1">
    <w:name w:val="heading 1"/>
    <w:basedOn w:val="Normal"/>
    <w:next w:val="Normal"/>
    <w:link w:val="Heading1Char"/>
    <w:uiPriority w:val="9"/>
    <w:qFormat/>
    <w:rsid w:val="00D361C0"/>
    <w:pPr>
      <w:keepNext/>
      <w:keepLines/>
      <w:spacing w:before="480"/>
      <w:jc w:val="center"/>
      <w:outlineLvl w:val="0"/>
    </w:pPr>
    <w:rPr>
      <w:rFonts w:eastAsiaTheme="majorEastAsia" w:cstheme="majorBidi"/>
      <w:b/>
      <w:bCs/>
      <w:color w:val="548DD4" w:themeColor="text2" w:themeTint="99"/>
      <w:sz w:val="40"/>
      <w:szCs w:val="28"/>
    </w:rPr>
  </w:style>
  <w:style w:type="paragraph" w:styleId="Heading2">
    <w:name w:val="heading 2"/>
    <w:aliases w:val="Title2"/>
    <w:basedOn w:val="Normal"/>
    <w:next w:val="Normal"/>
    <w:link w:val="Heading2Char"/>
    <w:qFormat/>
    <w:rsid w:val="004E3885"/>
    <w:pPr>
      <w:keepNext/>
      <w:keepLines/>
      <w:spacing w:before="200" w:line="276" w:lineRule="auto"/>
      <w:outlineLvl w:val="1"/>
    </w:pPr>
    <w:rPr>
      <w:b/>
      <w:bCs/>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6C35"/>
    <w:pPr>
      <w:spacing w:after="200" w:line="360" w:lineRule="auto"/>
      <w:ind w:left="720"/>
      <w:jc w:val="both"/>
    </w:pPr>
    <w:rPr>
      <w:rFonts w:ascii="Calibri" w:eastAsia="PMingLiU" w:hAnsi="Calibri"/>
      <w:noProof/>
      <w:sz w:val="22"/>
      <w:szCs w:val="22"/>
    </w:rPr>
  </w:style>
  <w:style w:type="character" w:customStyle="1" w:styleId="BodyTextIndentChar">
    <w:name w:val="Body Text Indent Char"/>
    <w:basedOn w:val="DefaultParagraphFont"/>
    <w:link w:val="BodyTextIndent"/>
    <w:rsid w:val="00396C35"/>
    <w:rPr>
      <w:rFonts w:ascii="Calibri" w:eastAsia="PMingLiU" w:hAnsi="Calibri"/>
      <w:b w:val="0"/>
      <w:bCs w:val="0"/>
      <w:noProof/>
      <w:sz w:val="22"/>
      <w:szCs w:val="22"/>
      <w:u w:val="none"/>
      <w:lang w:val="en-US"/>
    </w:rPr>
  </w:style>
  <w:style w:type="paragraph" w:styleId="Footer">
    <w:name w:val="footer"/>
    <w:basedOn w:val="Normal"/>
    <w:link w:val="FooterChar"/>
    <w:uiPriority w:val="99"/>
    <w:rsid w:val="00396C35"/>
    <w:pPr>
      <w:tabs>
        <w:tab w:val="center" w:pos="4320"/>
        <w:tab w:val="right" w:pos="8640"/>
      </w:tabs>
    </w:pPr>
  </w:style>
  <w:style w:type="character" w:customStyle="1" w:styleId="FooterChar">
    <w:name w:val="Footer Char"/>
    <w:basedOn w:val="DefaultParagraphFont"/>
    <w:link w:val="Footer"/>
    <w:uiPriority w:val="99"/>
    <w:rsid w:val="00396C35"/>
    <w:rPr>
      <w:rFonts w:eastAsia="Times New Roman"/>
      <w:b w:val="0"/>
      <w:bCs w:val="0"/>
      <w:u w:val="none"/>
      <w:lang w:val="en-US"/>
    </w:rPr>
  </w:style>
  <w:style w:type="character" w:styleId="PageNumber">
    <w:name w:val="page number"/>
    <w:basedOn w:val="DefaultParagraphFont"/>
    <w:rsid w:val="00396C35"/>
  </w:style>
  <w:style w:type="paragraph" w:customStyle="1" w:styleId="Intent">
    <w:name w:val="Intent"/>
    <w:basedOn w:val="BodyText2"/>
    <w:rsid w:val="00396C35"/>
    <w:pPr>
      <w:spacing w:before="120" w:line="360" w:lineRule="atLeast"/>
      <w:ind w:left="540"/>
      <w:jc w:val="both"/>
    </w:pPr>
    <w:rPr>
      <w:rFonts w:ascii="Arial" w:eastAsia="PMingLiU" w:hAnsi="Arial"/>
      <w:sz w:val="20"/>
      <w:szCs w:val="20"/>
      <w:lang w:val="el-GR"/>
    </w:rPr>
  </w:style>
  <w:style w:type="paragraph" w:customStyle="1" w:styleId="NormalJustified">
    <w:name w:val="Normal + Justified"/>
    <w:basedOn w:val="Normal"/>
    <w:uiPriority w:val="99"/>
    <w:rsid w:val="00396C35"/>
    <w:pPr>
      <w:spacing w:after="200" w:line="276" w:lineRule="auto"/>
      <w:jc w:val="both"/>
    </w:pPr>
    <w:rPr>
      <w:rFonts w:ascii="Calibri" w:hAnsi="Calibri"/>
      <w:sz w:val="22"/>
      <w:szCs w:val="22"/>
    </w:rPr>
  </w:style>
  <w:style w:type="paragraph" w:styleId="ListParagraph">
    <w:name w:val="List Paragraph"/>
    <w:basedOn w:val="Normal"/>
    <w:uiPriority w:val="99"/>
    <w:qFormat/>
    <w:rsid w:val="00396C35"/>
    <w:pPr>
      <w:ind w:left="720"/>
    </w:pPr>
  </w:style>
  <w:style w:type="character" w:styleId="Strong">
    <w:name w:val="Strong"/>
    <w:basedOn w:val="DefaultParagraphFont"/>
    <w:qFormat/>
    <w:rsid w:val="00396C35"/>
    <w:rPr>
      <w:b/>
      <w:bCs/>
    </w:rPr>
  </w:style>
  <w:style w:type="paragraph" w:styleId="BodyText2">
    <w:name w:val="Body Text 2"/>
    <w:basedOn w:val="Normal"/>
    <w:link w:val="BodyText2Char"/>
    <w:unhideWhenUsed/>
    <w:rsid w:val="00396C35"/>
    <w:pPr>
      <w:spacing w:after="120" w:line="480" w:lineRule="auto"/>
    </w:pPr>
  </w:style>
  <w:style w:type="character" w:customStyle="1" w:styleId="BodyText2Char">
    <w:name w:val="Body Text 2 Char"/>
    <w:basedOn w:val="DefaultParagraphFont"/>
    <w:link w:val="BodyText2"/>
    <w:rsid w:val="00396C35"/>
    <w:rPr>
      <w:rFonts w:eastAsia="Times New Roman"/>
      <w:b w:val="0"/>
      <w:bCs w:val="0"/>
      <w:u w:val="none"/>
      <w:lang w:val="en-US"/>
    </w:rPr>
  </w:style>
  <w:style w:type="character" w:customStyle="1" w:styleId="Heading2Char">
    <w:name w:val="Heading 2 Char"/>
    <w:aliases w:val="Title2 Char"/>
    <w:basedOn w:val="DefaultParagraphFont"/>
    <w:link w:val="Heading2"/>
    <w:rsid w:val="004E3885"/>
    <w:rPr>
      <w:rFonts w:eastAsia="Times New Roman"/>
      <w:sz w:val="28"/>
      <w:szCs w:val="26"/>
      <w:lang w:val="en-US"/>
    </w:rPr>
  </w:style>
  <w:style w:type="paragraph" w:customStyle="1" w:styleId="Default">
    <w:name w:val="Default"/>
    <w:rsid w:val="00396C35"/>
    <w:pPr>
      <w:autoSpaceDE w:val="0"/>
      <w:autoSpaceDN w:val="0"/>
      <w:adjustRightInd w:val="0"/>
      <w:spacing w:after="0" w:line="240" w:lineRule="auto"/>
    </w:pPr>
    <w:rPr>
      <w:color w:val="000000"/>
      <w:u w:val="none"/>
      <w:lang w:val="en-US"/>
    </w:rPr>
  </w:style>
  <w:style w:type="paragraph" w:styleId="BalloonText">
    <w:name w:val="Balloon Text"/>
    <w:basedOn w:val="Normal"/>
    <w:link w:val="BalloonTextChar"/>
    <w:semiHidden/>
    <w:unhideWhenUsed/>
    <w:rsid w:val="00396C35"/>
    <w:rPr>
      <w:rFonts w:ascii="Tahoma" w:hAnsi="Tahoma" w:cs="Tahoma"/>
      <w:sz w:val="16"/>
      <w:szCs w:val="16"/>
    </w:rPr>
  </w:style>
  <w:style w:type="character" w:customStyle="1" w:styleId="BalloonTextChar">
    <w:name w:val="Balloon Text Char"/>
    <w:basedOn w:val="DefaultParagraphFont"/>
    <w:link w:val="BalloonText"/>
    <w:uiPriority w:val="99"/>
    <w:semiHidden/>
    <w:rsid w:val="00396C35"/>
    <w:rPr>
      <w:rFonts w:ascii="Tahoma" w:eastAsia="Times New Roman" w:hAnsi="Tahoma" w:cs="Tahoma"/>
      <w:b w:val="0"/>
      <w:bCs w:val="0"/>
      <w:sz w:val="16"/>
      <w:szCs w:val="16"/>
      <w:u w:val="none"/>
      <w:lang w:val="en-US"/>
    </w:rPr>
  </w:style>
  <w:style w:type="character" w:customStyle="1" w:styleId="Heading1Char">
    <w:name w:val="Heading 1 Char"/>
    <w:basedOn w:val="DefaultParagraphFont"/>
    <w:link w:val="Heading1"/>
    <w:uiPriority w:val="9"/>
    <w:rsid w:val="00D361C0"/>
    <w:rPr>
      <w:rFonts w:eastAsiaTheme="majorEastAsia" w:cstheme="majorBidi"/>
      <w:color w:val="548DD4" w:themeColor="text2" w:themeTint="99"/>
      <w:sz w:val="40"/>
      <w:szCs w:val="28"/>
      <w:u w:val="none"/>
      <w:lang w:val="en-US"/>
    </w:rPr>
  </w:style>
  <w:style w:type="paragraph" w:styleId="BodyText">
    <w:name w:val="Body Text"/>
    <w:basedOn w:val="Normal"/>
    <w:link w:val="BodyTextChar"/>
    <w:uiPriority w:val="99"/>
    <w:semiHidden/>
    <w:unhideWhenUsed/>
    <w:rsid w:val="00396C35"/>
    <w:pPr>
      <w:spacing w:after="120"/>
    </w:pPr>
  </w:style>
  <w:style w:type="character" w:customStyle="1" w:styleId="BodyTextChar">
    <w:name w:val="Body Text Char"/>
    <w:basedOn w:val="DefaultParagraphFont"/>
    <w:link w:val="BodyText"/>
    <w:uiPriority w:val="99"/>
    <w:semiHidden/>
    <w:rsid w:val="00396C35"/>
    <w:rPr>
      <w:rFonts w:eastAsia="Times New Roman"/>
      <w:b w:val="0"/>
      <w:bCs w:val="0"/>
      <w:u w:val="none"/>
      <w:lang w:val="en-US"/>
    </w:rPr>
  </w:style>
  <w:style w:type="paragraph" w:customStyle="1" w:styleId="1">
    <w:name w:val="Παράγραφος λίστας1"/>
    <w:basedOn w:val="Normal"/>
    <w:rsid w:val="00396C35"/>
    <w:pPr>
      <w:spacing w:after="200" w:line="276" w:lineRule="auto"/>
      <w:ind w:left="720"/>
    </w:pPr>
    <w:rPr>
      <w:rFonts w:ascii="Calibri" w:hAnsi="Calibri" w:cs="Calibri"/>
      <w:sz w:val="22"/>
      <w:szCs w:val="22"/>
    </w:rPr>
  </w:style>
  <w:style w:type="paragraph" w:styleId="Caption">
    <w:name w:val="caption"/>
    <w:basedOn w:val="Normal"/>
    <w:next w:val="Normal"/>
    <w:qFormat/>
    <w:rsid w:val="00396C35"/>
    <w:pPr>
      <w:spacing w:after="200" w:line="276" w:lineRule="auto"/>
    </w:pPr>
    <w:rPr>
      <w:rFonts w:ascii="Calibri" w:hAnsi="Calibri" w:cs="Calibri"/>
      <w:b/>
      <w:bCs/>
      <w:sz w:val="20"/>
      <w:szCs w:val="20"/>
    </w:rPr>
  </w:style>
  <w:style w:type="paragraph" w:styleId="FootnoteText">
    <w:name w:val="footnote text"/>
    <w:aliases w:val="Footnote Text Char Char Char,Footnote Text Char Char,fn Char Char,Footnote Text Char1 Char,Footnote Text1 Char,Footnote Text Char1 Char Char,Footnote Text1 Char Char Char Char Char C,Footnote Text1 Char Char,Footnote Text Char1"/>
    <w:basedOn w:val="Normal"/>
    <w:link w:val="FootnoteTextChar"/>
    <w:unhideWhenUsed/>
    <w:rsid w:val="00852B60"/>
    <w:pPr>
      <w:spacing w:line="360" w:lineRule="auto"/>
      <w:ind w:left="720"/>
      <w:jc w:val="both"/>
    </w:pPr>
    <w:rPr>
      <w:rFonts w:ascii="Arial" w:eastAsia="Calibri" w:hAnsi="Arial" w:cs="Arial"/>
      <w:sz w:val="20"/>
      <w:szCs w:val="20"/>
      <w:u w:val="single" w:color="FF0000"/>
      <w:lang w:val="el-GR"/>
    </w:rPr>
  </w:style>
  <w:style w:type="character" w:customStyle="1" w:styleId="FootnoteTextChar">
    <w:name w:val="Footnote Text Char"/>
    <w:aliases w:val="Footnote Text Char Char Char Char,Footnote Text Char Char Char1,fn Char Char Char,Footnote Text Char1 Char Char1,Footnote Text1 Char Char1,Footnote Text Char1 Char Char Char,Footnote Text1 Char Char Char Char Char C Char"/>
    <w:basedOn w:val="DefaultParagraphFont"/>
    <w:link w:val="FootnoteText"/>
    <w:rsid w:val="00852B60"/>
    <w:rPr>
      <w:rFonts w:ascii="Arial" w:eastAsia="Calibri" w:hAnsi="Arial" w:cs="Arial"/>
      <w:b w:val="0"/>
      <w:bCs w:val="0"/>
      <w:sz w:val="20"/>
      <w:szCs w:val="20"/>
      <w:u w:color="FF0000"/>
    </w:rPr>
  </w:style>
  <w:style w:type="character" w:styleId="FootnoteReference">
    <w:name w:val="footnote reference"/>
    <w:aliases w:val="Appel note de bas de p,Footnote symbol"/>
    <w:basedOn w:val="DefaultParagraphFont"/>
    <w:unhideWhenUsed/>
    <w:rsid w:val="00852B60"/>
    <w:rPr>
      <w:vertAlign w:val="superscript"/>
    </w:rPr>
  </w:style>
  <w:style w:type="character" w:customStyle="1" w:styleId="shorttext">
    <w:name w:val="short_text"/>
    <w:basedOn w:val="DefaultParagraphFont"/>
    <w:rsid w:val="00852B60"/>
  </w:style>
  <w:style w:type="character" w:styleId="CommentReference">
    <w:name w:val="annotation reference"/>
    <w:basedOn w:val="DefaultParagraphFont"/>
    <w:rsid w:val="00852B60"/>
    <w:rPr>
      <w:sz w:val="16"/>
      <w:szCs w:val="16"/>
    </w:rPr>
  </w:style>
  <w:style w:type="table" w:styleId="TableGrid">
    <w:name w:val="Table Grid"/>
    <w:basedOn w:val="TableNormal"/>
    <w:uiPriority w:val="59"/>
    <w:rsid w:val="00852B60"/>
    <w:pPr>
      <w:spacing w:after="0" w:line="240" w:lineRule="auto"/>
    </w:pPr>
    <w:rPr>
      <w:rFonts w:eastAsia="Times New Roman"/>
      <w:sz w:val="20"/>
      <w:szCs w:val="20"/>
      <w:u w:val="none"/>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52B60"/>
    <w:pPr>
      <w:spacing w:after="0" w:line="240" w:lineRule="auto"/>
    </w:pPr>
    <w:rPr>
      <w:rFonts w:ascii="Calibri" w:eastAsia="Calibri" w:hAnsi="Calibri"/>
      <w:sz w:val="22"/>
      <w:szCs w:val="22"/>
      <w:u w:val="none"/>
    </w:rPr>
  </w:style>
  <w:style w:type="paragraph" w:styleId="CommentText">
    <w:name w:val="annotation text"/>
    <w:basedOn w:val="Normal"/>
    <w:link w:val="CommentTextChar"/>
    <w:rsid w:val="00852B60"/>
    <w:rPr>
      <w:sz w:val="20"/>
      <w:szCs w:val="20"/>
    </w:rPr>
  </w:style>
  <w:style w:type="character" w:customStyle="1" w:styleId="CommentTextChar">
    <w:name w:val="Comment Text Char"/>
    <w:basedOn w:val="DefaultParagraphFont"/>
    <w:link w:val="CommentText"/>
    <w:rsid w:val="00852B60"/>
    <w:rPr>
      <w:rFonts w:eastAsia="Times New Roman"/>
      <w:b w:val="0"/>
      <w:bCs w:val="0"/>
      <w:sz w:val="20"/>
      <w:szCs w:val="20"/>
      <w:u w:val="none"/>
      <w:lang w:val="en-US"/>
    </w:rPr>
  </w:style>
  <w:style w:type="paragraph" w:styleId="IntenseQuote">
    <w:name w:val="Intense Quote"/>
    <w:basedOn w:val="Normal"/>
    <w:next w:val="Normal"/>
    <w:link w:val="IntenseQuoteChar"/>
    <w:uiPriority w:val="30"/>
    <w:qFormat/>
    <w:rsid w:val="005B39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5B39D1"/>
    <w:rPr>
      <w:rFonts w:asciiTheme="minorHAnsi" w:hAnsiTheme="minorHAnsi" w:cstheme="minorBidi"/>
      <w:i/>
      <w:iCs/>
      <w:color w:val="4F81BD" w:themeColor="accent1"/>
      <w:sz w:val="22"/>
      <w:szCs w:val="22"/>
      <w:u w:val="none"/>
      <w:lang w:val="en-US"/>
    </w:rPr>
  </w:style>
  <w:style w:type="paragraph" w:customStyle="1" w:styleId="astandard3520normal">
    <w:name w:val="a_standard__35__20_normal"/>
    <w:basedOn w:val="Normal"/>
    <w:rsid w:val="005B39D1"/>
    <w:pPr>
      <w:spacing w:after="120"/>
      <w:jc w:val="both"/>
    </w:pPr>
  </w:style>
  <w:style w:type="table" w:styleId="TableContemporary">
    <w:name w:val="Table Contemporary"/>
    <w:basedOn w:val="TableNormal"/>
    <w:rsid w:val="005B39D1"/>
    <w:pPr>
      <w:spacing w:after="0" w:line="240" w:lineRule="auto"/>
    </w:pPr>
    <w:rPr>
      <w:rFonts w:eastAsia="Times New Roman"/>
      <w:b/>
      <w:bCs/>
      <w:sz w:val="20"/>
      <w:szCs w:val="20"/>
      <w:u w:val="none"/>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ps">
    <w:name w:val="hps"/>
    <w:basedOn w:val="DefaultParagraphFont"/>
    <w:rsid w:val="005B39D1"/>
  </w:style>
  <w:style w:type="character" w:customStyle="1" w:styleId="longtext">
    <w:name w:val="long_text"/>
    <w:basedOn w:val="DefaultParagraphFont"/>
    <w:rsid w:val="005B39D1"/>
  </w:style>
  <w:style w:type="character" w:customStyle="1" w:styleId="gt-icon-text1">
    <w:name w:val="gt-icon-text1"/>
    <w:basedOn w:val="DefaultParagraphFont"/>
    <w:rsid w:val="005B39D1"/>
  </w:style>
  <w:style w:type="paragraph" w:styleId="TOCHeading">
    <w:name w:val="TOC Heading"/>
    <w:basedOn w:val="Heading1"/>
    <w:next w:val="Normal"/>
    <w:uiPriority w:val="39"/>
    <w:semiHidden/>
    <w:unhideWhenUsed/>
    <w:qFormat/>
    <w:rsid w:val="0050232A"/>
    <w:pPr>
      <w:spacing w:line="276" w:lineRule="auto"/>
      <w:outlineLvl w:val="9"/>
    </w:pPr>
  </w:style>
  <w:style w:type="paragraph" w:styleId="TOC1">
    <w:name w:val="toc 1"/>
    <w:basedOn w:val="Normal"/>
    <w:next w:val="Normal"/>
    <w:autoRedefine/>
    <w:uiPriority w:val="39"/>
    <w:unhideWhenUsed/>
    <w:rsid w:val="00463FF5"/>
    <w:pPr>
      <w:tabs>
        <w:tab w:val="right" w:leader="dot" w:pos="9350"/>
      </w:tabs>
      <w:spacing w:after="100"/>
      <w:ind w:left="284" w:hanging="284"/>
    </w:pPr>
  </w:style>
  <w:style w:type="character" w:styleId="Hyperlink">
    <w:name w:val="Hyperlink"/>
    <w:basedOn w:val="DefaultParagraphFont"/>
    <w:uiPriority w:val="99"/>
    <w:unhideWhenUsed/>
    <w:rsid w:val="0050232A"/>
    <w:rPr>
      <w:color w:val="0000FF" w:themeColor="hyperlink"/>
      <w:u w:val="single"/>
    </w:rPr>
  </w:style>
  <w:style w:type="paragraph" w:styleId="TOC2">
    <w:name w:val="toc 2"/>
    <w:basedOn w:val="Normal"/>
    <w:next w:val="Normal"/>
    <w:autoRedefine/>
    <w:uiPriority w:val="39"/>
    <w:unhideWhenUsed/>
    <w:rsid w:val="000A72FC"/>
    <w:pPr>
      <w:tabs>
        <w:tab w:val="right" w:leader="dot" w:pos="9350"/>
      </w:tabs>
      <w:spacing w:after="100"/>
      <w:ind w:left="240"/>
    </w:pPr>
  </w:style>
  <w:style w:type="paragraph" w:styleId="Header">
    <w:name w:val="header"/>
    <w:basedOn w:val="Normal"/>
    <w:link w:val="HeaderChar"/>
    <w:unhideWhenUsed/>
    <w:rsid w:val="005A660A"/>
    <w:pPr>
      <w:tabs>
        <w:tab w:val="center" w:pos="4153"/>
        <w:tab w:val="right" w:pos="8306"/>
      </w:tabs>
    </w:pPr>
  </w:style>
  <w:style w:type="character" w:customStyle="1" w:styleId="HeaderChar">
    <w:name w:val="Header Char"/>
    <w:basedOn w:val="DefaultParagraphFont"/>
    <w:link w:val="Header"/>
    <w:rsid w:val="005A660A"/>
    <w:rPr>
      <w:rFonts w:eastAsia="Times New Roman"/>
      <w:b w:val="0"/>
      <w:bCs w:val="0"/>
      <w:u w:val="none"/>
      <w:lang w:val="en-US"/>
    </w:rPr>
  </w:style>
  <w:style w:type="table" w:customStyle="1" w:styleId="LightShading-Accent11">
    <w:name w:val="Light Shading - Accent 11"/>
    <w:basedOn w:val="TableNormal"/>
    <w:uiPriority w:val="60"/>
    <w:rsid w:val="001406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uiPriority w:val="1"/>
    <w:rsid w:val="00AD5978"/>
    <w:rPr>
      <w:rFonts w:ascii="Calibri" w:eastAsia="Calibri" w:hAnsi="Calibri"/>
      <w:sz w:val="22"/>
      <w:szCs w:val="22"/>
      <w:u w:val="none"/>
    </w:rPr>
  </w:style>
  <w:style w:type="paragraph" w:customStyle="1" w:styleId="a">
    <w:name w:val="Παράγραφος λίστας"/>
    <w:basedOn w:val="Normal"/>
    <w:qFormat/>
    <w:rsid w:val="00AC17AF"/>
    <w:pPr>
      <w:ind w:left="720"/>
    </w:pPr>
    <w:rPr>
      <w:rFonts w:ascii="Calibri" w:eastAsia="Calibri" w:hAnsi="Calibri"/>
      <w:sz w:val="22"/>
      <w:szCs w:val="22"/>
    </w:rPr>
  </w:style>
  <w:style w:type="character" w:customStyle="1" w:styleId="text6">
    <w:name w:val="text6"/>
    <w:basedOn w:val="DefaultParagraphFont"/>
    <w:rsid w:val="00AC17AF"/>
    <w:rPr>
      <w:rFonts w:ascii="Verdana" w:hAnsi="Verdana" w:hint="default"/>
      <w:b w:val="0"/>
      <w:bCs w:val="0"/>
      <w:color w:val="333333"/>
      <w:sz w:val="18"/>
      <w:szCs w:val="18"/>
    </w:rPr>
  </w:style>
  <w:style w:type="paragraph" w:customStyle="1" w:styleId="hiekkeris">
    <w:name w:val="hiekkeris"/>
    <w:basedOn w:val="Normal"/>
    <w:rsid w:val="00AC17AF"/>
    <w:pPr>
      <w:outlineLvl w:val="0"/>
    </w:pPr>
    <w:rPr>
      <w:rFonts w:ascii="Verdana" w:hAnsi="Verdana"/>
      <w:b/>
      <w:bCs/>
    </w:rPr>
  </w:style>
  <w:style w:type="paragraph" w:styleId="PlainText">
    <w:name w:val="Plain Text"/>
    <w:basedOn w:val="Normal"/>
    <w:link w:val="PlainTextChar"/>
    <w:uiPriority w:val="99"/>
    <w:unhideWhenUsed/>
    <w:rsid w:val="00490FDA"/>
    <w:rPr>
      <w:rFonts w:ascii="Consolas" w:eastAsiaTheme="minorHAnsi" w:hAnsi="Consolas" w:cstheme="minorBidi"/>
      <w:sz w:val="21"/>
      <w:szCs w:val="21"/>
      <w:lang w:val="el-GR"/>
    </w:rPr>
  </w:style>
  <w:style w:type="character" w:customStyle="1" w:styleId="PlainTextChar">
    <w:name w:val="Plain Text Char"/>
    <w:basedOn w:val="DefaultParagraphFont"/>
    <w:link w:val="PlainText"/>
    <w:uiPriority w:val="99"/>
    <w:rsid w:val="00490FDA"/>
    <w:rPr>
      <w:rFonts w:ascii="Consolas" w:hAnsi="Consolas" w:cstheme="minorBidi"/>
      <w:sz w:val="21"/>
      <w:szCs w:val="21"/>
      <w:u w:val="none"/>
    </w:rPr>
  </w:style>
  <w:style w:type="paragraph" w:styleId="EndnoteText">
    <w:name w:val="endnote text"/>
    <w:basedOn w:val="Normal"/>
    <w:link w:val="EndnoteTextChar"/>
    <w:uiPriority w:val="99"/>
    <w:semiHidden/>
    <w:unhideWhenUsed/>
    <w:rsid w:val="00F74058"/>
    <w:rPr>
      <w:sz w:val="20"/>
      <w:szCs w:val="20"/>
    </w:rPr>
  </w:style>
  <w:style w:type="character" w:customStyle="1" w:styleId="EndnoteTextChar">
    <w:name w:val="Endnote Text Char"/>
    <w:basedOn w:val="DefaultParagraphFont"/>
    <w:link w:val="EndnoteText"/>
    <w:uiPriority w:val="99"/>
    <w:semiHidden/>
    <w:rsid w:val="00F74058"/>
    <w:rPr>
      <w:rFonts w:eastAsia="Times New Roman"/>
      <w:sz w:val="20"/>
      <w:szCs w:val="20"/>
      <w:u w:val="none"/>
      <w:lang w:val="en-US"/>
    </w:rPr>
  </w:style>
  <w:style w:type="character" w:styleId="EndnoteReference">
    <w:name w:val="endnote reference"/>
    <w:basedOn w:val="DefaultParagraphFont"/>
    <w:uiPriority w:val="99"/>
    <w:semiHidden/>
    <w:unhideWhenUsed/>
    <w:rsid w:val="00F74058"/>
    <w:rPr>
      <w:vertAlign w:val="superscript"/>
    </w:rPr>
  </w:style>
  <w:style w:type="paragraph" w:customStyle="1" w:styleId="ecxmsonormal">
    <w:name w:val="ecxmsonormal"/>
    <w:basedOn w:val="Normal"/>
    <w:rsid w:val="008D6725"/>
    <w:pPr>
      <w:spacing w:after="324"/>
    </w:pPr>
    <w:rPr>
      <w:lang w:val="el-GR" w:eastAsia="el-GR"/>
    </w:rPr>
  </w:style>
  <w:style w:type="paragraph" w:customStyle="1" w:styleId="Char">
    <w:name w:val="Char"/>
    <w:basedOn w:val="Normal"/>
    <w:rsid w:val="0055040D"/>
    <w:pPr>
      <w:spacing w:after="160" w:line="240" w:lineRule="exact"/>
    </w:pPr>
    <w:rPr>
      <w:rFonts w:ascii="Tahoma" w:hAnsi="Tahoma"/>
      <w:sz w:val="20"/>
      <w:szCs w:val="20"/>
    </w:rPr>
  </w:style>
  <w:style w:type="character" w:styleId="LineNumber">
    <w:name w:val="line number"/>
    <w:basedOn w:val="DefaultParagraphFont"/>
    <w:uiPriority w:val="99"/>
    <w:semiHidden/>
    <w:unhideWhenUsed/>
    <w:rsid w:val="007A045B"/>
  </w:style>
  <w:style w:type="paragraph" w:styleId="NormalWeb">
    <w:name w:val="Normal (Web)"/>
    <w:basedOn w:val="Normal"/>
    <w:uiPriority w:val="99"/>
    <w:rsid w:val="00166499"/>
    <w:pPr>
      <w:spacing w:before="100" w:beforeAutospacing="1" w:after="100" w:afterAutospacing="1"/>
    </w:pPr>
    <w:rPr>
      <w:rFonts w:ascii="Calibri" w:eastAsia="Calibri" w:hAnsi="Calibri" w:cs="Calibri"/>
      <w:color w:val="000000"/>
      <w:lang w:val="el-GR" w:eastAsia="el-GR"/>
    </w:rPr>
  </w:style>
  <w:style w:type="paragraph" w:styleId="CommentSubject">
    <w:name w:val="annotation subject"/>
    <w:basedOn w:val="CommentText"/>
    <w:next w:val="CommentText"/>
    <w:link w:val="CommentSubjectChar"/>
    <w:uiPriority w:val="99"/>
    <w:semiHidden/>
    <w:unhideWhenUsed/>
    <w:rsid w:val="00BA0A37"/>
    <w:rPr>
      <w:b/>
      <w:bCs/>
    </w:rPr>
  </w:style>
  <w:style w:type="character" w:customStyle="1" w:styleId="CommentSubjectChar">
    <w:name w:val="Comment Subject Char"/>
    <w:basedOn w:val="CommentTextChar"/>
    <w:link w:val="CommentSubject"/>
    <w:uiPriority w:val="99"/>
    <w:semiHidden/>
    <w:rsid w:val="00BA0A3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image" Target="media/image5.png"/><Relationship Id="rId21" Type="http://schemas.openxmlformats.org/officeDocument/2006/relationships/header" Target="header8.xml"/><Relationship Id="rId34" Type="http://schemas.openxmlformats.org/officeDocument/2006/relationships/chart" Target="charts/chart3.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diagramData" Target="diagrams/data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chart" Target="charts/chart1.xml"/><Relationship Id="rId33" Type="http://schemas.openxmlformats.org/officeDocument/2006/relationships/chart" Target="charts/chart2.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emf"/><Relationship Id="rId41" Type="http://schemas.openxmlformats.org/officeDocument/2006/relationships/header" Target="header1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image" Target="media/image4.jpeg"/><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image" Target="media/image2.emf"/><Relationship Id="rId36" Type="http://schemas.openxmlformats.org/officeDocument/2006/relationships/chart" Target="charts/chart5.xml"/><Relationship Id="rId49"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image" Target="media/image7.emf"/><Relationship Id="rId52"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cid:image001.jpg@01CB8195.3CE74210" TargetMode="Externa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yperlink" Target="http://www.google.com/dictionary?source=translation&amp;hl=en&amp;q=&#913;&#958;&#953;&#959;&#960;&#959;&#943;&#951;&#963;&#951;%20&#964;&#969;&#957;%20&#932;&#928;&#917;%20&#945;&#960;&#972;%20&#964;&#953;&#962;%20&#949;&#960;&#953;&#967;&#949;&#953;&#961;&#942;&#963;&#949;&#953;&#962;%20&#964;&#972;&#963;&#959;%20&#963;&#964;&#953;&#962;%20&#948;&#953;&#945;&#948;&#953;&#954;&#945;&#963;&#943;&#949;&#962;%20&#964;&#959;&#965;&#962;%20&#972;&#963;&#959;&#957;%20&#954;&#945;&#953;%20&#963;&#964;&#951;&#957;%20&#949;&#954;&#960;&#945;&#943;&#948;&#949;&#965;&#963;&#951;%20&#964;&#959;&#965;%20&#945;&#957;&#952;&#961;&#974;&#960;&#953;&#957;&#959;&#965;%20&#948;&#965;&#957;&#945;&#956;&#953;&#954;&#959;&#973;%20&#964;&#959;&#965;&#962;%20&#941;&#964;&#963;&#953;%20&#974;&#963;&#964;&#949;%20&#957;&#945;%20&#945;&#965;&#958;&#942;&#963;&#959;&#965;&#957;%20&#964;&#951;&#957;%20&#960;&#945;&#961;&#945;&#947;&#969;&#947;&#953;&#954;&#972;&#964;&#951;&#964;&#945;%20&#964;&#959;&#965;&#962;%20&#954;&#945;&#953;%20&#957;&#945;%20&#947;&#943;&#957;&#959;&#965;&#957;%20&#960;&#953;&#959;%20&#945;&#957;&#964;&#945;&#947;&#969;&#957;&#953;&#963;&#964;&#953;&#954;&#941;&#962;%20&#963;&#964;&#951;&#957;%20&#949;&#947;&#967;&#974;&#961;&#953;&#945;%20&#954;&#945;&#953;%20&#948;&#953;&#949;&#952;&#957;&#942;%20&#945;&#947;&#959;&#961;&#940;.%20&#917;&#960;&#953;&#960;&#955;&#941;&#959;&#957;,%20&#960;&#961;&#959;&#974;&#952;&#951;&#963;&#951;%20&#964;&#951;&#962;%20&#941;&#961;&#949;&#965;&#957;&#945;&#962;%20&#954;&#945;&#953;%20&#964;&#951;&#962;%20&#954;&#945;&#953;&#957;&#959;&#964;&#959;&#956;&#943;&#945;&#962;%20&#963;&#964;&#959;%20&#964;&#959;&#956;&#941;&#945;%20&#964;&#969;&#957;%20&#932;&#928;&#917;%20&#954;&#945;&#953;%20&#964;&#951;&#957;%20&#945;&#973;&#958;&#951;&#963;&#951;%20&#964;&#969;&#957;%20&#948;&#951;&#956;&#972;&#963;&#953;&#969;&#957;%20&#954;&#945;&#953;%20&#953;&#948;&#953;&#969;&#964;&#953;&#954;&#974;&#957;%20&#949;&#960;&#949;&#957;&#948;&#973;&#963;&#949;&#969;&#957;%20&#963;&#964;&#959;%20&#964;&#959;&#956;&#941;&#945;%20&#964;&#951;&#962;%20&#941;&#961;&#949;&#965;&#957;&#945;&#962;%20&#954;&#945;&#953;%20&#954;&#945;&#953;&#957;&#959;&#964;&#959;&#956;&#943;&#945;&#962;.%20%20%20&amp;langpair=el|en" TargetMode="External"/><Relationship Id="rId35" Type="http://schemas.openxmlformats.org/officeDocument/2006/relationships/chart" Target="charts/chart4.xml"/><Relationship Id="rId43" Type="http://schemas.openxmlformats.org/officeDocument/2006/relationships/image" Target="media/image6.emf"/><Relationship Id="rId48" Type="http://schemas.openxmlformats.org/officeDocument/2006/relationships/header" Target="header23.xml"/><Relationship Id="rId56" Type="http://schemas.microsoft.com/office/2007/relationships/diagramDrawing" Target="diagrams/drawing1.xml"/><Relationship Id="rId8" Type="http://schemas.openxmlformats.org/officeDocument/2006/relationships/image" Target="media/image1.jpeg"/><Relationship Id="rId51" Type="http://schemas.openxmlformats.org/officeDocument/2006/relationships/diagramLayout" Target="diagrams/layou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RODOULA\Graphs\Copy%20of%20Xl0000005.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Chart%20in%20Microsoft%20Office%20PowerPoint"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GRAPH!$B$35</c:f>
              <c:strCache>
                <c:ptCount val="1"/>
                <c:pt idx="0">
                  <c:v>Κύπριοι φοιτητές στο εξωτερικό</c:v>
                </c:pt>
              </c:strCache>
            </c:strRef>
          </c:tx>
          <c:spPr>
            <a:ln>
              <a:solidFill>
                <a:srgbClr val="00B050"/>
              </a:solidFill>
            </a:ln>
          </c:spPr>
          <c:marker>
            <c:spPr>
              <a:ln>
                <a:solidFill>
                  <a:srgbClr val="00B050"/>
                </a:solidFill>
              </a:ln>
            </c:spPr>
          </c:marker>
          <c:cat>
            <c:strRef>
              <c:f>GRAPH!$A$36:$A$54</c:f>
              <c:strCache>
                <c:ptCount val="19"/>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strCache>
            </c:strRef>
          </c:cat>
          <c:val>
            <c:numRef>
              <c:f>GRAPH!$B$36:$B$54</c:f>
              <c:numCache>
                <c:formatCode>General</c:formatCode>
                <c:ptCount val="19"/>
                <c:pt idx="0">
                  <c:v>9028</c:v>
                </c:pt>
                <c:pt idx="1">
                  <c:v>9388</c:v>
                </c:pt>
                <c:pt idx="2">
                  <c:v>9066</c:v>
                </c:pt>
                <c:pt idx="3">
                  <c:v>8866</c:v>
                </c:pt>
                <c:pt idx="4">
                  <c:v>9067</c:v>
                </c:pt>
                <c:pt idx="5">
                  <c:v>9213</c:v>
                </c:pt>
                <c:pt idx="6">
                  <c:v>9813</c:v>
                </c:pt>
                <c:pt idx="7">
                  <c:v>10815</c:v>
                </c:pt>
                <c:pt idx="8">
                  <c:v>12488</c:v>
                </c:pt>
                <c:pt idx="9">
                  <c:v>12147</c:v>
                </c:pt>
                <c:pt idx="10">
                  <c:v>13650</c:v>
                </c:pt>
                <c:pt idx="11">
                  <c:v>14882</c:v>
                </c:pt>
                <c:pt idx="12">
                  <c:v>16374</c:v>
                </c:pt>
                <c:pt idx="13">
                  <c:v>17631</c:v>
                </c:pt>
                <c:pt idx="14">
                  <c:v>19400</c:v>
                </c:pt>
                <c:pt idx="15">
                  <c:v>20969</c:v>
                </c:pt>
                <c:pt idx="16">
                  <c:v>21188</c:v>
                </c:pt>
                <c:pt idx="17">
                  <c:v>22530</c:v>
                </c:pt>
                <c:pt idx="18">
                  <c:v>21473</c:v>
                </c:pt>
              </c:numCache>
            </c:numRef>
          </c:val>
        </c:ser>
        <c:ser>
          <c:idx val="1"/>
          <c:order val="1"/>
          <c:tx>
            <c:strRef>
              <c:f>GRAPH!$C$35</c:f>
              <c:strCache>
                <c:ptCount val="1"/>
                <c:pt idx="0">
                  <c:v>Κύπριοι φοιτητές στην Κύπρο</c:v>
                </c:pt>
              </c:strCache>
            </c:strRef>
          </c:tx>
          <c:spPr>
            <a:ln>
              <a:solidFill>
                <a:srgbClr val="0070C0"/>
              </a:solidFill>
            </a:ln>
          </c:spPr>
          <c:marker>
            <c:spPr>
              <a:ln>
                <a:solidFill>
                  <a:srgbClr val="0070C0"/>
                </a:solidFill>
              </a:ln>
            </c:spPr>
          </c:marker>
          <c:cat>
            <c:strRef>
              <c:f>GRAPH!$A$36:$A$54</c:f>
              <c:strCache>
                <c:ptCount val="19"/>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strCache>
            </c:strRef>
          </c:cat>
          <c:val>
            <c:numRef>
              <c:f>GRAPH!$C$36:$C$54</c:f>
              <c:numCache>
                <c:formatCode>General</c:formatCode>
                <c:ptCount val="19"/>
                <c:pt idx="0">
                  <c:v>5370</c:v>
                </c:pt>
                <c:pt idx="1">
                  <c:v>4955</c:v>
                </c:pt>
                <c:pt idx="2">
                  <c:v>4962</c:v>
                </c:pt>
                <c:pt idx="3">
                  <c:v>5455</c:v>
                </c:pt>
                <c:pt idx="4">
                  <c:v>6331</c:v>
                </c:pt>
                <c:pt idx="5">
                  <c:v>7363</c:v>
                </c:pt>
                <c:pt idx="6">
                  <c:v>8307</c:v>
                </c:pt>
                <c:pt idx="7">
                  <c:v>8786</c:v>
                </c:pt>
                <c:pt idx="8">
                  <c:v>8982</c:v>
                </c:pt>
                <c:pt idx="9">
                  <c:v>8389</c:v>
                </c:pt>
                <c:pt idx="10">
                  <c:v>9462</c:v>
                </c:pt>
                <c:pt idx="11">
                  <c:v>10836</c:v>
                </c:pt>
                <c:pt idx="12">
                  <c:v>12990</c:v>
                </c:pt>
                <c:pt idx="13">
                  <c:v>14170</c:v>
                </c:pt>
                <c:pt idx="14">
                  <c:v>15177</c:v>
                </c:pt>
                <c:pt idx="15">
                  <c:v>14957</c:v>
                </c:pt>
                <c:pt idx="16">
                  <c:v>16266</c:v>
                </c:pt>
                <c:pt idx="17">
                  <c:v>17936</c:v>
                </c:pt>
                <c:pt idx="18">
                  <c:v>20221</c:v>
                </c:pt>
              </c:numCache>
            </c:numRef>
          </c:val>
        </c:ser>
        <c:ser>
          <c:idx val="2"/>
          <c:order val="2"/>
          <c:tx>
            <c:strRef>
              <c:f>GRAPH!$D$35</c:f>
              <c:strCache>
                <c:ptCount val="1"/>
                <c:pt idx="0">
                  <c:v>Ξένοι φοιτητές στην Κύπρο</c:v>
                </c:pt>
              </c:strCache>
            </c:strRef>
          </c:tx>
          <c:spPr>
            <a:ln>
              <a:solidFill>
                <a:srgbClr val="C00000"/>
              </a:solidFill>
            </a:ln>
          </c:spPr>
          <c:marker>
            <c:spPr>
              <a:ln>
                <a:solidFill>
                  <a:srgbClr val="C00000"/>
                </a:solidFill>
              </a:ln>
            </c:spPr>
          </c:marker>
          <c:cat>
            <c:strRef>
              <c:f>GRAPH!$A$36:$A$54</c:f>
              <c:strCache>
                <c:ptCount val="19"/>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strCache>
            </c:strRef>
          </c:cat>
          <c:val>
            <c:numRef>
              <c:f>GRAPH!$D$36:$D$54</c:f>
              <c:numCache>
                <c:formatCode>General</c:formatCode>
                <c:ptCount val="19"/>
                <c:pt idx="0">
                  <c:v>1184</c:v>
                </c:pt>
                <c:pt idx="1">
                  <c:v>997</c:v>
                </c:pt>
                <c:pt idx="2">
                  <c:v>1301</c:v>
                </c:pt>
                <c:pt idx="3">
                  <c:v>1277</c:v>
                </c:pt>
                <c:pt idx="4">
                  <c:v>1434</c:v>
                </c:pt>
                <c:pt idx="5">
                  <c:v>1511</c:v>
                </c:pt>
                <c:pt idx="6">
                  <c:v>1675</c:v>
                </c:pt>
                <c:pt idx="7">
                  <c:v>1741</c:v>
                </c:pt>
                <c:pt idx="8">
                  <c:v>1860</c:v>
                </c:pt>
                <c:pt idx="9">
                  <c:v>2025</c:v>
                </c:pt>
                <c:pt idx="10">
                  <c:v>2472</c:v>
                </c:pt>
                <c:pt idx="11">
                  <c:v>3058</c:v>
                </c:pt>
                <c:pt idx="12">
                  <c:v>5282</c:v>
                </c:pt>
                <c:pt idx="13">
                  <c:v>6679</c:v>
                </c:pt>
                <c:pt idx="14">
                  <c:v>4901</c:v>
                </c:pt>
                <c:pt idx="15">
                  <c:v>5630</c:v>
                </c:pt>
                <c:pt idx="16">
                  <c:v>5961</c:v>
                </c:pt>
                <c:pt idx="17">
                  <c:v>7752</c:v>
                </c:pt>
                <c:pt idx="18">
                  <c:v>10765</c:v>
                </c:pt>
              </c:numCache>
            </c:numRef>
          </c:val>
        </c:ser>
        <c:marker val="1"/>
        <c:axId val="36854016"/>
        <c:axId val="36856192"/>
      </c:lineChart>
      <c:catAx>
        <c:axId val="36854016"/>
        <c:scaling>
          <c:orientation val="minMax"/>
        </c:scaling>
        <c:axPos val="b"/>
        <c:tickLblPos val="nextTo"/>
        <c:txPr>
          <a:bodyPr/>
          <a:lstStyle/>
          <a:p>
            <a:pPr>
              <a:defRPr lang="el-GR"/>
            </a:pPr>
            <a:endParaRPr lang="en-US"/>
          </a:p>
        </c:txPr>
        <c:crossAx val="36856192"/>
        <c:crosses val="autoZero"/>
        <c:auto val="1"/>
        <c:lblAlgn val="ctr"/>
        <c:lblOffset val="100"/>
      </c:catAx>
      <c:valAx>
        <c:axId val="36856192"/>
        <c:scaling>
          <c:orientation val="minMax"/>
        </c:scaling>
        <c:axPos val="l"/>
        <c:majorGridlines/>
        <c:numFmt formatCode="General" sourceLinked="1"/>
        <c:tickLblPos val="nextTo"/>
        <c:txPr>
          <a:bodyPr/>
          <a:lstStyle/>
          <a:p>
            <a:pPr>
              <a:defRPr lang="el-GR"/>
            </a:pPr>
            <a:endParaRPr lang="en-US"/>
          </a:p>
        </c:txPr>
        <c:crossAx val="36854016"/>
        <c:crosses val="autoZero"/>
        <c:crossBetween val="between"/>
      </c:valAx>
    </c:plotArea>
    <c:legend>
      <c:legendPos val="r"/>
      <c:txPr>
        <a:bodyPr/>
        <a:lstStyle/>
        <a:p>
          <a:pPr>
            <a:defRPr lang="el-GR"/>
          </a:pPr>
          <a:endParaRPr lang="en-US"/>
        </a:p>
      </c:txPr>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0"/>
    </c:view3D>
    <c:plotArea>
      <c:layout>
        <c:manualLayout>
          <c:layoutTarget val="inner"/>
          <c:xMode val="edge"/>
          <c:yMode val="edge"/>
          <c:x val="8.0952380952381026E-2"/>
          <c:y val="0.29904306220096138"/>
          <c:w val="0.82222222222222219"/>
          <c:h val="0.49043062200956938"/>
        </c:manualLayout>
      </c:layout>
      <c:pie3DChart>
        <c:varyColors val="1"/>
        <c:ser>
          <c:idx val="0"/>
          <c:order val="0"/>
          <c:tx>
            <c:strRef>
              <c:f>Sheet1!$A$2</c:f>
              <c:strCache>
                <c:ptCount val="1"/>
              </c:strCache>
            </c:strRef>
          </c:tx>
          <c:spPr>
            <a:solidFill>
              <a:schemeClr val="accent1"/>
            </a:solidFill>
            <a:ln w="7121">
              <a:solidFill>
                <a:schemeClr val="tx1"/>
              </a:solidFill>
              <a:prstDash val="solid"/>
            </a:ln>
          </c:spPr>
          <c:explosion val="25"/>
          <c:dPt>
            <c:idx val="0"/>
            <c:spPr>
              <a:solidFill>
                <a:srgbClr val="0000FF"/>
              </a:solidFill>
              <a:ln w="7121">
                <a:solidFill>
                  <a:schemeClr val="tx1"/>
                </a:solidFill>
                <a:prstDash val="solid"/>
              </a:ln>
            </c:spPr>
          </c:dPt>
          <c:dPt>
            <c:idx val="1"/>
            <c:spPr>
              <a:solidFill>
                <a:srgbClr val="008000"/>
              </a:solidFill>
              <a:ln w="7121">
                <a:solidFill>
                  <a:schemeClr val="tx1"/>
                </a:solidFill>
                <a:prstDash val="solid"/>
              </a:ln>
            </c:spPr>
          </c:dPt>
          <c:dPt>
            <c:idx val="2"/>
            <c:spPr>
              <a:solidFill>
                <a:srgbClr val="993366"/>
              </a:solidFill>
              <a:ln w="7121">
                <a:solidFill>
                  <a:schemeClr val="tx1"/>
                </a:solidFill>
                <a:prstDash val="solid"/>
              </a:ln>
            </c:spPr>
          </c:dPt>
          <c:dPt>
            <c:idx val="3"/>
            <c:spPr>
              <a:solidFill>
                <a:srgbClr val="CCFFFF"/>
              </a:solidFill>
              <a:ln w="7121">
                <a:solidFill>
                  <a:schemeClr val="tx1"/>
                </a:solidFill>
                <a:prstDash val="solid"/>
              </a:ln>
            </c:spPr>
          </c:dPt>
          <c:dLbls>
            <c:dLbl>
              <c:idx val="0"/>
              <c:numFmt formatCode="0.0%" sourceLinked="0"/>
              <c:spPr>
                <a:noFill/>
                <a:ln w="14241">
                  <a:noFill/>
                </a:ln>
              </c:spPr>
              <c:txPr>
                <a:bodyPr/>
                <a:lstStyle/>
                <a:p>
                  <a:pPr>
                    <a:defRPr lang="el-GR" sz="1121" b="1" i="0" u="none" strike="noStrike" baseline="0">
                      <a:solidFill>
                        <a:schemeClr val="tx1"/>
                      </a:solidFill>
                      <a:latin typeface="Arial"/>
                      <a:ea typeface="Arial"/>
                      <a:cs typeface="Arial"/>
                    </a:defRPr>
                  </a:pPr>
                  <a:endParaRPr lang="en-US"/>
                </a:p>
              </c:txPr>
            </c:dLbl>
            <c:dLbl>
              <c:idx val="1"/>
              <c:layout>
                <c:manualLayout>
                  <c:x val="8.2539682539683246E-2"/>
                  <c:y val="0.16956718979033253"/>
                </c:manualLayout>
              </c:layout>
              <c:numFmt formatCode="0.0%" sourceLinked="0"/>
              <c:spPr>
                <a:noFill/>
                <a:ln w="14241">
                  <a:noFill/>
                </a:ln>
              </c:spPr>
              <c:txPr>
                <a:bodyPr/>
                <a:lstStyle/>
                <a:p>
                  <a:pPr>
                    <a:defRPr lang="el-GR" sz="1121" b="1" i="0" u="none" strike="noStrike" baseline="0">
                      <a:solidFill>
                        <a:schemeClr val="tx1"/>
                      </a:solidFill>
                      <a:latin typeface="Arial"/>
                      <a:ea typeface="Arial"/>
                      <a:cs typeface="Arial"/>
                    </a:defRPr>
                  </a:pPr>
                  <a:endParaRPr lang="en-US"/>
                </a:p>
              </c:txPr>
              <c:dLblPos val="bestFit"/>
              <c:showCatName val="1"/>
              <c:showPercent val="1"/>
            </c:dLbl>
            <c:dLbl>
              <c:idx val="2"/>
              <c:layout>
                <c:manualLayout>
                  <c:x val="2.0634920634920652E-2"/>
                  <c:y val="-0.21708742023693317"/>
                </c:manualLayout>
              </c:layout>
              <c:numFmt formatCode="0.0%" sourceLinked="0"/>
              <c:spPr>
                <a:noFill/>
                <a:ln w="14241">
                  <a:noFill/>
                </a:ln>
              </c:spPr>
              <c:txPr>
                <a:bodyPr/>
                <a:lstStyle/>
                <a:p>
                  <a:pPr>
                    <a:defRPr lang="el-GR" sz="1121" b="1" i="0" u="none" strike="noStrike" baseline="0">
                      <a:solidFill>
                        <a:schemeClr val="tx1"/>
                      </a:solidFill>
                      <a:latin typeface="Arial"/>
                      <a:ea typeface="Arial"/>
                      <a:cs typeface="Arial"/>
                    </a:defRPr>
                  </a:pPr>
                  <a:endParaRPr lang="en-US"/>
                </a:p>
              </c:txPr>
              <c:dLblPos val="bestFit"/>
              <c:showCatName val="1"/>
              <c:showPercent val="1"/>
            </c:dLbl>
            <c:dLbl>
              <c:idx val="3"/>
              <c:layout>
                <c:manualLayout>
                  <c:x val="0.25464355165882813"/>
                  <c:y val="-0.16165061475499587"/>
                </c:manualLayout>
              </c:layout>
              <c:numFmt formatCode="0.0%" sourceLinked="0"/>
              <c:spPr>
                <a:noFill/>
                <a:ln w="14241">
                  <a:noFill/>
                </a:ln>
              </c:spPr>
              <c:txPr>
                <a:bodyPr/>
                <a:lstStyle/>
                <a:p>
                  <a:pPr>
                    <a:defRPr lang="el-GR" sz="1121" b="1" i="0" u="none" strike="noStrike" baseline="0">
                      <a:solidFill>
                        <a:schemeClr val="tx1"/>
                      </a:solidFill>
                      <a:latin typeface="Arial"/>
                      <a:ea typeface="Arial"/>
                      <a:cs typeface="Arial"/>
                    </a:defRPr>
                  </a:pPr>
                  <a:endParaRPr lang="en-US"/>
                </a:p>
              </c:txPr>
              <c:dLblPos val="bestFit"/>
              <c:showCatName val="1"/>
              <c:showPercent val="1"/>
            </c:dLbl>
            <c:numFmt formatCode="0.0%" sourceLinked="0"/>
            <c:spPr>
              <a:noFill/>
              <a:ln w="14241">
                <a:noFill/>
              </a:ln>
            </c:spPr>
            <c:txPr>
              <a:bodyPr/>
              <a:lstStyle/>
              <a:p>
                <a:pPr>
                  <a:defRPr lang="el-GR" sz="1121" b="0" i="0" u="none" strike="noStrike" baseline="0">
                    <a:solidFill>
                      <a:schemeClr val="tx1"/>
                    </a:solidFill>
                    <a:latin typeface="Arial"/>
                    <a:ea typeface="Arial"/>
                    <a:cs typeface="Arial"/>
                  </a:defRPr>
                </a:pPr>
                <a:endParaRPr lang="en-US"/>
              </a:p>
            </c:txPr>
            <c:showCatName val="1"/>
            <c:showPercent val="1"/>
          </c:dLbls>
          <c:cat>
            <c:strRef>
              <c:f>Sheet1!$B$1:$E$1</c:f>
              <c:strCache>
                <c:ptCount val="4"/>
                <c:pt idx="0">
                  <c:v>Oil Products</c:v>
                </c:pt>
                <c:pt idx="1">
                  <c:v>RES</c:v>
                </c:pt>
                <c:pt idx="2">
                  <c:v>Solid Fuels</c:v>
                </c:pt>
                <c:pt idx="3">
                  <c:v>Electricity</c:v>
                </c:pt>
              </c:strCache>
            </c:strRef>
          </c:cat>
          <c:val>
            <c:numRef>
              <c:f>Sheet1!$B$2:$E$2</c:f>
              <c:numCache>
                <c:formatCode>General</c:formatCode>
                <c:ptCount val="4"/>
                <c:pt idx="0">
                  <c:v>67.61999999999999</c:v>
                </c:pt>
                <c:pt idx="1">
                  <c:v>4.8</c:v>
                </c:pt>
                <c:pt idx="2">
                  <c:v>6.4</c:v>
                </c:pt>
                <c:pt idx="3">
                  <c:v>21.18</c:v>
                </c:pt>
              </c:numCache>
            </c:numRef>
          </c:val>
        </c:ser>
        <c:ser>
          <c:idx val="1"/>
          <c:order val="1"/>
          <c:tx>
            <c:strRef>
              <c:f>Sheet1!$A$3</c:f>
              <c:strCache>
                <c:ptCount val="1"/>
              </c:strCache>
            </c:strRef>
          </c:tx>
          <c:spPr>
            <a:solidFill>
              <a:schemeClr val="accent2"/>
            </a:solidFill>
            <a:ln w="7121">
              <a:solidFill>
                <a:schemeClr val="tx1"/>
              </a:solidFill>
              <a:prstDash val="solid"/>
            </a:ln>
          </c:spPr>
          <c:explosion val="25"/>
          <c:dPt>
            <c:idx val="0"/>
            <c:spPr>
              <a:solidFill>
                <a:schemeClr val="accent1"/>
              </a:solidFill>
              <a:ln w="7121">
                <a:solidFill>
                  <a:schemeClr val="tx1"/>
                </a:solidFill>
                <a:prstDash val="solid"/>
              </a:ln>
            </c:spPr>
          </c:dPt>
          <c:dPt>
            <c:idx val="2"/>
            <c:spPr>
              <a:solidFill>
                <a:schemeClr val="hlink"/>
              </a:solidFill>
              <a:ln w="7121">
                <a:solidFill>
                  <a:schemeClr val="tx1"/>
                </a:solidFill>
                <a:prstDash val="solid"/>
              </a:ln>
            </c:spPr>
          </c:dPt>
          <c:dPt>
            <c:idx val="3"/>
            <c:spPr>
              <a:solidFill>
                <a:schemeClr val="folHlink"/>
              </a:solidFill>
              <a:ln w="7121">
                <a:solidFill>
                  <a:schemeClr val="tx1"/>
                </a:solidFill>
                <a:prstDash val="solid"/>
              </a:ln>
            </c:spPr>
          </c:dPt>
          <c:dLbls>
            <c:numFmt formatCode="0%" sourceLinked="0"/>
            <c:spPr>
              <a:noFill/>
              <a:ln w="14241">
                <a:noFill/>
              </a:ln>
            </c:spPr>
            <c:txPr>
              <a:bodyPr/>
              <a:lstStyle/>
              <a:p>
                <a:pPr>
                  <a:defRPr lang="el-GR" sz="1598" b="1" i="0" u="none" strike="noStrike" baseline="0">
                    <a:solidFill>
                      <a:schemeClr val="tx1"/>
                    </a:solidFill>
                    <a:latin typeface="Impact"/>
                    <a:ea typeface="Impact"/>
                    <a:cs typeface="Impact"/>
                  </a:defRPr>
                </a:pPr>
                <a:endParaRPr lang="en-US"/>
              </a:p>
            </c:txPr>
            <c:showCatName val="1"/>
            <c:showPercent val="1"/>
          </c:dLbls>
          <c:cat>
            <c:strRef>
              <c:f>Sheet1!$B$1:$E$1</c:f>
              <c:strCache>
                <c:ptCount val="4"/>
                <c:pt idx="0">
                  <c:v>Oil Products</c:v>
                </c:pt>
                <c:pt idx="1">
                  <c:v>RES</c:v>
                </c:pt>
                <c:pt idx="2">
                  <c:v>Solid Fuels</c:v>
                </c:pt>
                <c:pt idx="3">
                  <c:v>Electricity</c:v>
                </c:pt>
              </c:strCache>
            </c:strRef>
          </c:cat>
          <c:val>
            <c:numRef>
              <c:f>Sheet1!$B$3:$E$3</c:f>
              <c:numCache>
                <c:formatCode>General</c:formatCode>
                <c:ptCount val="4"/>
              </c:numCache>
            </c:numRef>
          </c:val>
        </c:ser>
        <c:ser>
          <c:idx val="2"/>
          <c:order val="2"/>
          <c:tx>
            <c:strRef>
              <c:f>Sheet1!$A$4</c:f>
              <c:strCache>
                <c:ptCount val="1"/>
              </c:strCache>
            </c:strRef>
          </c:tx>
          <c:spPr>
            <a:solidFill>
              <a:schemeClr val="hlink"/>
            </a:solidFill>
            <a:ln w="7121">
              <a:solidFill>
                <a:schemeClr val="tx1"/>
              </a:solidFill>
              <a:prstDash val="solid"/>
            </a:ln>
          </c:spPr>
          <c:explosion val="25"/>
          <c:dPt>
            <c:idx val="0"/>
            <c:spPr>
              <a:solidFill>
                <a:schemeClr val="accent1"/>
              </a:solidFill>
              <a:ln w="7121">
                <a:solidFill>
                  <a:schemeClr val="tx1"/>
                </a:solidFill>
                <a:prstDash val="solid"/>
              </a:ln>
            </c:spPr>
          </c:dPt>
          <c:dPt>
            <c:idx val="1"/>
            <c:spPr>
              <a:solidFill>
                <a:schemeClr val="accent2"/>
              </a:solidFill>
              <a:ln w="7121">
                <a:solidFill>
                  <a:schemeClr val="tx1"/>
                </a:solidFill>
                <a:prstDash val="solid"/>
              </a:ln>
            </c:spPr>
          </c:dPt>
          <c:dPt>
            <c:idx val="3"/>
            <c:spPr>
              <a:solidFill>
                <a:schemeClr val="folHlink"/>
              </a:solidFill>
              <a:ln w="7121">
                <a:solidFill>
                  <a:schemeClr val="tx1"/>
                </a:solidFill>
                <a:prstDash val="solid"/>
              </a:ln>
            </c:spPr>
          </c:dPt>
          <c:dLbls>
            <c:numFmt formatCode="0%" sourceLinked="0"/>
            <c:spPr>
              <a:noFill/>
              <a:ln w="14241">
                <a:noFill/>
              </a:ln>
            </c:spPr>
            <c:txPr>
              <a:bodyPr/>
              <a:lstStyle/>
              <a:p>
                <a:pPr>
                  <a:defRPr lang="el-GR" sz="1598" b="1" i="0" u="none" strike="noStrike" baseline="0">
                    <a:solidFill>
                      <a:schemeClr val="tx1"/>
                    </a:solidFill>
                    <a:latin typeface="Impact"/>
                    <a:ea typeface="Impact"/>
                    <a:cs typeface="Impact"/>
                  </a:defRPr>
                </a:pPr>
                <a:endParaRPr lang="en-US"/>
              </a:p>
            </c:txPr>
            <c:showCatName val="1"/>
            <c:showPercent val="1"/>
          </c:dLbls>
          <c:cat>
            <c:strRef>
              <c:f>Sheet1!$B$1:$E$1</c:f>
              <c:strCache>
                <c:ptCount val="4"/>
                <c:pt idx="0">
                  <c:v>Oil Products</c:v>
                </c:pt>
                <c:pt idx="1">
                  <c:v>RES</c:v>
                </c:pt>
                <c:pt idx="2">
                  <c:v>Solid Fuels</c:v>
                </c:pt>
                <c:pt idx="3">
                  <c:v>Electricity</c:v>
                </c:pt>
              </c:strCache>
            </c:strRef>
          </c:cat>
          <c:val>
            <c:numRef>
              <c:f>Sheet1!$B$4:$E$4</c:f>
              <c:numCache>
                <c:formatCode>General</c:formatCode>
                <c:ptCount val="4"/>
              </c:numCache>
            </c:numRef>
          </c:val>
        </c:ser>
        <c:dLbls>
          <c:showCatName val="1"/>
          <c:showPercent val="1"/>
        </c:dLbls>
      </c:pie3DChart>
      <c:spPr>
        <a:noFill/>
        <a:ln w="14241">
          <a:noFill/>
        </a:ln>
      </c:spPr>
    </c:plotArea>
    <c:plotVisOnly val="1"/>
    <c:dispBlanksAs val="zero"/>
  </c:chart>
  <c:spPr>
    <a:noFill/>
    <a:ln>
      <a:noFill/>
    </a:ln>
  </c:spPr>
  <c:txPr>
    <a:bodyPr/>
    <a:lstStyle/>
    <a:p>
      <a:pPr>
        <a:defRPr sz="1009" b="1" i="0" u="none" strike="noStrike" baseline="0">
          <a:solidFill>
            <a:schemeClr val="tx1"/>
          </a:solidFill>
          <a:latin typeface="Impact"/>
          <a:ea typeface="Impact"/>
          <a:cs typeface="Impact"/>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0"/>
    </c:view3D>
    <c:plotArea>
      <c:layout>
        <c:manualLayout>
          <c:layoutTarget val="inner"/>
          <c:xMode val="edge"/>
          <c:yMode val="edge"/>
          <c:x val="7.7777777777777779E-2"/>
          <c:y val="0.29665071770335188"/>
          <c:w val="0.81904761904761902"/>
          <c:h val="0.49043062200956938"/>
        </c:manualLayout>
      </c:layout>
      <c:pie3DChart>
        <c:varyColors val="1"/>
        <c:ser>
          <c:idx val="0"/>
          <c:order val="0"/>
          <c:tx>
            <c:strRef>
              <c:f>'Sheet1'!$A$2</c:f>
              <c:strCache>
                <c:ptCount val="1"/>
                <c:pt idx="0">
                  <c:v>Oil Products</c:v>
                </c:pt>
              </c:strCache>
            </c:strRef>
          </c:tx>
          <c:spPr>
            <a:solidFill>
              <a:schemeClr val="accent1"/>
            </a:solidFill>
            <a:ln w="7633">
              <a:solidFill>
                <a:schemeClr val="tx1"/>
              </a:solidFill>
              <a:prstDash val="solid"/>
            </a:ln>
          </c:spPr>
          <c:explosion val="25"/>
          <c:dPt>
            <c:idx val="0"/>
            <c:spPr>
              <a:solidFill>
                <a:srgbClr val="0000FF"/>
              </a:solidFill>
              <a:ln w="7633">
                <a:solidFill>
                  <a:schemeClr val="tx1"/>
                </a:solidFill>
                <a:prstDash val="solid"/>
              </a:ln>
            </c:spPr>
          </c:dPt>
          <c:dPt>
            <c:idx val="1"/>
            <c:spPr>
              <a:solidFill>
                <a:srgbClr val="008000"/>
              </a:solidFill>
              <a:ln w="7633">
                <a:solidFill>
                  <a:schemeClr val="tx1"/>
                </a:solidFill>
                <a:prstDash val="solid"/>
              </a:ln>
            </c:spPr>
          </c:dPt>
          <c:dPt>
            <c:idx val="2"/>
            <c:spPr>
              <a:solidFill>
                <a:srgbClr val="993366"/>
              </a:solidFill>
              <a:ln w="7633">
                <a:solidFill>
                  <a:schemeClr val="tx1"/>
                </a:solidFill>
                <a:prstDash val="solid"/>
              </a:ln>
            </c:spPr>
          </c:dPt>
          <c:dLbls>
            <c:dLbl>
              <c:idx val="0"/>
              <c:layout>
                <c:manualLayout>
                  <c:x val="-0.47969795219447836"/>
                  <c:y val="-3.0809338442161497E-2"/>
                </c:manualLayout>
              </c:layout>
              <c:dLblPos val="bestFit"/>
              <c:showCatName val="1"/>
              <c:showPercent val="1"/>
            </c:dLbl>
            <c:dLbl>
              <c:idx val="1"/>
              <c:layout>
                <c:manualLayout>
                  <c:x val="-0.12016223907840597"/>
                  <c:y val="3.6408554808057499E-2"/>
                </c:manualLayout>
              </c:layout>
              <c:dLblPos val="bestFit"/>
              <c:showCatName val="1"/>
              <c:showPercent val="1"/>
            </c:dLbl>
            <c:dLbl>
              <c:idx val="2"/>
              <c:layout>
                <c:manualLayout>
                  <c:x val="0.16511784957361614"/>
                  <c:y val="-2.5162658042889977E-2"/>
                </c:manualLayout>
              </c:layout>
              <c:dLblPos val="bestFit"/>
              <c:showCatName val="1"/>
              <c:showPercent val="1"/>
            </c:dLbl>
            <c:dLbl>
              <c:idx val="3"/>
              <c:layout>
                <c:manualLayout>
                  <c:xMode val="edge"/>
                  <c:yMode val="edge"/>
                  <c:x val="0.28888888888890035"/>
                  <c:y val="2.3923444976076554E-3"/>
                </c:manualLayout>
              </c:layout>
              <c:numFmt formatCode="0.0%" sourceLinked="0"/>
              <c:spPr>
                <a:noFill/>
                <a:ln w="15266">
                  <a:noFill/>
                </a:ln>
              </c:spPr>
              <c:txPr>
                <a:bodyPr/>
                <a:lstStyle/>
                <a:p>
                  <a:pPr>
                    <a:defRPr lang="el-GR" sz="1713" b="1" i="0" u="none" strike="noStrike" baseline="0">
                      <a:solidFill>
                        <a:schemeClr val="tx1"/>
                      </a:solidFill>
                      <a:latin typeface="Impact"/>
                      <a:ea typeface="Impact"/>
                      <a:cs typeface="Impact"/>
                    </a:defRPr>
                  </a:pPr>
                  <a:endParaRPr lang="en-US"/>
                </a:p>
              </c:txPr>
              <c:dLblPos val="bestFit"/>
              <c:showCatName val="1"/>
              <c:showPercent val="1"/>
            </c:dLbl>
            <c:numFmt formatCode="0.0%" sourceLinked="0"/>
            <c:spPr>
              <a:noFill/>
              <a:ln w="15266">
                <a:noFill/>
              </a:ln>
            </c:spPr>
            <c:txPr>
              <a:bodyPr/>
              <a:lstStyle/>
              <a:p>
                <a:pPr>
                  <a:defRPr lang="el-GR" sz="1202" b="0" i="0" u="none" strike="noStrike" baseline="0">
                    <a:solidFill>
                      <a:schemeClr val="tx1"/>
                    </a:solidFill>
                    <a:latin typeface="Arial"/>
                    <a:ea typeface="Arial"/>
                    <a:cs typeface="Arial"/>
                  </a:defRPr>
                </a:pPr>
                <a:endParaRPr lang="en-US"/>
              </a:p>
            </c:txPr>
            <c:showCatName val="1"/>
            <c:showPercent val="1"/>
            <c:showLeaderLines val="1"/>
          </c:dLbls>
          <c:cat>
            <c:strRef>
              <c:f>'Sheet1'!$B$1:$D$1</c:f>
              <c:strCache>
                <c:ptCount val="3"/>
                <c:pt idx="0">
                  <c:v>Oil Products</c:v>
                </c:pt>
                <c:pt idx="1">
                  <c:v>RES</c:v>
                </c:pt>
                <c:pt idx="2">
                  <c:v>Solid Fuels</c:v>
                </c:pt>
              </c:strCache>
            </c:strRef>
          </c:cat>
          <c:val>
            <c:numRef>
              <c:f>'Sheet1'!$B$2:$D$2</c:f>
              <c:numCache>
                <c:formatCode>General</c:formatCode>
                <c:ptCount val="3"/>
                <c:pt idx="0">
                  <c:v>95.9</c:v>
                </c:pt>
                <c:pt idx="1">
                  <c:v>3.9</c:v>
                </c:pt>
                <c:pt idx="2">
                  <c:v>0.5</c:v>
                </c:pt>
              </c:numCache>
            </c:numRef>
          </c:val>
        </c:ser>
        <c:ser>
          <c:idx val="1"/>
          <c:order val="1"/>
          <c:tx>
            <c:strRef>
              <c:f>'Sheet1'!$A$3</c:f>
              <c:strCache>
                <c:ptCount val="1"/>
              </c:strCache>
            </c:strRef>
          </c:tx>
          <c:spPr>
            <a:solidFill>
              <a:schemeClr val="accent2"/>
            </a:solidFill>
            <a:ln w="7633">
              <a:solidFill>
                <a:schemeClr val="tx1"/>
              </a:solidFill>
              <a:prstDash val="solid"/>
            </a:ln>
          </c:spPr>
          <c:explosion val="25"/>
          <c:dPt>
            <c:idx val="0"/>
            <c:spPr>
              <a:solidFill>
                <a:schemeClr val="accent1"/>
              </a:solidFill>
              <a:ln w="7633">
                <a:solidFill>
                  <a:schemeClr val="tx1"/>
                </a:solidFill>
                <a:prstDash val="solid"/>
              </a:ln>
            </c:spPr>
          </c:dPt>
          <c:dPt>
            <c:idx val="2"/>
            <c:spPr>
              <a:solidFill>
                <a:schemeClr val="hlink"/>
              </a:solidFill>
              <a:ln w="7633">
                <a:solidFill>
                  <a:schemeClr val="tx1"/>
                </a:solidFill>
                <a:prstDash val="solid"/>
              </a:ln>
            </c:spPr>
          </c:dPt>
          <c:dLbls>
            <c:numFmt formatCode="0%" sourceLinked="0"/>
            <c:spPr>
              <a:noFill/>
              <a:ln w="15266">
                <a:noFill/>
              </a:ln>
            </c:spPr>
            <c:txPr>
              <a:bodyPr/>
              <a:lstStyle/>
              <a:p>
                <a:pPr>
                  <a:defRPr lang="el-GR" sz="1713" b="1" i="0" u="none" strike="noStrike" baseline="0">
                    <a:solidFill>
                      <a:schemeClr val="tx1"/>
                    </a:solidFill>
                    <a:latin typeface="Impact"/>
                    <a:ea typeface="Impact"/>
                    <a:cs typeface="Impact"/>
                  </a:defRPr>
                </a:pPr>
                <a:endParaRPr lang="en-US"/>
              </a:p>
            </c:txPr>
            <c:showCatName val="1"/>
            <c:showPercent val="1"/>
            <c:showLeaderLines val="1"/>
          </c:dLbls>
          <c:cat>
            <c:strRef>
              <c:f>'Sheet1'!$B$1:$D$1</c:f>
              <c:strCache>
                <c:ptCount val="3"/>
                <c:pt idx="0">
                  <c:v>Oil Products</c:v>
                </c:pt>
                <c:pt idx="1">
                  <c:v>RES</c:v>
                </c:pt>
                <c:pt idx="2">
                  <c:v>Solid Fuels</c:v>
                </c:pt>
              </c:strCache>
            </c:strRef>
          </c:cat>
          <c:val>
            <c:numRef>
              <c:f>'Sheet1'!$B$3:$D$3</c:f>
              <c:numCache>
                <c:formatCode>General</c:formatCode>
                <c:ptCount val="3"/>
              </c:numCache>
            </c:numRef>
          </c:val>
        </c:ser>
        <c:ser>
          <c:idx val="2"/>
          <c:order val="2"/>
          <c:tx>
            <c:strRef>
              <c:f>'Sheet1'!$A$4</c:f>
              <c:strCache>
                <c:ptCount val="1"/>
              </c:strCache>
            </c:strRef>
          </c:tx>
          <c:spPr>
            <a:solidFill>
              <a:schemeClr val="hlink"/>
            </a:solidFill>
            <a:ln w="7633">
              <a:solidFill>
                <a:schemeClr val="tx1"/>
              </a:solidFill>
              <a:prstDash val="solid"/>
            </a:ln>
          </c:spPr>
          <c:explosion val="25"/>
          <c:dPt>
            <c:idx val="0"/>
            <c:spPr>
              <a:solidFill>
                <a:schemeClr val="accent1"/>
              </a:solidFill>
              <a:ln w="7633">
                <a:solidFill>
                  <a:schemeClr val="tx1"/>
                </a:solidFill>
                <a:prstDash val="solid"/>
              </a:ln>
            </c:spPr>
          </c:dPt>
          <c:dPt>
            <c:idx val="1"/>
            <c:spPr>
              <a:solidFill>
                <a:schemeClr val="accent2"/>
              </a:solidFill>
              <a:ln w="7633">
                <a:solidFill>
                  <a:schemeClr val="tx1"/>
                </a:solidFill>
                <a:prstDash val="solid"/>
              </a:ln>
            </c:spPr>
          </c:dPt>
          <c:dLbls>
            <c:numFmt formatCode="0%" sourceLinked="0"/>
            <c:spPr>
              <a:noFill/>
              <a:ln w="15266">
                <a:noFill/>
              </a:ln>
            </c:spPr>
            <c:txPr>
              <a:bodyPr/>
              <a:lstStyle/>
              <a:p>
                <a:pPr>
                  <a:defRPr lang="el-GR" sz="1713" b="1" i="0" u="none" strike="noStrike" baseline="0">
                    <a:solidFill>
                      <a:schemeClr val="tx1"/>
                    </a:solidFill>
                    <a:latin typeface="Impact"/>
                    <a:ea typeface="Impact"/>
                    <a:cs typeface="Impact"/>
                  </a:defRPr>
                </a:pPr>
                <a:endParaRPr lang="en-US"/>
              </a:p>
            </c:txPr>
            <c:showCatName val="1"/>
            <c:showPercent val="1"/>
            <c:showLeaderLines val="1"/>
          </c:dLbls>
          <c:cat>
            <c:strRef>
              <c:f>'Sheet1'!$B$1:$D$1</c:f>
              <c:strCache>
                <c:ptCount val="3"/>
                <c:pt idx="0">
                  <c:v>Oil Products</c:v>
                </c:pt>
                <c:pt idx="1">
                  <c:v>RES</c:v>
                </c:pt>
                <c:pt idx="2">
                  <c:v>Solid Fuels</c:v>
                </c:pt>
              </c:strCache>
            </c:strRef>
          </c:cat>
          <c:val>
            <c:numRef>
              <c:f>'Sheet1'!$B$4:$D$4</c:f>
              <c:numCache>
                <c:formatCode>General</c:formatCode>
                <c:ptCount val="3"/>
              </c:numCache>
            </c:numRef>
          </c:val>
        </c:ser>
        <c:dLbls>
          <c:showCatName val="1"/>
          <c:showPercent val="1"/>
        </c:dLbls>
      </c:pie3DChart>
      <c:spPr>
        <a:noFill/>
        <a:ln w="15266">
          <a:noFill/>
        </a:ln>
      </c:spPr>
    </c:plotArea>
    <c:plotVisOnly val="1"/>
    <c:dispBlanksAs val="zero"/>
  </c:chart>
  <c:spPr>
    <a:noFill/>
    <a:ln>
      <a:noFill/>
    </a:ln>
  </c:spPr>
  <c:txPr>
    <a:bodyPr/>
    <a:lstStyle/>
    <a:p>
      <a:pPr>
        <a:defRPr sz="1082" b="1" i="0" u="none" strike="noStrike" baseline="0">
          <a:solidFill>
            <a:schemeClr val="tx1"/>
          </a:solidFill>
          <a:latin typeface="Impact"/>
          <a:ea typeface="Impact"/>
          <a:cs typeface="Impact"/>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0"/>
    </c:view3D>
    <c:plotArea>
      <c:layout>
        <c:manualLayout>
          <c:layoutTarget val="inner"/>
          <c:xMode val="edge"/>
          <c:yMode val="edge"/>
          <c:x val="7.7777777777777779E-2"/>
          <c:y val="0.29665071770335188"/>
          <c:w val="0.81904761904761902"/>
          <c:h val="0.49043062200956938"/>
        </c:manualLayout>
      </c:layout>
      <c:pie3DChart>
        <c:varyColors val="1"/>
        <c:ser>
          <c:idx val="0"/>
          <c:order val="0"/>
          <c:tx>
            <c:strRef>
              <c:f>Sheet1!$A$2</c:f>
              <c:strCache>
                <c:ptCount val="1"/>
              </c:strCache>
            </c:strRef>
          </c:tx>
          <c:spPr>
            <a:solidFill>
              <a:schemeClr val="accent1"/>
            </a:solidFill>
            <a:ln w="8407">
              <a:solidFill>
                <a:schemeClr val="tx1"/>
              </a:solidFill>
              <a:prstDash val="solid"/>
            </a:ln>
          </c:spPr>
          <c:explosion val="25"/>
          <c:dPt>
            <c:idx val="0"/>
            <c:spPr>
              <a:solidFill>
                <a:srgbClr val="0000FF"/>
              </a:solidFill>
              <a:ln w="8407">
                <a:solidFill>
                  <a:schemeClr val="tx1"/>
                </a:solidFill>
                <a:prstDash val="solid"/>
              </a:ln>
            </c:spPr>
          </c:dPt>
          <c:dPt>
            <c:idx val="1"/>
            <c:spPr>
              <a:solidFill>
                <a:srgbClr val="008000"/>
              </a:solidFill>
              <a:ln w="8407">
                <a:solidFill>
                  <a:schemeClr val="tx1"/>
                </a:solidFill>
                <a:prstDash val="solid"/>
              </a:ln>
            </c:spPr>
          </c:dPt>
          <c:dPt>
            <c:idx val="2"/>
            <c:spPr>
              <a:solidFill>
                <a:srgbClr val="993366"/>
              </a:solidFill>
              <a:ln w="8407">
                <a:solidFill>
                  <a:schemeClr val="tx1"/>
                </a:solidFill>
                <a:prstDash val="solid"/>
              </a:ln>
            </c:spPr>
          </c:dPt>
          <c:dPt>
            <c:idx val="3"/>
            <c:spPr>
              <a:solidFill>
                <a:schemeClr val="folHlink"/>
              </a:solidFill>
              <a:ln w="8407">
                <a:solidFill>
                  <a:schemeClr val="tx1"/>
                </a:solidFill>
                <a:prstDash val="solid"/>
              </a:ln>
            </c:spPr>
          </c:dPt>
          <c:dPt>
            <c:idx val="4"/>
            <c:spPr>
              <a:solidFill>
                <a:schemeClr val="bg2"/>
              </a:solidFill>
              <a:ln w="8407">
                <a:solidFill>
                  <a:schemeClr val="tx1"/>
                </a:solidFill>
                <a:prstDash val="solid"/>
              </a:ln>
            </c:spPr>
          </c:dPt>
          <c:dPt>
            <c:idx val="5"/>
            <c:spPr>
              <a:solidFill>
                <a:schemeClr val="tx2"/>
              </a:solidFill>
              <a:ln w="8407">
                <a:solidFill>
                  <a:schemeClr val="tx1"/>
                </a:solidFill>
                <a:prstDash val="solid"/>
              </a:ln>
            </c:spPr>
          </c:dPt>
          <c:dLbls>
            <c:dLbl>
              <c:idx val="0"/>
              <c:layout>
                <c:manualLayout>
                  <c:x val="-7.9345663193954113E-2"/>
                  <c:y val="-0.18269918249550268"/>
                </c:manualLayout>
              </c:layout>
              <c:dLblPos val="bestFit"/>
              <c:showCatName val="1"/>
              <c:showPercent val="1"/>
            </c:dLbl>
            <c:dLbl>
              <c:idx val="2"/>
              <c:layout>
                <c:manualLayout>
                  <c:x val="6.6220861997400821E-2"/>
                  <c:y val="7.4955548900814892E-2"/>
                </c:manualLayout>
              </c:layout>
              <c:dLblPos val="bestFit"/>
              <c:showCatName val="1"/>
              <c:showPercent val="1"/>
            </c:dLbl>
            <c:dLbl>
              <c:idx val="3"/>
              <c:tx>
                <c:rich>
                  <a:bodyPr/>
                  <a:lstStyle/>
                  <a:p>
                    <a:pPr>
                      <a:defRPr lang="el-GR" sz="1059" b="1" i="0" u="none" strike="noStrike" baseline="0">
                        <a:solidFill>
                          <a:schemeClr val="tx1"/>
                        </a:solidFill>
                        <a:latin typeface="Arial"/>
                        <a:ea typeface="Arial"/>
                        <a:cs typeface="Arial"/>
                      </a:defRPr>
                    </a:pPr>
                    <a:r>
                      <a:rPr lang="en-US"/>
                      <a:t>Household
16%</a:t>
                    </a:r>
                  </a:p>
                </c:rich>
              </c:tx>
              <c:spPr>
                <a:noFill/>
                <a:ln w="16815">
                  <a:noFill/>
                </a:ln>
              </c:spPr>
              <c:dLblPos val="bestFit"/>
            </c:dLbl>
            <c:dLbl>
              <c:idx val="4"/>
              <c:layout>
                <c:manualLayout>
                  <c:x val="7.8863551104316934E-2"/>
                  <c:y val="-0.17514035766294339"/>
                </c:manualLayout>
              </c:layout>
              <c:tx>
                <c:rich>
                  <a:bodyPr/>
                  <a:lstStyle/>
                  <a:p>
                    <a:r>
                      <a:rPr lang="en-US"/>
                      <a:t>Commerce &amp; Services
11%</a:t>
                    </a:r>
                  </a:p>
                </c:rich>
              </c:tx>
              <c:dLblPos val="bestFit"/>
            </c:dLbl>
            <c:dLbl>
              <c:idx val="5"/>
              <c:layout>
                <c:manualLayout>
                  <c:x val="0.11894587084316528"/>
                  <c:y val="-5.3696386184082727E-2"/>
                </c:manualLayout>
              </c:layout>
              <c:dLblPos val="bestFit"/>
              <c:showCatName val="1"/>
              <c:showPercent val="1"/>
            </c:dLbl>
            <c:numFmt formatCode="0%" sourceLinked="0"/>
            <c:spPr>
              <a:noFill/>
              <a:ln w="16815">
                <a:noFill/>
              </a:ln>
            </c:spPr>
            <c:txPr>
              <a:bodyPr/>
              <a:lstStyle/>
              <a:p>
                <a:pPr>
                  <a:defRPr lang="el-GR" sz="1059" b="1" i="0" u="none" strike="noStrike" baseline="0">
                    <a:solidFill>
                      <a:schemeClr val="tx1"/>
                    </a:solidFill>
                    <a:latin typeface="Arial"/>
                    <a:ea typeface="Arial"/>
                    <a:cs typeface="Arial"/>
                  </a:defRPr>
                </a:pPr>
                <a:endParaRPr lang="en-US"/>
              </a:p>
            </c:txPr>
            <c:showCatName val="1"/>
            <c:showPercent val="1"/>
          </c:dLbls>
          <c:cat>
            <c:strRef>
              <c:f>Sheet1!$B$1:$G$1</c:f>
              <c:strCache>
                <c:ptCount val="6"/>
                <c:pt idx="0">
                  <c:v>Transport (Road)</c:v>
                </c:pt>
                <c:pt idx="1">
                  <c:v>Transport (Air)</c:v>
                </c:pt>
                <c:pt idx="2">
                  <c:v>Industry</c:v>
                </c:pt>
                <c:pt idx="3">
                  <c:v>Households</c:v>
                </c:pt>
                <c:pt idx="4">
                  <c:v>Commerce&amp;Services</c:v>
                </c:pt>
                <c:pt idx="5">
                  <c:v>Agriculture</c:v>
                </c:pt>
              </c:strCache>
            </c:strRef>
          </c:cat>
          <c:val>
            <c:numRef>
              <c:f>Sheet1!$B$2:$G$2</c:f>
              <c:numCache>
                <c:formatCode>General</c:formatCode>
                <c:ptCount val="6"/>
                <c:pt idx="0">
                  <c:v>39.06</c:v>
                </c:pt>
                <c:pt idx="1">
                  <c:v>14.22</c:v>
                </c:pt>
                <c:pt idx="2">
                  <c:v>14.47</c:v>
                </c:pt>
                <c:pt idx="3">
                  <c:v>17.29</c:v>
                </c:pt>
                <c:pt idx="4">
                  <c:v>12.9</c:v>
                </c:pt>
                <c:pt idx="5">
                  <c:v>2.06</c:v>
                </c:pt>
              </c:numCache>
            </c:numRef>
          </c:val>
        </c:ser>
        <c:ser>
          <c:idx val="1"/>
          <c:order val="1"/>
          <c:tx>
            <c:strRef>
              <c:f>Sheet1!$A$3</c:f>
              <c:strCache>
                <c:ptCount val="1"/>
              </c:strCache>
            </c:strRef>
          </c:tx>
          <c:spPr>
            <a:solidFill>
              <a:schemeClr val="accent2"/>
            </a:solidFill>
            <a:ln w="8407">
              <a:solidFill>
                <a:schemeClr val="tx1"/>
              </a:solidFill>
              <a:prstDash val="solid"/>
            </a:ln>
          </c:spPr>
          <c:explosion val="25"/>
          <c:dPt>
            <c:idx val="0"/>
            <c:spPr>
              <a:solidFill>
                <a:schemeClr val="accent1"/>
              </a:solidFill>
              <a:ln w="8407">
                <a:solidFill>
                  <a:schemeClr val="tx1"/>
                </a:solidFill>
                <a:prstDash val="solid"/>
              </a:ln>
            </c:spPr>
          </c:dPt>
          <c:dPt>
            <c:idx val="2"/>
            <c:spPr>
              <a:solidFill>
                <a:schemeClr val="hlink"/>
              </a:solidFill>
              <a:ln w="8407">
                <a:solidFill>
                  <a:schemeClr val="tx1"/>
                </a:solidFill>
                <a:prstDash val="solid"/>
              </a:ln>
            </c:spPr>
          </c:dPt>
          <c:dPt>
            <c:idx val="3"/>
            <c:spPr>
              <a:solidFill>
                <a:schemeClr val="folHlink"/>
              </a:solidFill>
              <a:ln w="8407">
                <a:solidFill>
                  <a:schemeClr val="tx1"/>
                </a:solidFill>
                <a:prstDash val="solid"/>
              </a:ln>
            </c:spPr>
          </c:dPt>
          <c:dPt>
            <c:idx val="4"/>
            <c:spPr>
              <a:solidFill>
                <a:schemeClr val="bg2"/>
              </a:solidFill>
              <a:ln w="8407">
                <a:solidFill>
                  <a:schemeClr val="tx1"/>
                </a:solidFill>
                <a:prstDash val="solid"/>
              </a:ln>
            </c:spPr>
          </c:dPt>
          <c:dPt>
            <c:idx val="5"/>
            <c:spPr>
              <a:solidFill>
                <a:schemeClr val="tx2"/>
              </a:solidFill>
              <a:ln w="8407">
                <a:solidFill>
                  <a:schemeClr val="tx1"/>
                </a:solidFill>
                <a:prstDash val="solid"/>
              </a:ln>
            </c:spPr>
          </c:dPt>
          <c:dLbls>
            <c:spPr>
              <a:noFill/>
              <a:ln w="16815">
                <a:noFill/>
              </a:ln>
            </c:spPr>
            <c:txPr>
              <a:bodyPr/>
              <a:lstStyle/>
              <a:p>
                <a:pPr>
                  <a:defRPr lang="el-GR" sz="1887" b="1" i="0" u="none" strike="noStrike" baseline="0">
                    <a:solidFill>
                      <a:schemeClr val="tx1"/>
                    </a:solidFill>
                    <a:latin typeface="Impact"/>
                    <a:ea typeface="Impact"/>
                    <a:cs typeface="Impact"/>
                  </a:defRPr>
                </a:pPr>
                <a:endParaRPr lang="en-US"/>
              </a:p>
            </c:txPr>
            <c:showVal val="1"/>
            <c:showCatName val="1"/>
          </c:dLbls>
          <c:cat>
            <c:strRef>
              <c:f>Sheet1!$B$1:$G$1</c:f>
              <c:strCache>
                <c:ptCount val="6"/>
                <c:pt idx="0">
                  <c:v>Transport (Road)</c:v>
                </c:pt>
                <c:pt idx="1">
                  <c:v>Transport (Air)</c:v>
                </c:pt>
                <c:pt idx="2">
                  <c:v>Industry</c:v>
                </c:pt>
                <c:pt idx="3">
                  <c:v>Households</c:v>
                </c:pt>
                <c:pt idx="4">
                  <c:v>Commerce&amp;Services</c:v>
                </c:pt>
                <c:pt idx="5">
                  <c:v>Agriculture</c:v>
                </c:pt>
              </c:strCache>
            </c:strRef>
          </c:cat>
          <c:val>
            <c:numRef>
              <c:f>Sheet1!$B$3:$G$3</c:f>
              <c:numCache>
                <c:formatCode>General</c:formatCode>
                <c:ptCount val="6"/>
              </c:numCache>
            </c:numRef>
          </c:val>
        </c:ser>
        <c:ser>
          <c:idx val="2"/>
          <c:order val="2"/>
          <c:tx>
            <c:strRef>
              <c:f>Sheet1!$A$4</c:f>
              <c:strCache>
                <c:ptCount val="1"/>
              </c:strCache>
            </c:strRef>
          </c:tx>
          <c:spPr>
            <a:solidFill>
              <a:schemeClr val="hlink"/>
            </a:solidFill>
            <a:ln w="8407">
              <a:solidFill>
                <a:schemeClr val="tx1"/>
              </a:solidFill>
              <a:prstDash val="solid"/>
            </a:ln>
          </c:spPr>
          <c:explosion val="25"/>
          <c:dPt>
            <c:idx val="0"/>
            <c:spPr>
              <a:solidFill>
                <a:schemeClr val="accent1"/>
              </a:solidFill>
              <a:ln w="8407">
                <a:solidFill>
                  <a:schemeClr val="tx1"/>
                </a:solidFill>
                <a:prstDash val="solid"/>
              </a:ln>
            </c:spPr>
          </c:dPt>
          <c:dPt>
            <c:idx val="1"/>
            <c:spPr>
              <a:solidFill>
                <a:schemeClr val="accent2"/>
              </a:solidFill>
              <a:ln w="8407">
                <a:solidFill>
                  <a:schemeClr val="tx1"/>
                </a:solidFill>
                <a:prstDash val="solid"/>
              </a:ln>
            </c:spPr>
          </c:dPt>
          <c:dPt>
            <c:idx val="3"/>
            <c:spPr>
              <a:solidFill>
                <a:schemeClr val="folHlink"/>
              </a:solidFill>
              <a:ln w="8407">
                <a:solidFill>
                  <a:schemeClr val="tx1"/>
                </a:solidFill>
                <a:prstDash val="solid"/>
              </a:ln>
            </c:spPr>
          </c:dPt>
          <c:dPt>
            <c:idx val="4"/>
            <c:spPr>
              <a:solidFill>
                <a:schemeClr val="bg2"/>
              </a:solidFill>
              <a:ln w="8407">
                <a:solidFill>
                  <a:schemeClr val="tx1"/>
                </a:solidFill>
                <a:prstDash val="solid"/>
              </a:ln>
            </c:spPr>
          </c:dPt>
          <c:dPt>
            <c:idx val="5"/>
            <c:spPr>
              <a:solidFill>
                <a:schemeClr val="tx2"/>
              </a:solidFill>
              <a:ln w="8407">
                <a:solidFill>
                  <a:schemeClr val="tx1"/>
                </a:solidFill>
                <a:prstDash val="solid"/>
              </a:ln>
            </c:spPr>
          </c:dPt>
          <c:dLbls>
            <c:spPr>
              <a:noFill/>
              <a:ln w="16815">
                <a:noFill/>
              </a:ln>
            </c:spPr>
            <c:txPr>
              <a:bodyPr/>
              <a:lstStyle/>
              <a:p>
                <a:pPr>
                  <a:defRPr lang="el-GR" sz="1887" b="1" i="0" u="none" strike="noStrike" baseline="0">
                    <a:solidFill>
                      <a:schemeClr val="tx1"/>
                    </a:solidFill>
                    <a:latin typeface="Impact"/>
                    <a:ea typeface="Impact"/>
                    <a:cs typeface="Impact"/>
                  </a:defRPr>
                </a:pPr>
                <a:endParaRPr lang="en-US"/>
              </a:p>
            </c:txPr>
            <c:showVal val="1"/>
            <c:showCatName val="1"/>
          </c:dLbls>
          <c:cat>
            <c:strRef>
              <c:f>Sheet1!$B$1:$G$1</c:f>
              <c:strCache>
                <c:ptCount val="6"/>
                <c:pt idx="0">
                  <c:v>Transport (Road)</c:v>
                </c:pt>
                <c:pt idx="1">
                  <c:v>Transport (Air)</c:v>
                </c:pt>
                <c:pt idx="2">
                  <c:v>Industry</c:v>
                </c:pt>
                <c:pt idx="3">
                  <c:v>Households</c:v>
                </c:pt>
                <c:pt idx="4">
                  <c:v>Commerce&amp;Services</c:v>
                </c:pt>
                <c:pt idx="5">
                  <c:v>Agriculture</c:v>
                </c:pt>
              </c:strCache>
            </c:strRef>
          </c:cat>
          <c:val>
            <c:numRef>
              <c:f>Sheet1!$B$4:$G$4</c:f>
              <c:numCache>
                <c:formatCode>General</c:formatCode>
                <c:ptCount val="6"/>
              </c:numCache>
            </c:numRef>
          </c:val>
        </c:ser>
        <c:dLbls>
          <c:showVal val="1"/>
          <c:showCatName val="1"/>
        </c:dLbls>
      </c:pie3DChart>
      <c:spPr>
        <a:noFill/>
        <a:ln w="16815">
          <a:noFill/>
        </a:ln>
      </c:spPr>
    </c:plotArea>
    <c:plotVisOnly val="1"/>
    <c:dispBlanksAs val="zero"/>
  </c:chart>
  <c:spPr>
    <a:noFill/>
    <a:ln>
      <a:noFill/>
    </a:ln>
  </c:spPr>
  <c:txPr>
    <a:bodyPr/>
    <a:lstStyle/>
    <a:p>
      <a:pPr>
        <a:defRPr sz="1192" b="1" i="0" u="none" strike="noStrike" baseline="0">
          <a:solidFill>
            <a:schemeClr val="tx1"/>
          </a:solidFill>
          <a:latin typeface="Impact"/>
          <a:ea typeface="Impact"/>
          <a:cs typeface="Impact"/>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
  <c:clrMapOvr bg1="lt1" tx1="dk1" bg2="lt2" tx2="dk2" accent1="accent1" accent2="accent2" accent3="accent3" accent4="accent4" accent5="accent5" accent6="accent6" hlink="hlink" folHlink="folHlink"/>
  <c:chart>
    <c:view3D>
      <c:rotX val="0"/>
      <c:rotY val="0"/>
      <c:depthPercent val="100"/>
      <c:rAngAx val="1"/>
    </c:view3D>
    <c:plotArea>
      <c:layout>
        <c:manualLayout>
          <c:layoutTarget val="inner"/>
          <c:xMode val="edge"/>
          <c:yMode val="edge"/>
          <c:x val="0.22284667834395067"/>
          <c:y val="7.4882841591733834E-2"/>
          <c:w val="0.68283093053735255"/>
          <c:h val="0.78605769230769262"/>
        </c:manualLayout>
      </c:layout>
      <c:bar3DChart>
        <c:barDir val="col"/>
        <c:grouping val="stacked"/>
        <c:ser>
          <c:idx val="1"/>
          <c:order val="1"/>
          <c:cat>
            <c:multiLvlStrRef>
              <c:f>Sheet1!$B$2:$C$2</c:f>
            </c:multiLvlStrRef>
          </c:cat>
          <c:val>
            <c:numRef>
              <c:f>Sheet1!$B$3:$C$3</c:f>
            </c:numRef>
          </c:val>
        </c:ser>
        <c:ser>
          <c:idx val="2"/>
          <c:order val="2"/>
          <c:cat>
            <c:multiLvlStrRef>
              <c:f>'[Chart in Microsoft Office PowerPoint]Sheet1'!$B$1:$V$1</c:f>
            </c:multiLvlStrRef>
          </c:cat>
          <c:val>
            <c:numRef>
              <c:f>'[Chart in Microsoft Office PowerPoint]Sheet1'!$B$2:$V$2</c:f>
            </c:numRef>
          </c:val>
        </c:ser>
        <c:ser>
          <c:idx val="0"/>
          <c:order val="0"/>
          <c:cat>
            <c:numRef>
              <c:f>'Sheet1'!$B$1:$V$1</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'Sheet1'!$B$2:$V$2</c:f>
              <c:numCache>
                <c:formatCode>General</c:formatCode>
                <c:ptCount val="21"/>
                <c:pt idx="0">
                  <c:v>207.25</c:v>
                </c:pt>
                <c:pt idx="1">
                  <c:v>210.5</c:v>
                </c:pt>
                <c:pt idx="2">
                  <c:v>213.4</c:v>
                </c:pt>
                <c:pt idx="3">
                  <c:v>214.94</c:v>
                </c:pt>
                <c:pt idx="4">
                  <c:v>207.08</c:v>
                </c:pt>
                <c:pt idx="5">
                  <c:v>214.09</c:v>
                </c:pt>
                <c:pt idx="6">
                  <c:v>262.27</c:v>
                </c:pt>
                <c:pt idx="7">
                  <c:v>262.61</c:v>
                </c:pt>
                <c:pt idx="8">
                  <c:v>214.26</c:v>
                </c:pt>
                <c:pt idx="9">
                  <c:v>295.58999999999969</c:v>
                </c:pt>
                <c:pt idx="10">
                  <c:v>527.79000000000053</c:v>
                </c:pt>
                <c:pt idx="11">
                  <c:v>512.75</c:v>
                </c:pt>
                <c:pt idx="12">
                  <c:v>457.90999999999963</c:v>
                </c:pt>
                <c:pt idx="13">
                  <c:v>387.51</c:v>
                </c:pt>
                <c:pt idx="14">
                  <c:v>546.75</c:v>
                </c:pt>
                <c:pt idx="15">
                  <c:v>822.34999999999798</c:v>
                </c:pt>
                <c:pt idx="16">
                  <c:v>990.99</c:v>
                </c:pt>
                <c:pt idx="17">
                  <c:v>1050.79</c:v>
                </c:pt>
                <c:pt idx="18">
                  <c:v>1400</c:v>
                </c:pt>
                <c:pt idx="19">
                  <c:v>970</c:v>
                </c:pt>
                <c:pt idx="20">
                  <c:v>1271</c:v>
                </c:pt>
              </c:numCache>
            </c:numRef>
          </c:val>
        </c:ser>
        <c:shape val="cylinder"/>
        <c:axId val="54601600"/>
        <c:axId val="54603136"/>
        <c:axId val="0"/>
      </c:bar3DChart>
      <c:catAx>
        <c:axId val="54601600"/>
        <c:scaling>
          <c:orientation val="minMax"/>
        </c:scaling>
        <c:axPos val="b"/>
        <c:numFmt formatCode="General" sourceLinked="1"/>
        <c:tickLblPos val="nextTo"/>
        <c:txPr>
          <a:bodyPr rot="0" vert="horz"/>
          <a:lstStyle/>
          <a:p>
            <a:pPr>
              <a:defRPr lang="el-GR" sz="1200"/>
            </a:pPr>
            <a:endParaRPr lang="en-US"/>
          </a:p>
        </c:txPr>
        <c:crossAx val="54603136"/>
        <c:crosses val="autoZero"/>
        <c:auto val="1"/>
        <c:lblAlgn val="ctr"/>
        <c:lblOffset val="100"/>
        <c:tickLblSkip val="2"/>
      </c:catAx>
      <c:valAx>
        <c:axId val="54603136"/>
        <c:scaling>
          <c:orientation val="minMax"/>
          <c:max val="1500"/>
          <c:min val="0"/>
        </c:scaling>
        <c:axPos val="l"/>
        <c:majorGridlines/>
        <c:numFmt formatCode="General" sourceLinked="1"/>
        <c:tickLblPos val="nextTo"/>
        <c:txPr>
          <a:bodyPr rot="0" vert="horz"/>
          <a:lstStyle/>
          <a:p>
            <a:pPr>
              <a:defRPr lang="el-GR" sz="1200"/>
            </a:pPr>
            <a:endParaRPr lang="en-US"/>
          </a:p>
        </c:txPr>
        <c:crossAx val="54601600"/>
        <c:crosses val="autoZero"/>
        <c:crossBetween val="between"/>
        <c:majorUnit val="150"/>
      </c:valAx>
    </c:plotArea>
    <c:plotVisOnly val="1"/>
    <c:dispBlanksAs val="gap"/>
  </c:chart>
  <c:txPr>
    <a:bodyPr/>
    <a:lstStyle/>
    <a:p>
      <a:pPr>
        <a:defRPr sz="1800"/>
      </a:pPr>
      <a:endParaRPr lang="en-US"/>
    </a:p>
  </c:txPr>
  <c:externalData r:id="rId2"/>
  <c:userShapes r:id="rId3"/>
</c:chartSpace>
</file>

<file path=word/diagrams/_rels/data1.xml.rels><?xml version="1.0" encoding="UTF-8" standalone="yes"?>
<Relationships xmlns="http://schemas.openxmlformats.org/package/2006/relationships"><Relationship Id="rId1" Type="http://schemas.openxmlformats.org/officeDocument/2006/relationships/image" Target="../media/image8.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8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D07E91-459E-418B-992B-64757A821B7D}" type="doc">
      <dgm:prSet loTypeId="urn:microsoft.com/office/officeart/2005/8/layout/process2" loCatId="process" qsTypeId="urn:microsoft.com/office/officeart/2005/8/quickstyle/simple5" qsCatId="simple" csTypeId="urn:microsoft.com/office/officeart/2005/8/colors/colorful4" csCatId="colorful" phldr="1"/>
      <dgm:spPr/>
    </dgm:pt>
    <dgm:pt modelId="{131EA5D9-0033-47F8-BADF-4C85A628267A}">
      <dgm:prSet phldrT="[Text]" custT="1"/>
      <dgm:spPr>
        <a:noFill/>
      </dgm:spPr>
      <dgm:t>
        <a:bodyPr/>
        <a:lstStyle/>
        <a:p>
          <a:pPr algn="ctr"/>
          <a:r>
            <a:rPr lang="en-US" sz="1600" b="1">
              <a:solidFill>
                <a:schemeClr val="accent1">
                  <a:lumMod val="75000"/>
                </a:schemeClr>
              </a:solidFill>
            </a:rPr>
            <a:t>MONITORING MECHANISM FOR THE EU2020 STRATEGY</a:t>
          </a:r>
          <a:endParaRPr lang="el-GR" sz="1200" b="1">
            <a:solidFill>
              <a:schemeClr val="accent1">
                <a:lumMod val="75000"/>
              </a:schemeClr>
            </a:solidFill>
          </a:endParaRPr>
        </a:p>
      </dgm:t>
    </dgm:pt>
    <dgm:pt modelId="{1CF391D3-180D-4062-A2BD-4BF4233D9CCF}" type="parTrans" cxnId="{62551FFA-6C0B-4C8B-8611-C0FED0495CD2}">
      <dgm:prSet/>
      <dgm:spPr/>
      <dgm:t>
        <a:bodyPr/>
        <a:lstStyle/>
        <a:p>
          <a:endParaRPr lang="el-GR"/>
        </a:p>
      </dgm:t>
    </dgm:pt>
    <dgm:pt modelId="{D5DC884F-2388-4FCB-97EA-E67FF3262CA9}" type="sibTrans" cxnId="{62551FFA-6C0B-4C8B-8611-C0FED0495CD2}">
      <dgm:prSet/>
      <dgm:spPr>
        <a:noFill/>
      </dgm:spPr>
      <dgm:t>
        <a:bodyPr/>
        <a:lstStyle/>
        <a:p>
          <a:endParaRPr lang="el-GR"/>
        </a:p>
      </dgm:t>
    </dgm:pt>
    <dgm:pt modelId="{F2361A4F-69B9-4DBF-A8D6-761B060266D7}">
      <dgm:prSet custT="1"/>
      <dgm:spPr/>
      <dgm:t>
        <a:bodyPr/>
        <a:lstStyle/>
        <a:p>
          <a:pPr algn="ctr"/>
          <a:r>
            <a:rPr lang="en-US" sz="1400" b="1"/>
            <a:t>National Advisory Committee  </a:t>
          </a:r>
        </a:p>
        <a:p>
          <a:pPr algn="ctr"/>
          <a:r>
            <a:rPr lang="en-US" sz="1200" b="0"/>
            <a:t>Chaired by the Minister of Finance</a:t>
          </a:r>
        </a:p>
        <a:p>
          <a:pPr algn="ctr"/>
          <a:r>
            <a:rPr lang="en-US" sz="1200" b="0"/>
            <a:t>(General Guidelines and Recommendations)</a:t>
          </a:r>
          <a:endParaRPr lang="el-GR" sz="1200" b="0"/>
        </a:p>
      </dgm:t>
    </dgm:pt>
    <dgm:pt modelId="{DC0B4AE3-1CE2-47D2-987C-1FC2B80B1439}" type="parTrans" cxnId="{04971E20-E8A1-4D67-98B1-B767B11D2A01}">
      <dgm:prSet/>
      <dgm:spPr/>
      <dgm:t>
        <a:bodyPr/>
        <a:lstStyle/>
        <a:p>
          <a:endParaRPr lang="el-GR"/>
        </a:p>
      </dgm:t>
    </dgm:pt>
    <dgm:pt modelId="{C1E31E97-C4EE-4599-840F-B6375D91C5BB}" type="sibTrans" cxnId="{04971E20-E8A1-4D67-98B1-B767B11D2A01}">
      <dgm:prSet/>
      <dgm:spPr/>
      <dgm:t>
        <a:bodyPr/>
        <a:lstStyle/>
        <a:p>
          <a:endParaRPr lang="el-GR"/>
        </a:p>
      </dgm:t>
    </dgm:pt>
    <dgm:pt modelId="{98CD8D2D-6F7C-4121-ABB9-9B85DB962779}">
      <dgm:prSet custT="1"/>
      <dgm:spPr/>
      <dgm:t>
        <a:bodyPr/>
        <a:lstStyle/>
        <a:p>
          <a:pPr algn="ctr">
            <a:lnSpc>
              <a:spcPct val="100000"/>
            </a:lnSpc>
            <a:spcAft>
              <a:spcPts val="0"/>
            </a:spcAft>
          </a:pPr>
          <a:r>
            <a:rPr lang="en-US" sz="1400" b="1"/>
            <a:t>Coordinating Committee                    </a:t>
          </a:r>
        </a:p>
        <a:p>
          <a:pPr algn="ctr">
            <a:lnSpc>
              <a:spcPct val="100000"/>
            </a:lnSpc>
            <a:spcAft>
              <a:spcPts val="0"/>
            </a:spcAft>
          </a:pPr>
          <a:r>
            <a:rPr lang="en-US" sz="1200" b="0"/>
            <a:t>Chaired by the Permanent  Secretary,</a:t>
          </a:r>
        </a:p>
        <a:p>
          <a:pPr algn="ctr">
            <a:lnSpc>
              <a:spcPct val="100000"/>
            </a:lnSpc>
            <a:spcAft>
              <a:spcPts val="0"/>
            </a:spcAft>
          </a:pPr>
          <a:r>
            <a:rPr lang="en-US" sz="1200" b="0"/>
            <a:t> Planning Bureau</a:t>
          </a:r>
        </a:p>
        <a:p>
          <a:pPr algn="ctr">
            <a:lnSpc>
              <a:spcPct val="100000"/>
            </a:lnSpc>
            <a:spcAft>
              <a:spcPts val="0"/>
            </a:spcAft>
          </a:pPr>
          <a:r>
            <a:rPr lang="en-US" sz="1200" b="0"/>
            <a:t>(Members: Pertinent Government Services)</a:t>
          </a:r>
          <a:endParaRPr lang="el-GR" sz="1200" b="0"/>
        </a:p>
      </dgm:t>
    </dgm:pt>
    <dgm:pt modelId="{CECEFC28-3AB9-436E-A85A-6DBE88A42375}" type="parTrans" cxnId="{745EB9AD-4A8B-4738-89D0-9F53926ACE46}">
      <dgm:prSet/>
      <dgm:spPr/>
      <dgm:t>
        <a:bodyPr/>
        <a:lstStyle/>
        <a:p>
          <a:endParaRPr lang="el-GR"/>
        </a:p>
      </dgm:t>
    </dgm:pt>
    <dgm:pt modelId="{42CF152C-8B52-453F-8FCA-E345F63502D8}" type="sibTrans" cxnId="{745EB9AD-4A8B-4738-89D0-9F53926ACE46}">
      <dgm:prSet/>
      <dgm:spPr/>
      <dgm:t>
        <a:bodyPr/>
        <a:lstStyle/>
        <a:p>
          <a:endParaRPr lang="el-GR"/>
        </a:p>
      </dgm:t>
    </dgm:pt>
    <dgm:pt modelId="{E5A5F0F0-B6B9-4309-B91A-150AA288A229}">
      <dgm:prSet custT="1"/>
      <dgm:spPr/>
      <dgm:t>
        <a:bodyPr/>
        <a:lstStyle/>
        <a:p>
          <a:pPr algn="ctr"/>
          <a:r>
            <a:rPr lang="en-US" sz="1400" b="1"/>
            <a:t>8 Technical Committees </a:t>
          </a:r>
        </a:p>
        <a:p>
          <a:pPr algn="ctr"/>
          <a:r>
            <a:rPr lang="en-US" sz="1200" b="0"/>
            <a:t>Chaired by the pertinent Ministry </a:t>
          </a:r>
          <a:endParaRPr lang="el-GR" sz="1200" b="0"/>
        </a:p>
      </dgm:t>
    </dgm:pt>
    <dgm:pt modelId="{FE475140-E7BD-46C9-93BA-FEB1CC4B8328}" type="parTrans" cxnId="{94746784-0DCB-4B29-9244-762547184A51}">
      <dgm:prSet/>
      <dgm:spPr/>
      <dgm:t>
        <a:bodyPr/>
        <a:lstStyle/>
        <a:p>
          <a:endParaRPr lang="el-GR"/>
        </a:p>
      </dgm:t>
    </dgm:pt>
    <dgm:pt modelId="{F5A11451-CF0A-4D17-BD1D-090E307EC8A5}" type="sibTrans" cxnId="{94746784-0DCB-4B29-9244-762547184A51}">
      <dgm:prSet/>
      <dgm:spPr>
        <a:noFill/>
      </dgm:spPr>
      <dgm:t>
        <a:bodyPr/>
        <a:lstStyle/>
        <a:p>
          <a:endParaRPr lang="el-GR"/>
        </a:p>
      </dgm:t>
    </dgm:pt>
    <dgm:pt modelId="{39741229-1851-4933-9075-4B8E49BE9715}">
      <dgm:prSet phldrT="[Text]" custT="1"/>
      <dgm:spPr/>
      <dgm:t>
        <a:bodyPr/>
        <a:lstStyle/>
        <a:p>
          <a:pPr algn="ctr"/>
          <a:r>
            <a:rPr lang="en-US" sz="1400" b="1"/>
            <a:t>Council of Ministers</a:t>
          </a:r>
        </a:p>
        <a:p>
          <a:pPr algn="ctr"/>
          <a:r>
            <a:rPr lang="en-US" sz="1200" b="0"/>
            <a:t>(Final Political Approval)</a:t>
          </a:r>
          <a:endParaRPr lang="el-GR" sz="1200" b="0"/>
        </a:p>
      </dgm:t>
    </dgm:pt>
    <dgm:pt modelId="{E87134BD-97C6-44A6-AABC-E821D3A6FF23}" type="sibTrans" cxnId="{89454C95-496D-4AAC-93C2-F1B090A6EB94}">
      <dgm:prSet/>
      <dgm:spPr/>
      <dgm:t>
        <a:bodyPr/>
        <a:lstStyle/>
        <a:p>
          <a:endParaRPr lang="el-GR"/>
        </a:p>
      </dgm:t>
    </dgm:pt>
    <dgm:pt modelId="{A03FF3CF-B937-4CDD-8F9C-A3A14DB887AF}" type="parTrans" cxnId="{89454C95-496D-4AAC-93C2-F1B090A6EB94}">
      <dgm:prSet/>
      <dgm:spPr/>
      <dgm:t>
        <a:bodyPr/>
        <a:lstStyle/>
        <a:p>
          <a:endParaRPr lang="el-GR"/>
        </a:p>
      </dgm:t>
    </dgm:pt>
    <dgm:pt modelId="{C2174001-54FB-4F23-9D3D-DA01B53ABE79}">
      <dgm:prSet custT="1"/>
      <dgm:spPr>
        <a:blipFill rotWithShape="0">
          <a:blip xmlns:r="http://schemas.openxmlformats.org/officeDocument/2006/relationships" r:embed="rId1"/>
          <a:stretch>
            <a:fillRect/>
          </a:stretch>
        </a:blipFill>
      </dgm:spPr>
      <dgm:t>
        <a:bodyPr/>
        <a:lstStyle/>
        <a:p>
          <a:pPr algn="ctr"/>
          <a:endParaRPr lang="el-GR" sz="1200" b="0"/>
        </a:p>
      </dgm:t>
    </dgm:pt>
    <dgm:pt modelId="{27EE50FB-9286-48D5-9AB1-33222832B7DB}" type="parTrans" cxnId="{06207F35-1AB5-4BA1-A7E1-03A045F4A7D6}">
      <dgm:prSet/>
      <dgm:spPr/>
      <dgm:t>
        <a:bodyPr/>
        <a:lstStyle/>
        <a:p>
          <a:endParaRPr lang="el-GR"/>
        </a:p>
      </dgm:t>
    </dgm:pt>
    <dgm:pt modelId="{B7A68A15-9776-4E30-9954-AEDCCB8B7337}" type="sibTrans" cxnId="{06207F35-1AB5-4BA1-A7E1-03A045F4A7D6}">
      <dgm:prSet/>
      <dgm:spPr/>
      <dgm:t>
        <a:bodyPr/>
        <a:lstStyle/>
        <a:p>
          <a:endParaRPr lang="el-GR"/>
        </a:p>
      </dgm:t>
    </dgm:pt>
    <dgm:pt modelId="{7D698184-4D10-40D6-BC87-DCB620792665}">
      <dgm:prSet custT="1"/>
      <dgm:spPr/>
      <dgm:t>
        <a:bodyPr/>
        <a:lstStyle/>
        <a:p>
          <a:pPr algn="ctr">
            <a:lnSpc>
              <a:spcPct val="100000"/>
            </a:lnSpc>
            <a:spcAft>
              <a:spcPts val="0"/>
            </a:spcAft>
          </a:pPr>
          <a:r>
            <a:rPr lang="en-US" sz="1400" b="1"/>
            <a:t>Planning Bureau</a:t>
          </a:r>
        </a:p>
        <a:p>
          <a:pPr algn="ctr">
            <a:lnSpc>
              <a:spcPct val="100000"/>
            </a:lnSpc>
            <a:spcAft>
              <a:spcPts val="0"/>
            </a:spcAft>
          </a:pPr>
          <a:r>
            <a:rPr lang="en-US" sz="1200" b="0"/>
            <a:t>Co-ordination of the preparation  and monitoring of the  implemetnation of the NRP</a:t>
          </a:r>
          <a:endParaRPr lang="el-GR" sz="1200" b="0"/>
        </a:p>
      </dgm:t>
    </dgm:pt>
    <dgm:pt modelId="{0C05232F-5090-45DD-95FF-14099CE1BC23}" type="parTrans" cxnId="{8FC13412-7C0A-4025-9846-C0BD0404E2E8}">
      <dgm:prSet/>
      <dgm:spPr/>
      <dgm:t>
        <a:bodyPr/>
        <a:lstStyle/>
        <a:p>
          <a:endParaRPr lang="el-GR"/>
        </a:p>
      </dgm:t>
    </dgm:pt>
    <dgm:pt modelId="{F41B1A14-EB53-4D0B-8F88-04E414D6A3F6}" type="sibTrans" cxnId="{8FC13412-7C0A-4025-9846-C0BD0404E2E8}">
      <dgm:prSet/>
      <dgm:spPr/>
      <dgm:t>
        <a:bodyPr/>
        <a:lstStyle/>
        <a:p>
          <a:endParaRPr lang="el-GR"/>
        </a:p>
      </dgm:t>
    </dgm:pt>
    <dgm:pt modelId="{54EBF895-2989-4ADF-9129-E409D7B12EB1}" type="pres">
      <dgm:prSet presAssocID="{7FD07E91-459E-418B-992B-64757A821B7D}" presName="linearFlow" presStyleCnt="0">
        <dgm:presLayoutVars>
          <dgm:resizeHandles val="exact"/>
        </dgm:presLayoutVars>
      </dgm:prSet>
      <dgm:spPr/>
    </dgm:pt>
    <dgm:pt modelId="{1FB9EF63-49B0-4848-9669-0BBC7F54A69A}" type="pres">
      <dgm:prSet presAssocID="{131EA5D9-0033-47F8-BADF-4C85A628267A}" presName="node" presStyleLbl="node1" presStyleIdx="0" presStyleCnt="7" custScaleX="213211" custScaleY="42197" custLinFactNeighborX="-748" custLinFactNeighborY="23422">
        <dgm:presLayoutVars>
          <dgm:bulletEnabled val="1"/>
        </dgm:presLayoutVars>
      </dgm:prSet>
      <dgm:spPr>
        <a:prstGeom prst="rect">
          <a:avLst/>
        </a:prstGeom>
      </dgm:spPr>
      <dgm:t>
        <a:bodyPr/>
        <a:lstStyle/>
        <a:p>
          <a:endParaRPr lang="el-GR"/>
        </a:p>
      </dgm:t>
    </dgm:pt>
    <dgm:pt modelId="{AE65E20D-FF31-4C6F-BD56-A49EE619E3E4}" type="pres">
      <dgm:prSet presAssocID="{D5DC884F-2388-4FCB-97EA-E67FF3262CA9}" presName="sibTrans" presStyleLbl="sibTrans2D1" presStyleIdx="0" presStyleCnt="6" custScaleX="217588" custScaleY="71132" custLinFactX="-400000" custLinFactNeighborX="-475972" custLinFactNeighborY="42565"/>
      <dgm:spPr/>
      <dgm:t>
        <a:bodyPr/>
        <a:lstStyle/>
        <a:p>
          <a:endParaRPr lang="el-GR"/>
        </a:p>
      </dgm:t>
    </dgm:pt>
    <dgm:pt modelId="{79052AAA-654C-4833-B0F7-564D03C0A9FE}" type="pres">
      <dgm:prSet presAssocID="{D5DC884F-2388-4FCB-97EA-E67FF3262CA9}" presName="connectorText" presStyleLbl="sibTrans2D1" presStyleIdx="0" presStyleCnt="6"/>
      <dgm:spPr/>
      <dgm:t>
        <a:bodyPr/>
        <a:lstStyle/>
        <a:p>
          <a:endParaRPr lang="el-GR"/>
        </a:p>
      </dgm:t>
    </dgm:pt>
    <dgm:pt modelId="{3A61FE19-FFF6-4568-9083-1EEB0EFE01B3}" type="pres">
      <dgm:prSet presAssocID="{39741229-1851-4933-9075-4B8E49BE9715}" presName="node" presStyleLbl="node1" presStyleIdx="1" presStyleCnt="7" custScaleX="158421" custScaleY="106735" custLinFactNeighborX="-1473">
        <dgm:presLayoutVars>
          <dgm:bulletEnabled val="1"/>
        </dgm:presLayoutVars>
      </dgm:prSet>
      <dgm:spPr/>
      <dgm:t>
        <a:bodyPr/>
        <a:lstStyle/>
        <a:p>
          <a:endParaRPr lang="el-GR"/>
        </a:p>
      </dgm:t>
    </dgm:pt>
    <dgm:pt modelId="{5CE8D8C8-9CB9-4A27-8C0B-914B563F413E}" type="pres">
      <dgm:prSet presAssocID="{E87134BD-97C6-44A6-AABC-E821D3A6FF23}" presName="sibTrans" presStyleLbl="sibTrans2D1" presStyleIdx="1" presStyleCnt="6" custLinFactNeighborX="20698"/>
      <dgm:spPr/>
      <dgm:t>
        <a:bodyPr/>
        <a:lstStyle/>
        <a:p>
          <a:endParaRPr lang="el-GR"/>
        </a:p>
      </dgm:t>
    </dgm:pt>
    <dgm:pt modelId="{F3C58664-C4A2-4967-873A-0A39608E0C2C}" type="pres">
      <dgm:prSet presAssocID="{E87134BD-97C6-44A6-AABC-E821D3A6FF23}" presName="connectorText" presStyleLbl="sibTrans2D1" presStyleIdx="1" presStyleCnt="6"/>
      <dgm:spPr/>
      <dgm:t>
        <a:bodyPr/>
        <a:lstStyle/>
        <a:p>
          <a:endParaRPr lang="el-GR"/>
        </a:p>
      </dgm:t>
    </dgm:pt>
    <dgm:pt modelId="{EF6F9508-D4BA-4E35-A875-7FE83A89E049}" type="pres">
      <dgm:prSet presAssocID="{F2361A4F-69B9-4DBF-A8D6-761B060266D7}" presName="node" presStyleLbl="node1" presStyleIdx="2" presStyleCnt="7" custScaleX="158947" custScaleY="132928" custLinFactNeighborX="-2137" custLinFactNeighborY="-43483">
        <dgm:presLayoutVars>
          <dgm:bulletEnabled val="1"/>
        </dgm:presLayoutVars>
      </dgm:prSet>
      <dgm:spPr/>
      <dgm:t>
        <a:bodyPr/>
        <a:lstStyle/>
        <a:p>
          <a:endParaRPr lang="el-GR"/>
        </a:p>
      </dgm:t>
    </dgm:pt>
    <dgm:pt modelId="{3B67E1C8-1A8E-4E23-B3D9-752D14231786}" type="pres">
      <dgm:prSet presAssocID="{C1E31E97-C4EE-4599-840F-B6375D91C5BB}" presName="sibTrans" presStyleLbl="sibTrans2D1" presStyleIdx="2" presStyleCnt="6" custAng="111430" custScaleX="76119" custScaleY="121476" custLinFactNeighborX="2100" custLinFactNeighborY="2926"/>
      <dgm:spPr/>
      <dgm:t>
        <a:bodyPr/>
        <a:lstStyle/>
        <a:p>
          <a:endParaRPr lang="el-GR"/>
        </a:p>
      </dgm:t>
    </dgm:pt>
    <dgm:pt modelId="{5671891D-9141-41B9-98FC-D4A69770C0D6}" type="pres">
      <dgm:prSet presAssocID="{C1E31E97-C4EE-4599-840F-B6375D91C5BB}" presName="connectorText" presStyleLbl="sibTrans2D1" presStyleIdx="2" presStyleCnt="6"/>
      <dgm:spPr/>
      <dgm:t>
        <a:bodyPr/>
        <a:lstStyle/>
        <a:p>
          <a:endParaRPr lang="el-GR"/>
        </a:p>
      </dgm:t>
    </dgm:pt>
    <dgm:pt modelId="{C653DA45-E2C4-49F2-9490-43169FF162FD}" type="pres">
      <dgm:prSet presAssocID="{98CD8D2D-6F7C-4121-ABB9-9B85DB962779}" presName="node" presStyleLbl="node1" presStyleIdx="3" presStyleCnt="7" custScaleX="160398" custScaleY="161118" custLinFactNeighborX="-788" custLinFactNeighborY="-48790">
        <dgm:presLayoutVars>
          <dgm:bulletEnabled val="1"/>
        </dgm:presLayoutVars>
      </dgm:prSet>
      <dgm:spPr/>
      <dgm:t>
        <a:bodyPr/>
        <a:lstStyle/>
        <a:p>
          <a:endParaRPr lang="el-GR"/>
        </a:p>
      </dgm:t>
    </dgm:pt>
    <dgm:pt modelId="{CEFDDC90-652A-4E87-9C99-609D6881B8F8}" type="pres">
      <dgm:prSet presAssocID="{42CF152C-8B52-453F-8FCA-E345F63502D8}" presName="sibTrans" presStyleLbl="sibTrans2D1" presStyleIdx="3" presStyleCnt="6" custAng="21534059" custScaleX="86975" custScaleY="135951" custLinFactNeighborX="5712" custLinFactNeighborY="1011"/>
      <dgm:spPr/>
      <dgm:t>
        <a:bodyPr/>
        <a:lstStyle/>
        <a:p>
          <a:endParaRPr lang="el-GR"/>
        </a:p>
      </dgm:t>
    </dgm:pt>
    <dgm:pt modelId="{CB5CDFC5-71B4-402E-B910-1F4D06072B5B}" type="pres">
      <dgm:prSet presAssocID="{42CF152C-8B52-453F-8FCA-E345F63502D8}" presName="connectorText" presStyleLbl="sibTrans2D1" presStyleIdx="3" presStyleCnt="6"/>
      <dgm:spPr/>
      <dgm:t>
        <a:bodyPr/>
        <a:lstStyle/>
        <a:p>
          <a:endParaRPr lang="el-GR"/>
        </a:p>
      </dgm:t>
    </dgm:pt>
    <dgm:pt modelId="{CEB02BF9-9DA2-453A-B0C6-184A7860B14F}" type="pres">
      <dgm:prSet presAssocID="{7D698184-4D10-40D6-BC87-DCB620792665}" presName="node" presStyleLbl="node1" presStyleIdx="4" presStyleCnt="7" custScaleX="158010" custScaleY="139069" custLinFactNeighborX="-1674" custLinFactNeighborY="-33881">
        <dgm:presLayoutVars>
          <dgm:bulletEnabled val="1"/>
        </dgm:presLayoutVars>
      </dgm:prSet>
      <dgm:spPr/>
      <dgm:t>
        <a:bodyPr/>
        <a:lstStyle/>
        <a:p>
          <a:endParaRPr lang="el-GR"/>
        </a:p>
      </dgm:t>
    </dgm:pt>
    <dgm:pt modelId="{BB867E10-5E79-422C-BB5A-F99EA91A8E4C}" type="pres">
      <dgm:prSet presAssocID="{F41B1A14-EB53-4D0B-8F88-04E414D6A3F6}" presName="sibTrans" presStyleLbl="sibTrans2D1" presStyleIdx="4" presStyleCnt="6" custAng="10847524" custScaleX="86581" custScaleY="141283"/>
      <dgm:spPr/>
      <dgm:t>
        <a:bodyPr/>
        <a:lstStyle/>
        <a:p>
          <a:endParaRPr lang="el-GR"/>
        </a:p>
      </dgm:t>
    </dgm:pt>
    <dgm:pt modelId="{8932C2E7-F2F2-4FB6-9344-ABEF604451A7}" type="pres">
      <dgm:prSet presAssocID="{F41B1A14-EB53-4D0B-8F88-04E414D6A3F6}" presName="connectorText" presStyleLbl="sibTrans2D1" presStyleIdx="4" presStyleCnt="6"/>
      <dgm:spPr/>
      <dgm:t>
        <a:bodyPr/>
        <a:lstStyle/>
        <a:p>
          <a:endParaRPr lang="el-GR"/>
        </a:p>
      </dgm:t>
    </dgm:pt>
    <dgm:pt modelId="{E80FBBAC-658D-492F-A3EB-FB6342575010}" type="pres">
      <dgm:prSet presAssocID="{E5A5F0F0-B6B9-4309-B91A-150AA288A229}" presName="node" presStyleLbl="node1" presStyleIdx="5" presStyleCnt="7" custScaleX="159325" custScaleY="118099" custLinFactNeighborX="-571" custLinFactNeighborY="-6225">
        <dgm:presLayoutVars>
          <dgm:bulletEnabled val="1"/>
        </dgm:presLayoutVars>
      </dgm:prSet>
      <dgm:spPr/>
      <dgm:t>
        <a:bodyPr/>
        <a:lstStyle/>
        <a:p>
          <a:endParaRPr lang="el-GR"/>
        </a:p>
      </dgm:t>
    </dgm:pt>
    <dgm:pt modelId="{AF3A7675-0214-49DA-A8CC-6FEB1BEA1BF3}" type="pres">
      <dgm:prSet presAssocID="{F5A11451-CF0A-4D17-BD1D-090E307EC8A5}" presName="sibTrans" presStyleLbl="sibTrans2D1" presStyleIdx="5" presStyleCnt="6" custLinFactNeighborX="3953" custLinFactNeighborY="-8404"/>
      <dgm:spPr/>
      <dgm:t>
        <a:bodyPr/>
        <a:lstStyle/>
        <a:p>
          <a:endParaRPr lang="el-GR"/>
        </a:p>
      </dgm:t>
    </dgm:pt>
    <dgm:pt modelId="{9A6C2CA8-1B23-4844-8758-0EEAE1292519}" type="pres">
      <dgm:prSet presAssocID="{F5A11451-CF0A-4D17-BD1D-090E307EC8A5}" presName="connectorText" presStyleLbl="sibTrans2D1" presStyleIdx="5" presStyleCnt="6"/>
      <dgm:spPr/>
      <dgm:t>
        <a:bodyPr/>
        <a:lstStyle/>
        <a:p>
          <a:endParaRPr lang="el-GR"/>
        </a:p>
      </dgm:t>
    </dgm:pt>
    <dgm:pt modelId="{05B8884B-B5DD-4951-A19A-BDA7CE532FF3}" type="pres">
      <dgm:prSet presAssocID="{C2174001-54FB-4F23-9D3D-DA01B53ABE79}" presName="node" presStyleLbl="node1" presStyleIdx="6" presStyleCnt="7" custScaleX="245790" custScaleY="571094" custLinFactNeighborY="5606">
        <dgm:presLayoutVars>
          <dgm:bulletEnabled val="1"/>
        </dgm:presLayoutVars>
      </dgm:prSet>
      <dgm:spPr/>
      <dgm:t>
        <a:bodyPr/>
        <a:lstStyle/>
        <a:p>
          <a:endParaRPr lang="el-GR"/>
        </a:p>
      </dgm:t>
    </dgm:pt>
  </dgm:ptLst>
  <dgm:cxnLst>
    <dgm:cxn modelId="{FA74CD31-D4FF-4186-9FA2-6DE214FC4343}" type="presOf" srcId="{C1E31E97-C4EE-4599-840F-B6375D91C5BB}" destId="{3B67E1C8-1A8E-4E23-B3D9-752D14231786}" srcOrd="0" destOrd="0" presId="urn:microsoft.com/office/officeart/2005/8/layout/process2"/>
    <dgm:cxn modelId="{5A44A47A-567D-4A6F-9E21-1A79DB7FA404}" type="presOf" srcId="{F5A11451-CF0A-4D17-BD1D-090E307EC8A5}" destId="{9A6C2CA8-1B23-4844-8758-0EEAE1292519}" srcOrd="1" destOrd="0" presId="urn:microsoft.com/office/officeart/2005/8/layout/process2"/>
    <dgm:cxn modelId="{62551FFA-6C0B-4C8B-8611-C0FED0495CD2}" srcId="{7FD07E91-459E-418B-992B-64757A821B7D}" destId="{131EA5D9-0033-47F8-BADF-4C85A628267A}" srcOrd="0" destOrd="0" parTransId="{1CF391D3-180D-4062-A2BD-4BF4233D9CCF}" sibTransId="{D5DC884F-2388-4FCB-97EA-E67FF3262CA9}"/>
    <dgm:cxn modelId="{A669A235-AE94-4A8F-81E9-482B66132FB7}" type="presOf" srcId="{E87134BD-97C6-44A6-AABC-E821D3A6FF23}" destId="{5CE8D8C8-9CB9-4A27-8C0B-914B563F413E}" srcOrd="0" destOrd="0" presId="urn:microsoft.com/office/officeart/2005/8/layout/process2"/>
    <dgm:cxn modelId="{AB44B63C-8F7C-44F1-B96C-B7F25F965692}" type="presOf" srcId="{F2361A4F-69B9-4DBF-A8D6-761B060266D7}" destId="{EF6F9508-D4BA-4E35-A875-7FE83A89E049}" srcOrd="0" destOrd="0" presId="urn:microsoft.com/office/officeart/2005/8/layout/process2"/>
    <dgm:cxn modelId="{91C61B27-61B0-440B-AB05-AF6C9102F067}" type="presOf" srcId="{D5DC884F-2388-4FCB-97EA-E67FF3262CA9}" destId="{79052AAA-654C-4833-B0F7-564D03C0A9FE}" srcOrd="1" destOrd="0" presId="urn:microsoft.com/office/officeart/2005/8/layout/process2"/>
    <dgm:cxn modelId="{D6FF1D9A-4318-411A-95B8-940BE1AEC261}" type="presOf" srcId="{F5A11451-CF0A-4D17-BD1D-090E307EC8A5}" destId="{AF3A7675-0214-49DA-A8CC-6FEB1BEA1BF3}" srcOrd="0" destOrd="0" presId="urn:microsoft.com/office/officeart/2005/8/layout/process2"/>
    <dgm:cxn modelId="{8FC13412-7C0A-4025-9846-C0BD0404E2E8}" srcId="{7FD07E91-459E-418B-992B-64757A821B7D}" destId="{7D698184-4D10-40D6-BC87-DCB620792665}" srcOrd="4" destOrd="0" parTransId="{0C05232F-5090-45DD-95FF-14099CE1BC23}" sibTransId="{F41B1A14-EB53-4D0B-8F88-04E414D6A3F6}"/>
    <dgm:cxn modelId="{58445A5B-B9ED-4217-BF4B-F0579916CA2C}" type="presOf" srcId="{39741229-1851-4933-9075-4B8E49BE9715}" destId="{3A61FE19-FFF6-4568-9083-1EEB0EFE01B3}" srcOrd="0" destOrd="0" presId="urn:microsoft.com/office/officeart/2005/8/layout/process2"/>
    <dgm:cxn modelId="{89454C95-496D-4AAC-93C2-F1B090A6EB94}" srcId="{7FD07E91-459E-418B-992B-64757A821B7D}" destId="{39741229-1851-4933-9075-4B8E49BE9715}" srcOrd="1" destOrd="0" parTransId="{A03FF3CF-B937-4CDD-8F9C-A3A14DB887AF}" sibTransId="{E87134BD-97C6-44A6-AABC-E821D3A6FF23}"/>
    <dgm:cxn modelId="{AA463BAE-8663-4437-A4DB-EDD91140D247}" type="presOf" srcId="{7D698184-4D10-40D6-BC87-DCB620792665}" destId="{CEB02BF9-9DA2-453A-B0C6-184A7860B14F}" srcOrd="0" destOrd="0" presId="urn:microsoft.com/office/officeart/2005/8/layout/process2"/>
    <dgm:cxn modelId="{94746784-0DCB-4B29-9244-762547184A51}" srcId="{7FD07E91-459E-418B-992B-64757A821B7D}" destId="{E5A5F0F0-B6B9-4309-B91A-150AA288A229}" srcOrd="5" destOrd="0" parTransId="{FE475140-E7BD-46C9-93BA-FEB1CC4B8328}" sibTransId="{F5A11451-CF0A-4D17-BD1D-090E307EC8A5}"/>
    <dgm:cxn modelId="{CC2A58A5-8B73-407B-B952-62CEA66D30E1}" type="presOf" srcId="{131EA5D9-0033-47F8-BADF-4C85A628267A}" destId="{1FB9EF63-49B0-4848-9669-0BBC7F54A69A}" srcOrd="0" destOrd="0" presId="urn:microsoft.com/office/officeart/2005/8/layout/process2"/>
    <dgm:cxn modelId="{06207F35-1AB5-4BA1-A7E1-03A045F4A7D6}" srcId="{7FD07E91-459E-418B-992B-64757A821B7D}" destId="{C2174001-54FB-4F23-9D3D-DA01B53ABE79}" srcOrd="6" destOrd="0" parTransId="{27EE50FB-9286-48D5-9AB1-33222832B7DB}" sibTransId="{B7A68A15-9776-4E30-9954-AEDCCB8B7337}"/>
    <dgm:cxn modelId="{CC3CE5F1-3EE2-4B4C-9528-D312BF7C17E4}" type="presOf" srcId="{E5A5F0F0-B6B9-4309-B91A-150AA288A229}" destId="{E80FBBAC-658D-492F-A3EB-FB6342575010}" srcOrd="0" destOrd="0" presId="urn:microsoft.com/office/officeart/2005/8/layout/process2"/>
    <dgm:cxn modelId="{78E366A9-6421-4B76-B4AB-DE5473746B45}" type="presOf" srcId="{D5DC884F-2388-4FCB-97EA-E67FF3262CA9}" destId="{AE65E20D-FF31-4C6F-BD56-A49EE619E3E4}" srcOrd="0" destOrd="0" presId="urn:microsoft.com/office/officeart/2005/8/layout/process2"/>
    <dgm:cxn modelId="{36962E03-5565-4117-BB47-4FC3824A8540}" type="presOf" srcId="{C1E31E97-C4EE-4599-840F-B6375D91C5BB}" destId="{5671891D-9141-41B9-98FC-D4A69770C0D6}" srcOrd="1" destOrd="0" presId="urn:microsoft.com/office/officeart/2005/8/layout/process2"/>
    <dgm:cxn modelId="{D42298A8-A8A8-432B-9589-4DC1C98FD202}" type="presOf" srcId="{F41B1A14-EB53-4D0B-8F88-04E414D6A3F6}" destId="{BB867E10-5E79-422C-BB5A-F99EA91A8E4C}" srcOrd="0" destOrd="0" presId="urn:microsoft.com/office/officeart/2005/8/layout/process2"/>
    <dgm:cxn modelId="{4CF6CEED-2734-44B9-8C1B-D581C28B1975}" type="presOf" srcId="{42CF152C-8B52-453F-8FCA-E345F63502D8}" destId="{CEFDDC90-652A-4E87-9C99-609D6881B8F8}" srcOrd="0" destOrd="0" presId="urn:microsoft.com/office/officeart/2005/8/layout/process2"/>
    <dgm:cxn modelId="{745EB9AD-4A8B-4738-89D0-9F53926ACE46}" srcId="{7FD07E91-459E-418B-992B-64757A821B7D}" destId="{98CD8D2D-6F7C-4121-ABB9-9B85DB962779}" srcOrd="3" destOrd="0" parTransId="{CECEFC28-3AB9-436E-A85A-6DBE88A42375}" sibTransId="{42CF152C-8B52-453F-8FCA-E345F63502D8}"/>
    <dgm:cxn modelId="{DA6A5F23-3E64-4B25-B8EF-269C311C6FCD}" type="presOf" srcId="{E87134BD-97C6-44A6-AABC-E821D3A6FF23}" destId="{F3C58664-C4A2-4967-873A-0A39608E0C2C}" srcOrd="1" destOrd="0" presId="urn:microsoft.com/office/officeart/2005/8/layout/process2"/>
    <dgm:cxn modelId="{04971E20-E8A1-4D67-98B1-B767B11D2A01}" srcId="{7FD07E91-459E-418B-992B-64757A821B7D}" destId="{F2361A4F-69B9-4DBF-A8D6-761B060266D7}" srcOrd="2" destOrd="0" parTransId="{DC0B4AE3-1CE2-47D2-987C-1FC2B80B1439}" sibTransId="{C1E31E97-C4EE-4599-840F-B6375D91C5BB}"/>
    <dgm:cxn modelId="{7B3B578B-AC0B-45BA-B918-2E88F28C56C4}" type="presOf" srcId="{98CD8D2D-6F7C-4121-ABB9-9B85DB962779}" destId="{C653DA45-E2C4-49F2-9490-43169FF162FD}" srcOrd="0" destOrd="0" presId="urn:microsoft.com/office/officeart/2005/8/layout/process2"/>
    <dgm:cxn modelId="{091C1FF5-77C7-4670-8790-86BB22629AEE}" type="presOf" srcId="{7FD07E91-459E-418B-992B-64757A821B7D}" destId="{54EBF895-2989-4ADF-9129-E409D7B12EB1}" srcOrd="0" destOrd="0" presId="urn:microsoft.com/office/officeart/2005/8/layout/process2"/>
    <dgm:cxn modelId="{E2D4A0FA-84EF-48F3-8D6D-9C7B20654D00}" type="presOf" srcId="{F41B1A14-EB53-4D0B-8F88-04E414D6A3F6}" destId="{8932C2E7-F2F2-4FB6-9344-ABEF604451A7}" srcOrd="1" destOrd="0" presId="urn:microsoft.com/office/officeart/2005/8/layout/process2"/>
    <dgm:cxn modelId="{CDA6B4A8-9F4F-4790-8357-ED330E786DEB}" type="presOf" srcId="{42CF152C-8B52-453F-8FCA-E345F63502D8}" destId="{CB5CDFC5-71B4-402E-B910-1F4D06072B5B}" srcOrd="1" destOrd="0" presId="urn:microsoft.com/office/officeart/2005/8/layout/process2"/>
    <dgm:cxn modelId="{CBEE72C3-20AF-4345-AE00-C27AB23DA802}" type="presOf" srcId="{C2174001-54FB-4F23-9D3D-DA01B53ABE79}" destId="{05B8884B-B5DD-4951-A19A-BDA7CE532FF3}" srcOrd="0" destOrd="0" presId="urn:microsoft.com/office/officeart/2005/8/layout/process2"/>
    <dgm:cxn modelId="{25F19357-FEE8-4840-85F0-EBB175E55F68}" type="presParOf" srcId="{54EBF895-2989-4ADF-9129-E409D7B12EB1}" destId="{1FB9EF63-49B0-4848-9669-0BBC7F54A69A}" srcOrd="0" destOrd="0" presId="urn:microsoft.com/office/officeart/2005/8/layout/process2"/>
    <dgm:cxn modelId="{A6767F4C-FD57-4629-933C-75CDC6E1B6F3}" type="presParOf" srcId="{54EBF895-2989-4ADF-9129-E409D7B12EB1}" destId="{AE65E20D-FF31-4C6F-BD56-A49EE619E3E4}" srcOrd="1" destOrd="0" presId="urn:microsoft.com/office/officeart/2005/8/layout/process2"/>
    <dgm:cxn modelId="{9A6E7A10-60DF-4C2C-89F7-3E2CB7F8EBB0}" type="presParOf" srcId="{AE65E20D-FF31-4C6F-BD56-A49EE619E3E4}" destId="{79052AAA-654C-4833-B0F7-564D03C0A9FE}" srcOrd="0" destOrd="0" presId="urn:microsoft.com/office/officeart/2005/8/layout/process2"/>
    <dgm:cxn modelId="{B81E095D-34CD-4900-889F-D04A9AE825CB}" type="presParOf" srcId="{54EBF895-2989-4ADF-9129-E409D7B12EB1}" destId="{3A61FE19-FFF6-4568-9083-1EEB0EFE01B3}" srcOrd="2" destOrd="0" presId="urn:microsoft.com/office/officeart/2005/8/layout/process2"/>
    <dgm:cxn modelId="{39C4649B-4A96-49A9-A045-67F704D58695}" type="presParOf" srcId="{54EBF895-2989-4ADF-9129-E409D7B12EB1}" destId="{5CE8D8C8-9CB9-4A27-8C0B-914B563F413E}" srcOrd="3" destOrd="0" presId="urn:microsoft.com/office/officeart/2005/8/layout/process2"/>
    <dgm:cxn modelId="{D62783E9-9E6B-4450-A4F3-537DAB477BAD}" type="presParOf" srcId="{5CE8D8C8-9CB9-4A27-8C0B-914B563F413E}" destId="{F3C58664-C4A2-4967-873A-0A39608E0C2C}" srcOrd="0" destOrd="0" presId="urn:microsoft.com/office/officeart/2005/8/layout/process2"/>
    <dgm:cxn modelId="{037C39B9-C710-404B-B61F-4E78C61A82F4}" type="presParOf" srcId="{54EBF895-2989-4ADF-9129-E409D7B12EB1}" destId="{EF6F9508-D4BA-4E35-A875-7FE83A89E049}" srcOrd="4" destOrd="0" presId="urn:microsoft.com/office/officeart/2005/8/layout/process2"/>
    <dgm:cxn modelId="{C696823D-F283-4DAE-804D-0ADDE04EC3B5}" type="presParOf" srcId="{54EBF895-2989-4ADF-9129-E409D7B12EB1}" destId="{3B67E1C8-1A8E-4E23-B3D9-752D14231786}" srcOrd="5" destOrd="0" presId="urn:microsoft.com/office/officeart/2005/8/layout/process2"/>
    <dgm:cxn modelId="{2F33FE83-9833-454E-A704-47445D5DE1D5}" type="presParOf" srcId="{3B67E1C8-1A8E-4E23-B3D9-752D14231786}" destId="{5671891D-9141-41B9-98FC-D4A69770C0D6}" srcOrd="0" destOrd="0" presId="urn:microsoft.com/office/officeart/2005/8/layout/process2"/>
    <dgm:cxn modelId="{51F64E9B-E5CA-4454-B9FC-4CD05D9AFA48}" type="presParOf" srcId="{54EBF895-2989-4ADF-9129-E409D7B12EB1}" destId="{C653DA45-E2C4-49F2-9490-43169FF162FD}" srcOrd="6" destOrd="0" presId="urn:microsoft.com/office/officeart/2005/8/layout/process2"/>
    <dgm:cxn modelId="{60E15C71-FB47-4279-9E4F-B51CA920730F}" type="presParOf" srcId="{54EBF895-2989-4ADF-9129-E409D7B12EB1}" destId="{CEFDDC90-652A-4E87-9C99-609D6881B8F8}" srcOrd="7" destOrd="0" presId="urn:microsoft.com/office/officeart/2005/8/layout/process2"/>
    <dgm:cxn modelId="{6D58C1E9-B0DD-4901-BC32-9B77BD569E22}" type="presParOf" srcId="{CEFDDC90-652A-4E87-9C99-609D6881B8F8}" destId="{CB5CDFC5-71B4-402E-B910-1F4D06072B5B}" srcOrd="0" destOrd="0" presId="urn:microsoft.com/office/officeart/2005/8/layout/process2"/>
    <dgm:cxn modelId="{8CAC2074-3C8A-434B-AF48-BB4C30B9E23E}" type="presParOf" srcId="{54EBF895-2989-4ADF-9129-E409D7B12EB1}" destId="{CEB02BF9-9DA2-453A-B0C6-184A7860B14F}" srcOrd="8" destOrd="0" presId="urn:microsoft.com/office/officeart/2005/8/layout/process2"/>
    <dgm:cxn modelId="{DC589CB3-0634-47A9-94A3-84F42D1C9BDF}" type="presParOf" srcId="{54EBF895-2989-4ADF-9129-E409D7B12EB1}" destId="{BB867E10-5E79-422C-BB5A-F99EA91A8E4C}" srcOrd="9" destOrd="0" presId="urn:microsoft.com/office/officeart/2005/8/layout/process2"/>
    <dgm:cxn modelId="{359B58D4-7677-4B38-BFA6-ED49EB5D0174}" type="presParOf" srcId="{BB867E10-5E79-422C-BB5A-F99EA91A8E4C}" destId="{8932C2E7-F2F2-4FB6-9344-ABEF604451A7}" srcOrd="0" destOrd="0" presId="urn:microsoft.com/office/officeart/2005/8/layout/process2"/>
    <dgm:cxn modelId="{7B7E823B-2E5B-4505-A917-1EDD05826959}" type="presParOf" srcId="{54EBF895-2989-4ADF-9129-E409D7B12EB1}" destId="{E80FBBAC-658D-492F-A3EB-FB6342575010}" srcOrd="10" destOrd="0" presId="urn:microsoft.com/office/officeart/2005/8/layout/process2"/>
    <dgm:cxn modelId="{0547187C-B9C3-473F-9D98-CE8D4D19D6BB}" type="presParOf" srcId="{54EBF895-2989-4ADF-9129-E409D7B12EB1}" destId="{AF3A7675-0214-49DA-A8CC-6FEB1BEA1BF3}" srcOrd="11" destOrd="0" presId="urn:microsoft.com/office/officeart/2005/8/layout/process2"/>
    <dgm:cxn modelId="{AF671E14-9508-46A1-90EF-0DE7FB299D6C}" type="presParOf" srcId="{AF3A7675-0214-49DA-A8CC-6FEB1BEA1BF3}" destId="{9A6C2CA8-1B23-4844-8758-0EEAE1292519}" srcOrd="0" destOrd="0" presId="urn:microsoft.com/office/officeart/2005/8/layout/process2"/>
    <dgm:cxn modelId="{B09CE246-85A4-4C35-8E2F-3481C74BF51F}" type="presParOf" srcId="{54EBF895-2989-4ADF-9129-E409D7B12EB1}" destId="{05B8884B-B5DD-4951-A19A-BDA7CE532FF3}" srcOrd="12" destOrd="0" presId="urn:microsoft.com/office/officeart/2005/8/layout/process2"/>
  </dgm:cxnLst>
  <dgm:bg/>
  <dgm:whole/>
  <dgm:extLst>
    <a:ext uri="http://schemas.microsoft.com/office/drawing/2008/diagram">
      <dsp:dataModelExt xmlns=""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B9EF63-49B0-4848-9669-0BBC7F54A69A}">
      <dsp:nvSpPr>
        <dsp:cNvPr id="0" name=""/>
        <dsp:cNvSpPr/>
      </dsp:nvSpPr>
      <dsp:spPr>
        <a:xfrm>
          <a:off x="825254" y="86573"/>
          <a:ext cx="4149675" cy="205317"/>
        </a:xfrm>
        <a:prstGeom prst="rect">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chemeClr val="accent1">
                  <a:lumMod val="75000"/>
                </a:schemeClr>
              </a:solidFill>
            </a:rPr>
            <a:t>MONITORING MECHANISM FOR THE EU2020 STRATEGY</a:t>
          </a:r>
          <a:endParaRPr lang="el-GR" sz="1200" b="1" kern="1200">
            <a:solidFill>
              <a:schemeClr val="accent1">
                <a:lumMod val="75000"/>
              </a:schemeClr>
            </a:solidFill>
          </a:endParaRPr>
        </a:p>
      </dsp:txBody>
      <dsp:txXfrm>
        <a:off x="825254" y="86573"/>
        <a:ext cx="4149675" cy="205317"/>
      </dsp:txXfrm>
    </dsp:sp>
    <dsp:sp modelId="{AE65E20D-FF31-4C6F-BD56-A49EE619E3E4}">
      <dsp:nvSpPr>
        <dsp:cNvPr id="0" name=""/>
        <dsp:cNvSpPr/>
      </dsp:nvSpPr>
      <dsp:spPr>
        <a:xfrm rot="5492286">
          <a:off x="1689526" y="388804"/>
          <a:ext cx="266386" cy="155747"/>
        </a:xfrm>
        <a:prstGeom prst="rightArrow">
          <a:avLst>
            <a:gd name="adj1" fmla="val 60000"/>
            <a:gd name="adj2" fmla="val 5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l-GR" sz="1500" kern="1200"/>
        </a:p>
      </dsp:txBody>
      <dsp:txXfrm rot="5492286">
        <a:off x="1689526" y="388804"/>
        <a:ext cx="266386" cy="155747"/>
      </dsp:txXfrm>
    </dsp:sp>
    <dsp:sp modelId="{3A61FE19-FFF6-4568-9083-1EEB0EFE01B3}">
      <dsp:nvSpPr>
        <dsp:cNvPr id="0" name=""/>
        <dsp:cNvSpPr/>
      </dsp:nvSpPr>
      <dsp:spPr>
        <a:xfrm>
          <a:off x="1344326" y="455068"/>
          <a:ext cx="3083310" cy="519339"/>
        </a:xfrm>
        <a:prstGeom prst="roundRect">
          <a:avLst>
            <a:gd name="adj" fmla="val 10000"/>
          </a:avLst>
        </a:prstGeom>
        <a:gradFill rotWithShape="0">
          <a:gsLst>
            <a:gs pos="0">
              <a:schemeClr val="accent4">
                <a:hueOff val="-744128"/>
                <a:satOff val="4483"/>
                <a:lumOff val="359"/>
                <a:alphaOff val="0"/>
                <a:shade val="51000"/>
                <a:satMod val="130000"/>
              </a:schemeClr>
            </a:gs>
            <a:gs pos="80000">
              <a:schemeClr val="accent4">
                <a:hueOff val="-744128"/>
                <a:satOff val="4483"/>
                <a:lumOff val="359"/>
                <a:alphaOff val="0"/>
                <a:shade val="93000"/>
                <a:satMod val="130000"/>
              </a:schemeClr>
            </a:gs>
            <a:gs pos="100000">
              <a:schemeClr val="accent4">
                <a:hueOff val="-744128"/>
                <a:satOff val="4483"/>
                <a:lumOff val="3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Council of Ministers</a:t>
          </a:r>
        </a:p>
        <a:p>
          <a:pPr lvl="0" algn="ctr" defTabSz="622300">
            <a:lnSpc>
              <a:spcPct val="90000"/>
            </a:lnSpc>
            <a:spcBef>
              <a:spcPct val="0"/>
            </a:spcBef>
            <a:spcAft>
              <a:spcPct val="35000"/>
            </a:spcAft>
          </a:pPr>
          <a:r>
            <a:rPr lang="en-US" sz="1200" b="0" kern="1200"/>
            <a:t>(Final Political Approval)</a:t>
          </a:r>
          <a:endParaRPr lang="el-GR" sz="1200" b="0" kern="1200"/>
        </a:p>
      </dsp:txBody>
      <dsp:txXfrm>
        <a:off x="1344326" y="455068"/>
        <a:ext cx="3083310" cy="519339"/>
      </dsp:txXfrm>
    </dsp:sp>
    <dsp:sp modelId="{5CE8D8C8-9CB9-4A27-8C0B-914B563F413E}">
      <dsp:nvSpPr>
        <dsp:cNvPr id="0" name=""/>
        <dsp:cNvSpPr/>
      </dsp:nvSpPr>
      <dsp:spPr>
        <a:xfrm rot="5460090">
          <a:off x="2845744" y="943029"/>
          <a:ext cx="117167" cy="218956"/>
        </a:xfrm>
        <a:prstGeom prst="rightArrow">
          <a:avLst>
            <a:gd name="adj1" fmla="val 60000"/>
            <a:gd name="adj2" fmla="val 50000"/>
          </a:avLst>
        </a:prstGeom>
        <a:gradFill rotWithShape="0">
          <a:gsLst>
            <a:gs pos="0">
              <a:schemeClr val="accent4">
                <a:hueOff val="-892954"/>
                <a:satOff val="5380"/>
                <a:lumOff val="431"/>
                <a:alphaOff val="0"/>
                <a:shade val="51000"/>
                <a:satMod val="130000"/>
              </a:schemeClr>
            </a:gs>
            <a:gs pos="80000">
              <a:schemeClr val="accent4">
                <a:hueOff val="-892954"/>
                <a:satOff val="5380"/>
                <a:lumOff val="431"/>
                <a:alphaOff val="0"/>
                <a:shade val="93000"/>
                <a:satMod val="130000"/>
              </a:schemeClr>
            </a:gs>
            <a:gs pos="100000">
              <a:schemeClr val="accent4">
                <a:hueOff val="-892954"/>
                <a:satOff val="5380"/>
                <a:lumOff val="43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l-GR" sz="500" kern="1200"/>
        </a:p>
      </dsp:txBody>
      <dsp:txXfrm rot="5460090">
        <a:off x="2845744" y="943029"/>
        <a:ext cx="117167" cy="218956"/>
      </dsp:txXfrm>
    </dsp:sp>
    <dsp:sp modelId="{EF6F9508-D4BA-4E35-A875-7FE83A89E049}">
      <dsp:nvSpPr>
        <dsp:cNvPr id="0" name=""/>
        <dsp:cNvSpPr/>
      </dsp:nvSpPr>
      <dsp:spPr>
        <a:xfrm>
          <a:off x="1326284" y="1130607"/>
          <a:ext cx="3093547" cy="646786"/>
        </a:xfrm>
        <a:prstGeom prst="roundRect">
          <a:avLst>
            <a:gd name="adj" fmla="val 10000"/>
          </a:avLst>
        </a:prstGeom>
        <a:gradFill rotWithShape="0">
          <a:gsLst>
            <a:gs pos="0">
              <a:schemeClr val="accent4">
                <a:hueOff val="-1488257"/>
                <a:satOff val="8966"/>
                <a:lumOff val="719"/>
                <a:alphaOff val="0"/>
                <a:shade val="51000"/>
                <a:satMod val="130000"/>
              </a:schemeClr>
            </a:gs>
            <a:gs pos="80000">
              <a:schemeClr val="accent4">
                <a:hueOff val="-1488257"/>
                <a:satOff val="8966"/>
                <a:lumOff val="719"/>
                <a:alphaOff val="0"/>
                <a:shade val="93000"/>
                <a:satMod val="130000"/>
              </a:schemeClr>
            </a:gs>
            <a:gs pos="100000">
              <a:schemeClr val="accent4">
                <a:hueOff val="-1488257"/>
                <a:satOff val="8966"/>
                <a:lumOff val="7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National Advisory Committee  </a:t>
          </a:r>
        </a:p>
        <a:p>
          <a:pPr lvl="0" algn="ctr" defTabSz="622300">
            <a:lnSpc>
              <a:spcPct val="90000"/>
            </a:lnSpc>
            <a:spcBef>
              <a:spcPct val="0"/>
            </a:spcBef>
            <a:spcAft>
              <a:spcPct val="35000"/>
            </a:spcAft>
          </a:pPr>
          <a:r>
            <a:rPr lang="en-US" sz="1200" b="0" kern="1200"/>
            <a:t>Chaired by the Minister of Finance</a:t>
          </a:r>
        </a:p>
        <a:p>
          <a:pPr lvl="0" algn="ctr" defTabSz="622300">
            <a:lnSpc>
              <a:spcPct val="90000"/>
            </a:lnSpc>
            <a:spcBef>
              <a:spcPct val="0"/>
            </a:spcBef>
            <a:spcAft>
              <a:spcPct val="35000"/>
            </a:spcAft>
          </a:pPr>
          <a:r>
            <a:rPr lang="en-US" sz="1200" b="0" kern="1200"/>
            <a:t>(General Guidelines and Recommendations)</a:t>
          </a:r>
          <a:endParaRPr lang="el-GR" sz="1200" b="0" kern="1200"/>
        </a:p>
      </dsp:txBody>
      <dsp:txXfrm>
        <a:off x="1326284" y="1130607"/>
        <a:ext cx="3093547" cy="646786"/>
      </dsp:txXfrm>
    </dsp:sp>
    <dsp:sp modelId="{3B67E1C8-1A8E-4E23-B3D9-752D14231786}">
      <dsp:nvSpPr>
        <dsp:cNvPr id="0" name=""/>
        <dsp:cNvSpPr/>
      </dsp:nvSpPr>
      <dsp:spPr>
        <a:xfrm rot="5417280">
          <a:off x="2819669" y="1772340"/>
          <a:ext cx="138813" cy="265979"/>
        </a:xfrm>
        <a:prstGeom prst="rightArrow">
          <a:avLst>
            <a:gd name="adj1" fmla="val 60000"/>
            <a:gd name="adj2" fmla="val 50000"/>
          </a:avLst>
        </a:prstGeom>
        <a:gradFill rotWithShape="0">
          <a:gsLst>
            <a:gs pos="0">
              <a:schemeClr val="accent4">
                <a:hueOff val="-1785908"/>
                <a:satOff val="10760"/>
                <a:lumOff val="862"/>
                <a:alphaOff val="0"/>
                <a:shade val="51000"/>
                <a:satMod val="130000"/>
              </a:schemeClr>
            </a:gs>
            <a:gs pos="80000">
              <a:schemeClr val="accent4">
                <a:hueOff val="-1785908"/>
                <a:satOff val="10760"/>
                <a:lumOff val="862"/>
                <a:alphaOff val="0"/>
                <a:shade val="93000"/>
                <a:satMod val="130000"/>
              </a:schemeClr>
            </a:gs>
            <a:gs pos="100000">
              <a:schemeClr val="accent4">
                <a:hueOff val="-1785908"/>
                <a:satOff val="10760"/>
                <a:lumOff val="86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l-GR" sz="600" kern="1200"/>
        </a:p>
      </dsp:txBody>
      <dsp:txXfrm rot="5417280">
        <a:off x="2819669" y="1772340"/>
        <a:ext cx="138813" cy="265979"/>
      </dsp:txXfrm>
    </dsp:sp>
    <dsp:sp modelId="{C653DA45-E2C4-49F2-9490-43169FF162FD}">
      <dsp:nvSpPr>
        <dsp:cNvPr id="0" name=""/>
        <dsp:cNvSpPr/>
      </dsp:nvSpPr>
      <dsp:spPr>
        <a:xfrm>
          <a:off x="1338419" y="2020453"/>
          <a:ext cx="3121788" cy="783950"/>
        </a:xfrm>
        <a:prstGeom prst="roundRect">
          <a:avLst>
            <a:gd name="adj" fmla="val 10000"/>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ts val="0"/>
            </a:spcAft>
          </a:pPr>
          <a:r>
            <a:rPr lang="en-US" sz="1400" b="1" kern="1200"/>
            <a:t>Coordinating Committee                    </a:t>
          </a:r>
        </a:p>
        <a:p>
          <a:pPr lvl="0" algn="ctr" defTabSz="622300">
            <a:lnSpc>
              <a:spcPct val="100000"/>
            </a:lnSpc>
            <a:spcBef>
              <a:spcPct val="0"/>
            </a:spcBef>
            <a:spcAft>
              <a:spcPts val="0"/>
            </a:spcAft>
          </a:pPr>
          <a:r>
            <a:rPr lang="en-US" sz="1200" b="0" kern="1200"/>
            <a:t>Chaired by the Permanent  Secretary,</a:t>
          </a:r>
        </a:p>
        <a:p>
          <a:pPr lvl="0" algn="ctr" defTabSz="622300">
            <a:lnSpc>
              <a:spcPct val="100000"/>
            </a:lnSpc>
            <a:spcBef>
              <a:spcPct val="0"/>
            </a:spcBef>
            <a:spcAft>
              <a:spcPts val="0"/>
            </a:spcAft>
          </a:pPr>
          <a:r>
            <a:rPr lang="en-US" sz="1200" b="0" kern="1200"/>
            <a:t> Planning Bureau</a:t>
          </a:r>
        </a:p>
        <a:p>
          <a:pPr lvl="0" algn="ctr" defTabSz="622300">
            <a:lnSpc>
              <a:spcPct val="100000"/>
            </a:lnSpc>
            <a:spcBef>
              <a:spcPct val="0"/>
            </a:spcBef>
            <a:spcAft>
              <a:spcPts val="0"/>
            </a:spcAft>
          </a:pPr>
          <a:r>
            <a:rPr lang="en-US" sz="1200" b="0" kern="1200"/>
            <a:t>(Members: Pertinent Government Services)</a:t>
          </a:r>
          <a:endParaRPr lang="el-GR" sz="1200" b="0" kern="1200"/>
        </a:p>
      </dsp:txBody>
      <dsp:txXfrm>
        <a:off x="1338419" y="2020453"/>
        <a:ext cx="3121788" cy="783950"/>
      </dsp:txXfrm>
    </dsp:sp>
    <dsp:sp modelId="{CEFDDC90-652A-4E87-9C99-609D6881B8F8}">
      <dsp:nvSpPr>
        <dsp:cNvPr id="0" name=""/>
        <dsp:cNvSpPr/>
      </dsp:nvSpPr>
      <dsp:spPr>
        <a:xfrm rot="5393182">
          <a:off x="2813085" y="2793907"/>
          <a:ext cx="177619" cy="297672"/>
        </a:xfrm>
        <a:prstGeom prst="rightArrow">
          <a:avLst>
            <a:gd name="adj1" fmla="val 60000"/>
            <a:gd name="adj2" fmla="val 50000"/>
          </a:avLst>
        </a:prstGeom>
        <a:gradFill rotWithShape="0">
          <a:gsLst>
            <a:gs pos="0">
              <a:schemeClr val="accent4">
                <a:hueOff val="-2678862"/>
                <a:satOff val="16139"/>
                <a:lumOff val="1294"/>
                <a:alphaOff val="0"/>
                <a:shade val="51000"/>
                <a:satMod val="130000"/>
              </a:schemeClr>
            </a:gs>
            <a:gs pos="80000">
              <a:schemeClr val="accent4">
                <a:hueOff val="-2678862"/>
                <a:satOff val="16139"/>
                <a:lumOff val="1294"/>
                <a:alphaOff val="0"/>
                <a:shade val="93000"/>
                <a:satMod val="130000"/>
              </a:schemeClr>
            </a:gs>
            <a:gs pos="100000">
              <a:schemeClr val="accent4">
                <a:hueOff val="-2678862"/>
                <a:satOff val="16139"/>
                <a:lumOff val="129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kern="1200"/>
        </a:p>
      </dsp:txBody>
      <dsp:txXfrm rot="5393182">
        <a:off x="2813085" y="2793907"/>
        <a:ext cx="177619" cy="297672"/>
      </dsp:txXfrm>
    </dsp:sp>
    <dsp:sp modelId="{CEB02BF9-9DA2-453A-B0C6-184A7860B14F}">
      <dsp:nvSpPr>
        <dsp:cNvPr id="0" name=""/>
        <dsp:cNvSpPr/>
      </dsp:nvSpPr>
      <dsp:spPr>
        <a:xfrm>
          <a:off x="1344413" y="3076656"/>
          <a:ext cx="3075311" cy="676666"/>
        </a:xfrm>
        <a:prstGeom prst="roundRect">
          <a:avLst>
            <a:gd name="adj" fmla="val 10000"/>
          </a:avLst>
        </a:prstGeom>
        <a:gradFill rotWithShape="0">
          <a:gsLst>
            <a:gs pos="0">
              <a:schemeClr val="accent4">
                <a:hueOff val="-2976513"/>
                <a:satOff val="17933"/>
                <a:lumOff val="1437"/>
                <a:alphaOff val="0"/>
                <a:shade val="51000"/>
                <a:satMod val="130000"/>
              </a:schemeClr>
            </a:gs>
            <a:gs pos="80000">
              <a:schemeClr val="accent4">
                <a:hueOff val="-2976513"/>
                <a:satOff val="17933"/>
                <a:lumOff val="1437"/>
                <a:alphaOff val="0"/>
                <a:shade val="93000"/>
                <a:satMod val="130000"/>
              </a:schemeClr>
            </a:gs>
            <a:gs pos="100000">
              <a:schemeClr val="accent4">
                <a:hueOff val="-2976513"/>
                <a:satOff val="17933"/>
                <a:lumOff val="14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ts val="0"/>
            </a:spcAft>
          </a:pPr>
          <a:r>
            <a:rPr lang="en-US" sz="1400" b="1" kern="1200"/>
            <a:t>Planning Bureau</a:t>
          </a:r>
        </a:p>
        <a:p>
          <a:pPr lvl="0" algn="ctr" defTabSz="622300">
            <a:lnSpc>
              <a:spcPct val="100000"/>
            </a:lnSpc>
            <a:spcBef>
              <a:spcPct val="0"/>
            </a:spcBef>
            <a:spcAft>
              <a:spcPts val="0"/>
            </a:spcAft>
          </a:pPr>
          <a:r>
            <a:rPr lang="en-US" sz="1200" b="0" kern="1200"/>
            <a:t>Co-ordination of the preparation  and monitoring of the  implemetnation of the NRP</a:t>
          </a:r>
          <a:endParaRPr lang="el-GR" sz="1200" b="0" kern="1200"/>
        </a:p>
      </dsp:txBody>
      <dsp:txXfrm>
        <a:off x="1344413" y="3076656"/>
        <a:ext cx="3075311" cy="676666"/>
      </dsp:txXfrm>
    </dsp:sp>
    <dsp:sp modelId="{BB867E10-5E79-422C-BB5A-F99EA91A8E4C}">
      <dsp:nvSpPr>
        <dsp:cNvPr id="0" name=""/>
        <dsp:cNvSpPr/>
      </dsp:nvSpPr>
      <dsp:spPr>
        <a:xfrm rot="16166630">
          <a:off x="2800363" y="3741890"/>
          <a:ext cx="186080" cy="309347"/>
        </a:xfrm>
        <a:prstGeom prst="rightArrow">
          <a:avLst>
            <a:gd name="adj1" fmla="val 60000"/>
            <a:gd name="adj2" fmla="val 50000"/>
          </a:avLst>
        </a:prstGeom>
        <a:gradFill rotWithShape="0">
          <a:gsLst>
            <a:gs pos="0">
              <a:schemeClr val="accent4">
                <a:hueOff val="-3571816"/>
                <a:satOff val="21519"/>
                <a:lumOff val="1725"/>
                <a:alphaOff val="0"/>
                <a:shade val="51000"/>
                <a:satMod val="130000"/>
              </a:schemeClr>
            </a:gs>
            <a:gs pos="80000">
              <a:schemeClr val="accent4">
                <a:hueOff val="-3571816"/>
                <a:satOff val="21519"/>
                <a:lumOff val="1725"/>
                <a:alphaOff val="0"/>
                <a:shade val="93000"/>
                <a:satMod val="130000"/>
              </a:schemeClr>
            </a:gs>
            <a:gs pos="100000">
              <a:schemeClr val="accent4">
                <a:hueOff val="-3571816"/>
                <a:satOff val="21519"/>
                <a:lumOff val="172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l-GR" sz="900" kern="1200"/>
        </a:p>
      </dsp:txBody>
      <dsp:txXfrm rot="16166630">
        <a:off x="2800363" y="3741890"/>
        <a:ext cx="186080" cy="309347"/>
      </dsp:txXfrm>
    </dsp:sp>
    <dsp:sp modelId="{E80FBBAC-658D-492F-A3EB-FB6342575010}">
      <dsp:nvSpPr>
        <dsp:cNvPr id="0" name=""/>
        <dsp:cNvSpPr/>
      </dsp:nvSpPr>
      <dsp:spPr>
        <a:xfrm>
          <a:off x="1353084" y="4039804"/>
          <a:ext cx="3100904" cy="574633"/>
        </a:xfrm>
        <a:prstGeom prst="roundRect">
          <a:avLst>
            <a:gd name="adj" fmla="val 10000"/>
          </a:avLst>
        </a:prstGeom>
        <a:gradFill rotWithShape="0">
          <a:gsLst>
            <a:gs pos="0">
              <a:schemeClr val="accent4">
                <a:hueOff val="-3720641"/>
                <a:satOff val="22416"/>
                <a:lumOff val="1797"/>
                <a:alphaOff val="0"/>
                <a:shade val="51000"/>
                <a:satMod val="130000"/>
              </a:schemeClr>
            </a:gs>
            <a:gs pos="80000">
              <a:schemeClr val="accent4">
                <a:hueOff val="-3720641"/>
                <a:satOff val="22416"/>
                <a:lumOff val="1797"/>
                <a:alphaOff val="0"/>
                <a:shade val="93000"/>
                <a:satMod val="130000"/>
              </a:schemeClr>
            </a:gs>
            <a:gs pos="100000">
              <a:schemeClr val="accent4">
                <a:hueOff val="-3720641"/>
                <a:satOff val="22416"/>
                <a:lumOff val="179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8 Technical Committees </a:t>
          </a:r>
        </a:p>
        <a:p>
          <a:pPr lvl="0" algn="ctr" defTabSz="622300">
            <a:lnSpc>
              <a:spcPct val="90000"/>
            </a:lnSpc>
            <a:spcBef>
              <a:spcPct val="0"/>
            </a:spcBef>
            <a:spcAft>
              <a:spcPct val="35000"/>
            </a:spcAft>
          </a:pPr>
          <a:r>
            <a:rPr lang="en-US" sz="1200" b="0" kern="1200"/>
            <a:t>Chaired by the pertinent Ministry </a:t>
          </a:r>
          <a:endParaRPr lang="el-GR" sz="1200" b="0" kern="1200"/>
        </a:p>
      </dsp:txBody>
      <dsp:txXfrm>
        <a:off x="1353084" y="4039804"/>
        <a:ext cx="3100904" cy="574633"/>
      </dsp:txXfrm>
    </dsp:sp>
    <dsp:sp modelId="{AF3A7675-0214-49DA-A8CC-6FEB1BEA1BF3}">
      <dsp:nvSpPr>
        <dsp:cNvPr id="0" name=""/>
        <dsp:cNvSpPr/>
      </dsp:nvSpPr>
      <dsp:spPr>
        <a:xfrm rot="5380323">
          <a:off x="2814455" y="4619006"/>
          <a:ext cx="198674" cy="218956"/>
        </a:xfrm>
        <a:prstGeom prst="rightArrow">
          <a:avLst>
            <a:gd name="adj1" fmla="val 60000"/>
            <a:gd name="adj2" fmla="val 5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l-GR" sz="900" kern="1200"/>
        </a:p>
      </dsp:txBody>
      <dsp:txXfrm rot="5380323">
        <a:off x="2814455" y="4619006"/>
        <a:ext cx="198674" cy="218956"/>
      </dsp:txXfrm>
    </dsp:sp>
    <dsp:sp modelId="{05B8884B-B5DD-4951-A19A-BDA7CE532FF3}">
      <dsp:nvSpPr>
        <dsp:cNvPr id="0" name=""/>
        <dsp:cNvSpPr/>
      </dsp:nvSpPr>
      <dsp:spPr>
        <a:xfrm>
          <a:off x="522773" y="4879333"/>
          <a:ext cx="4783752" cy="2778766"/>
        </a:xfrm>
        <a:prstGeom prst="roundRect">
          <a:avLst>
            <a:gd name="adj" fmla="val 10000"/>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l-GR" sz="1200" b="0" kern="1200"/>
        </a:p>
      </dsp:txBody>
      <dsp:txXfrm>
        <a:off x="522773" y="4879333"/>
        <a:ext cx="4783752" cy="27787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0.12798</cdr:x>
      <cdr:y>0.16629</cdr:y>
    </cdr:from>
    <cdr:to>
      <cdr:x>0.17298</cdr:x>
      <cdr:y>0.75689</cdr:y>
    </cdr:to>
    <cdr:sp macro="" textlink="">
      <cdr:nvSpPr>
        <cdr:cNvPr id="1025" name="Text Box 1"/>
        <cdr:cNvSpPr txBox="1">
          <a:spLocks xmlns:a="http://schemas.openxmlformats.org/drawingml/2006/main" noChangeArrowheads="1"/>
        </cdr:cNvSpPr>
      </cdr:nvSpPr>
      <cdr:spPr bwMode="auto">
        <a:xfrm xmlns:a="http://schemas.openxmlformats.org/drawingml/2006/main">
          <a:off x="1069959" y="406838"/>
          <a:ext cx="377842" cy="144490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45720" tIns="32004" rIns="0" bIns="0" anchor="t" upright="1"/>
        <a:lstStyle xmlns:a="http://schemas.openxmlformats.org/drawingml/2006/main"/>
        <a:p xmlns:a="http://schemas.openxmlformats.org/drawingml/2006/main">
          <a:pPr algn="l" rtl="0">
            <a:defRPr sz="1000"/>
          </a:pPr>
          <a:r>
            <a:rPr lang="en-US" sz="1400" b="1" i="0" u="none" strike="noStrike" baseline="0" dirty="0">
              <a:solidFill>
                <a:schemeClr val="accent2">
                  <a:lumMod val="75000"/>
                </a:schemeClr>
              </a:solidFill>
              <a:latin typeface="+mj-lt"/>
            </a:rPr>
            <a:t>Mill. Euros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clipse 1">
    <a:dk1>
      <a:srgbClr val="000000"/>
    </a:dk1>
    <a:lt1>
      <a:srgbClr val="FFFFFF"/>
    </a:lt1>
    <a:dk2>
      <a:srgbClr val="006666"/>
    </a:dk2>
    <a:lt2>
      <a:srgbClr val="5F5F5F"/>
    </a:lt2>
    <a:accent1>
      <a:srgbClr val="33CCCC"/>
    </a:accent1>
    <a:accent2>
      <a:srgbClr val="99CCCC"/>
    </a:accent2>
    <a:accent3>
      <a:srgbClr val="FFFFFF"/>
    </a:accent3>
    <a:accent4>
      <a:srgbClr val="000000"/>
    </a:accent4>
    <a:accent5>
      <a:srgbClr val="ADE2E2"/>
    </a:accent5>
    <a:accent6>
      <a:srgbClr val="8AB9B9"/>
    </a:accent6>
    <a:hlink>
      <a:srgbClr val="006666"/>
    </a:hlink>
    <a:folHlink>
      <a:srgbClr val="B2B2B2"/>
    </a:folHlink>
  </a:clrScheme>
  <a:fontScheme name="Eclipse">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
    <a:dk1>
      <a:srgbClr val="000080"/>
    </a:dk1>
    <a:lt1>
      <a:srgbClr val="FFFFFF"/>
    </a:lt1>
    <a:dk2>
      <a:srgbClr val="FFFFFF"/>
    </a:dk2>
    <a:lt2>
      <a:srgbClr val="808080"/>
    </a:lt2>
    <a:accent1>
      <a:srgbClr val="B4D7EB"/>
    </a:accent1>
    <a:accent2>
      <a:srgbClr val="183883"/>
    </a:accent2>
    <a:accent3>
      <a:srgbClr val="FFFFFF"/>
    </a:accent3>
    <a:accent4>
      <a:srgbClr val="00006C"/>
    </a:accent4>
    <a:accent5>
      <a:srgbClr val="D6E8F3"/>
    </a:accent5>
    <a:accent6>
      <a:srgbClr val="153276"/>
    </a:accent6>
    <a:hlink>
      <a:srgbClr val="365B91"/>
    </a:hlink>
    <a:folHlink>
      <a:srgbClr val="97C6E4"/>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5463-7E44-4583-8B6D-434D740B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32697</Words>
  <Characters>186376</Characters>
  <Application>Microsoft Office Word</Application>
  <DocSecurity>4</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Company>PLANNING BUREAU</Company>
  <LinksUpToDate>false</LinksUpToDate>
  <CharactersWithSpaces>218636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Kyriacou</dc:creator>
  <cp:lastModifiedBy>grginek1</cp:lastModifiedBy>
  <cp:revision>2</cp:revision>
  <cp:lastPrinted>2012-04-26T13:00:00Z</cp:lastPrinted>
  <dcterms:created xsi:type="dcterms:W3CDTF">2012-04-26T13:00:00Z</dcterms:created>
  <dcterms:modified xsi:type="dcterms:W3CDTF">2012-04-26T13:00:00Z</dcterms:modified>
</cp:coreProperties>
</file>