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4B75" w:rsidRPr="000D5718" w:rsidRDefault="00AA0B80" w:rsidP="000D5718">
      <w:pPr>
        <w:pStyle w:val="PlainText"/>
        <w:jc w:val="center"/>
        <w:rPr>
          <w:rFonts w:asciiTheme="minorHAnsi" w:hAnsiTheme="minorHAnsi"/>
          <w:b/>
          <w:sz w:val="32"/>
          <w:szCs w:val="32"/>
        </w:rPr>
      </w:pPr>
      <w:r>
        <w:rPr>
          <w:rFonts w:asciiTheme="minorHAnsi" w:hAnsiTheme="minorHAnsi"/>
          <w:b/>
          <w:sz w:val="32"/>
          <w:szCs w:val="32"/>
        </w:rPr>
        <w:t xml:space="preserve">9d. </w:t>
      </w:r>
      <w:bookmarkStart w:id="0" w:name="_GoBack"/>
      <w:bookmarkEnd w:id="0"/>
      <w:r w:rsidR="000D5718">
        <w:rPr>
          <w:rFonts w:asciiTheme="minorHAnsi" w:hAnsiTheme="minorHAnsi"/>
          <w:b/>
          <w:sz w:val="32"/>
          <w:szCs w:val="32"/>
        </w:rPr>
        <w:t>Follow–up n</w:t>
      </w:r>
      <w:r w:rsidR="00024B75" w:rsidRPr="000D5718">
        <w:rPr>
          <w:rFonts w:asciiTheme="minorHAnsi" w:hAnsiTheme="minorHAnsi"/>
          <w:b/>
          <w:sz w:val="32"/>
          <w:szCs w:val="32"/>
        </w:rPr>
        <w:t>ote for EUISG regarding the Living Wage</w:t>
      </w:r>
    </w:p>
    <w:p w:rsidR="000D5718" w:rsidRDefault="000D5718" w:rsidP="00024B75">
      <w:pPr>
        <w:pStyle w:val="PlainText"/>
        <w:rPr>
          <w:rFonts w:asciiTheme="minorHAnsi" w:hAnsiTheme="minorHAnsi"/>
          <w:b/>
          <w:sz w:val="22"/>
          <w:szCs w:val="22"/>
        </w:rPr>
      </w:pPr>
    </w:p>
    <w:p w:rsidR="00024B75" w:rsidRPr="000D5718" w:rsidRDefault="000D5718" w:rsidP="00024B75">
      <w:pPr>
        <w:pStyle w:val="PlainText"/>
        <w:rPr>
          <w:rFonts w:asciiTheme="minorHAnsi" w:hAnsiTheme="minorHAnsi"/>
          <w:b/>
          <w:sz w:val="28"/>
          <w:szCs w:val="28"/>
        </w:rPr>
      </w:pPr>
      <w:r w:rsidRPr="000D5718">
        <w:rPr>
          <w:rFonts w:asciiTheme="minorHAnsi" w:hAnsiTheme="minorHAnsi"/>
          <w:b/>
          <w:sz w:val="28"/>
          <w:szCs w:val="28"/>
        </w:rPr>
        <w:t>Request from EAPN President Sergio Aires</w:t>
      </w:r>
    </w:p>
    <w:p w:rsidR="000D5718" w:rsidRDefault="000D5718" w:rsidP="00024B75">
      <w:pPr>
        <w:pStyle w:val="PlainText"/>
        <w:rPr>
          <w:rFonts w:asciiTheme="minorHAnsi" w:hAnsiTheme="minorHAnsi"/>
          <w:sz w:val="22"/>
          <w:szCs w:val="22"/>
        </w:rPr>
      </w:pPr>
    </w:p>
    <w:p w:rsidR="00024B75" w:rsidRDefault="00024B75" w:rsidP="00024B75">
      <w:pPr>
        <w:pStyle w:val="PlainText"/>
        <w:rPr>
          <w:rFonts w:asciiTheme="minorHAnsi" w:hAnsiTheme="minorHAnsi"/>
          <w:sz w:val="22"/>
          <w:szCs w:val="22"/>
        </w:rPr>
      </w:pPr>
      <w:r w:rsidRPr="00024B75">
        <w:rPr>
          <w:rFonts w:asciiTheme="minorHAnsi" w:hAnsiTheme="minorHAnsi"/>
          <w:sz w:val="22"/>
          <w:szCs w:val="22"/>
        </w:rPr>
        <w:t xml:space="preserve">I was asked </w:t>
      </w:r>
      <w:r>
        <w:rPr>
          <w:rFonts w:asciiTheme="minorHAnsi" w:hAnsiTheme="minorHAnsi"/>
          <w:sz w:val="22"/>
          <w:szCs w:val="22"/>
        </w:rPr>
        <w:t xml:space="preserve">by Sergio </w:t>
      </w:r>
      <w:r w:rsidRPr="00024B75">
        <w:rPr>
          <w:rFonts w:asciiTheme="minorHAnsi" w:hAnsiTheme="minorHAnsi"/>
          <w:sz w:val="22"/>
          <w:szCs w:val="22"/>
        </w:rPr>
        <w:t xml:space="preserve">at the EUISG meeting </w:t>
      </w:r>
      <w:r>
        <w:rPr>
          <w:rFonts w:asciiTheme="minorHAnsi" w:hAnsiTheme="minorHAnsi"/>
          <w:sz w:val="22"/>
          <w:szCs w:val="22"/>
        </w:rPr>
        <w:t xml:space="preserve">of </w:t>
      </w:r>
      <w:r w:rsidR="000125F7">
        <w:rPr>
          <w:rFonts w:asciiTheme="minorHAnsi" w:hAnsiTheme="minorHAnsi"/>
          <w:sz w:val="22"/>
          <w:szCs w:val="22"/>
        </w:rPr>
        <w:t>October 2014 to</w:t>
      </w:r>
      <w:r w:rsidRPr="00024B75">
        <w:rPr>
          <w:rFonts w:asciiTheme="minorHAnsi" w:hAnsiTheme="minorHAnsi"/>
          <w:sz w:val="22"/>
          <w:szCs w:val="22"/>
        </w:rPr>
        <w:t xml:space="preserve"> prepare a note for the </w:t>
      </w:r>
      <w:r>
        <w:rPr>
          <w:rFonts w:asciiTheme="minorHAnsi" w:hAnsiTheme="minorHAnsi"/>
          <w:sz w:val="22"/>
          <w:szCs w:val="22"/>
        </w:rPr>
        <w:t xml:space="preserve">EUISG </w:t>
      </w:r>
      <w:r w:rsidRPr="00024B75">
        <w:rPr>
          <w:rFonts w:asciiTheme="minorHAnsi" w:hAnsiTheme="minorHAnsi"/>
          <w:sz w:val="22"/>
          <w:szCs w:val="22"/>
        </w:rPr>
        <w:t>clarifying</w:t>
      </w:r>
    </w:p>
    <w:p w:rsidR="003564F4" w:rsidRDefault="00024B75" w:rsidP="00024B75">
      <w:pPr>
        <w:pStyle w:val="PlainText"/>
        <w:numPr>
          <w:ilvl w:val="0"/>
          <w:numId w:val="1"/>
        </w:numPr>
        <w:rPr>
          <w:rFonts w:asciiTheme="minorHAnsi" w:hAnsiTheme="minorHAnsi"/>
          <w:sz w:val="22"/>
          <w:szCs w:val="22"/>
        </w:rPr>
      </w:pPr>
      <w:r w:rsidRPr="003564F4">
        <w:rPr>
          <w:rFonts w:asciiTheme="minorHAnsi" w:hAnsiTheme="minorHAnsi"/>
          <w:sz w:val="22"/>
          <w:szCs w:val="22"/>
        </w:rPr>
        <w:t xml:space="preserve">The distinctions between four terms used in English </w:t>
      </w:r>
      <w:r w:rsidRPr="003564F4">
        <w:rPr>
          <w:rFonts w:asciiTheme="minorHAnsi" w:hAnsiTheme="minorHAnsi"/>
          <w:i/>
          <w:sz w:val="22"/>
          <w:szCs w:val="22"/>
        </w:rPr>
        <w:t>living wage; minimum wage</w:t>
      </w:r>
      <w:r w:rsidR="000C5C37" w:rsidRPr="003564F4">
        <w:rPr>
          <w:rFonts w:asciiTheme="minorHAnsi" w:hAnsiTheme="minorHAnsi"/>
          <w:i/>
          <w:sz w:val="22"/>
          <w:szCs w:val="22"/>
        </w:rPr>
        <w:t>;</w:t>
      </w:r>
      <w:r w:rsidRPr="003564F4">
        <w:rPr>
          <w:rFonts w:asciiTheme="minorHAnsi" w:hAnsiTheme="minorHAnsi"/>
          <w:i/>
          <w:sz w:val="22"/>
          <w:szCs w:val="22"/>
        </w:rPr>
        <w:t xml:space="preserve"> minimum income and basic income</w:t>
      </w:r>
      <w:r w:rsidR="003564F4" w:rsidRPr="003564F4">
        <w:rPr>
          <w:rFonts w:asciiTheme="minorHAnsi" w:hAnsiTheme="minorHAnsi"/>
          <w:i/>
          <w:sz w:val="22"/>
          <w:szCs w:val="22"/>
        </w:rPr>
        <w:t xml:space="preserve">. </w:t>
      </w:r>
      <w:r w:rsidR="003564F4" w:rsidRPr="003564F4">
        <w:rPr>
          <w:rFonts w:asciiTheme="minorHAnsi" w:hAnsiTheme="minorHAnsi"/>
          <w:sz w:val="22"/>
          <w:szCs w:val="22"/>
        </w:rPr>
        <w:t xml:space="preserve">The distinctions between the four terms </w:t>
      </w:r>
      <w:r w:rsidR="003564F4" w:rsidRPr="003564F4">
        <w:rPr>
          <w:rFonts w:asciiTheme="minorHAnsi" w:hAnsiTheme="minorHAnsi"/>
          <w:i/>
          <w:sz w:val="22"/>
          <w:szCs w:val="22"/>
        </w:rPr>
        <w:t>as used in the UK</w:t>
      </w:r>
      <w:r w:rsidR="003564F4" w:rsidRPr="003564F4">
        <w:rPr>
          <w:rFonts w:asciiTheme="minorHAnsi" w:hAnsiTheme="minorHAnsi"/>
          <w:sz w:val="22"/>
          <w:szCs w:val="22"/>
        </w:rPr>
        <w:t xml:space="preserve"> are attached as </w:t>
      </w:r>
      <w:r w:rsidR="003564F4" w:rsidRPr="003564F4">
        <w:rPr>
          <w:rFonts w:asciiTheme="minorHAnsi" w:hAnsiTheme="minorHAnsi"/>
          <w:b/>
          <w:sz w:val="22"/>
          <w:szCs w:val="22"/>
        </w:rPr>
        <w:t>Appendix A.</w:t>
      </w:r>
    </w:p>
    <w:p w:rsidR="00024B75" w:rsidRDefault="003564F4" w:rsidP="00024B75">
      <w:pPr>
        <w:pStyle w:val="PlainText"/>
        <w:numPr>
          <w:ilvl w:val="0"/>
          <w:numId w:val="1"/>
        </w:numPr>
        <w:rPr>
          <w:rFonts w:asciiTheme="minorHAnsi" w:hAnsiTheme="minorHAnsi"/>
          <w:sz w:val="22"/>
          <w:szCs w:val="22"/>
        </w:rPr>
      </w:pPr>
      <w:r w:rsidRPr="003564F4">
        <w:rPr>
          <w:rFonts w:asciiTheme="minorHAnsi" w:hAnsiTheme="minorHAnsi"/>
          <w:sz w:val="22"/>
          <w:szCs w:val="22"/>
        </w:rPr>
        <w:t>Drawing on the UK example, p</w:t>
      </w:r>
      <w:r w:rsidR="00024B75" w:rsidRPr="003564F4">
        <w:rPr>
          <w:rFonts w:asciiTheme="minorHAnsi" w:hAnsiTheme="minorHAnsi"/>
          <w:sz w:val="22"/>
          <w:szCs w:val="22"/>
        </w:rPr>
        <w:t>ositives and potential issues of the Living Wage concept for EAPN campaigning.</w:t>
      </w:r>
      <w:r w:rsidRPr="003564F4">
        <w:rPr>
          <w:rFonts w:asciiTheme="minorHAnsi" w:hAnsiTheme="minorHAnsi"/>
          <w:sz w:val="22"/>
          <w:szCs w:val="22"/>
        </w:rPr>
        <w:t xml:space="preserve"> This is discussed below. </w:t>
      </w:r>
      <w:r w:rsidRPr="003564F4">
        <w:rPr>
          <w:rFonts w:asciiTheme="minorHAnsi" w:hAnsiTheme="minorHAnsi"/>
          <w:b/>
          <w:sz w:val="22"/>
          <w:szCs w:val="22"/>
        </w:rPr>
        <w:t>Appendix B</w:t>
      </w:r>
      <w:r w:rsidRPr="003564F4">
        <w:rPr>
          <w:rFonts w:asciiTheme="minorHAnsi" w:hAnsiTheme="minorHAnsi"/>
          <w:sz w:val="22"/>
          <w:szCs w:val="22"/>
        </w:rPr>
        <w:t xml:space="preserve"> provides further information from extracts from the websites of the London Living Wage Foundation and Poverty Alliance</w:t>
      </w:r>
      <w:r>
        <w:rPr>
          <w:rFonts w:asciiTheme="minorHAnsi" w:hAnsiTheme="minorHAnsi"/>
          <w:sz w:val="22"/>
          <w:szCs w:val="22"/>
        </w:rPr>
        <w:t>.</w:t>
      </w:r>
    </w:p>
    <w:p w:rsidR="003564F4" w:rsidRPr="003564F4" w:rsidRDefault="003564F4" w:rsidP="003564F4">
      <w:pPr>
        <w:pStyle w:val="PlainText"/>
        <w:ind w:left="360"/>
        <w:rPr>
          <w:rFonts w:asciiTheme="minorHAnsi" w:hAnsiTheme="minorHAnsi"/>
          <w:sz w:val="22"/>
          <w:szCs w:val="22"/>
        </w:rPr>
      </w:pPr>
    </w:p>
    <w:p w:rsidR="000D5718" w:rsidRDefault="003564F4" w:rsidP="000D5718">
      <w:pPr>
        <w:pStyle w:val="PlainText"/>
        <w:rPr>
          <w:rFonts w:asciiTheme="minorHAnsi" w:hAnsiTheme="minorHAnsi"/>
          <w:sz w:val="22"/>
          <w:szCs w:val="22"/>
        </w:rPr>
      </w:pPr>
      <w:r>
        <w:rPr>
          <w:rFonts w:asciiTheme="minorHAnsi" w:hAnsiTheme="minorHAnsi"/>
          <w:sz w:val="22"/>
          <w:szCs w:val="22"/>
        </w:rPr>
        <w:t>C</w:t>
      </w:r>
      <w:r w:rsidR="000D5718">
        <w:rPr>
          <w:rFonts w:asciiTheme="minorHAnsi" w:hAnsiTheme="minorHAnsi"/>
          <w:sz w:val="22"/>
          <w:szCs w:val="22"/>
        </w:rPr>
        <w:t>ongratulate the Decent Work T</w:t>
      </w:r>
      <w:r w:rsidR="000125F7">
        <w:rPr>
          <w:rFonts w:asciiTheme="minorHAnsi" w:hAnsiTheme="minorHAnsi"/>
          <w:sz w:val="22"/>
          <w:szCs w:val="22"/>
        </w:rPr>
        <w:t>ask</w:t>
      </w:r>
      <w:r w:rsidR="000D5718">
        <w:rPr>
          <w:rFonts w:asciiTheme="minorHAnsi" w:hAnsiTheme="minorHAnsi"/>
          <w:sz w:val="22"/>
          <w:szCs w:val="22"/>
        </w:rPr>
        <w:t xml:space="preserve"> Force on their excellent paper </w:t>
      </w:r>
      <w:r w:rsidR="000D5718" w:rsidRPr="00024B75">
        <w:rPr>
          <w:rFonts w:asciiTheme="minorHAnsi" w:hAnsiTheme="minorHAnsi"/>
          <w:sz w:val="22"/>
          <w:szCs w:val="22"/>
        </w:rPr>
        <w:t xml:space="preserve">and campaign guide </w:t>
      </w:r>
      <w:r w:rsidR="000D5718">
        <w:rPr>
          <w:rFonts w:asciiTheme="minorHAnsi" w:hAnsiTheme="minorHAnsi"/>
          <w:sz w:val="22"/>
          <w:szCs w:val="22"/>
        </w:rPr>
        <w:t xml:space="preserve">on the Living Wage, ably presented in the meeting by </w:t>
      </w:r>
      <w:r>
        <w:rPr>
          <w:rFonts w:asciiTheme="minorHAnsi" w:hAnsiTheme="minorHAnsi"/>
          <w:sz w:val="22"/>
          <w:szCs w:val="22"/>
        </w:rPr>
        <w:t xml:space="preserve">Paul Ginnell </w:t>
      </w:r>
      <w:r w:rsidR="000D5718">
        <w:rPr>
          <w:rFonts w:asciiTheme="minorHAnsi" w:hAnsiTheme="minorHAnsi"/>
          <w:sz w:val="22"/>
          <w:szCs w:val="22"/>
        </w:rPr>
        <w:t xml:space="preserve">and Amana Ferro. As Paul noted, the paper does address the issues. What I do in this Note is to summarise matters that </w:t>
      </w:r>
      <w:r>
        <w:rPr>
          <w:rFonts w:asciiTheme="minorHAnsi" w:hAnsiTheme="minorHAnsi"/>
          <w:sz w:val="22"/>
          <w:szCs w:val="22"/>
        </w:rPr>
        <w:t>EAPN n</w:t>
      </w:r>
      <w:r w:rsidR="000D5718">
        <w:rPr>
          <w:rFonts w:asciiTheme="minorHAnsi" w:hAnsiTheme="minorHAnsi"/>
          <w:sz w:val="22"/>
          <w:szCs w:val="22"/>
        </w:rPr>
        <w:t xml:space="preserve">etworks may consider </w:t>
      </w:r>
      <w:r w:rsidR="000D5718" w:rsidRPr="00024B75">
        <w:rPr>
          <w:rFonts w:asciiTheme="minorHAnsi" w:hAnsiTheme="minorHAnsi"/>
          <w:sz w:val="22"/>
          <w:szCs w:val="22"/>
        </w:rPr>
        <w:t>in the context of the fight against poverty</w:t>
      </w:r>
      <w:r w:rsidR="000D5718">
        <w:rPr>
          <w:rFonts w:asciiTheme="minorHAnsi" w:hAnsiTheme="minorHAnsi"/>
          <w:sz w:val="22"/>
          <w:szCs w:val="22"/>
        </w:rPr>
        <w:t>.</w:t>
      </w:r>
      <w:r w:rsidR="005D0D17">
        <w:rPr>
          <w:rFonts w:asciiTheme="minorHAnsi" w:hAnsiTheme="minorHAnsi"/>
          <w:sz w:val="22"/>
          <w:szCs w:val="22"/>
        </w:rPr>
        <w:t xml:space="preserve"> I would be very happy to receive comments. </w:t>
      </w:r>
    </w:p>
    <w:p w:rsidR="005D0D17" w:rsidRDefault="005D0D17" w:rsidP="00024B75">
      <w:pPr>
        <w:pStyle w:val="PlainText"/>
        <w:rPr>
          <w:rFonts w:asciiTheme="minorHAnsi" w:hAnsiTheme="minorHAnsi"/>
          <w:b/>
          <w:sz w:val="22"/>
          <w:szCs w:val="22"/>
        </w:rPr>
      </w:pPr>
    </w:p>
    <w:p w:rsidR="000D5718" w:rsidRDefault="000D5718" w:rsidP="00024B75">
      <w:pPr>
        <w:pStyle w:val="PlainText"/>
        <w:rPr>
          <w:rFonts w:asciiTheme="minorHAnsi" w:hAnsiTheme="minorHAnsi"/>
          <w:b/>
          <w:sz w:val="28"/>
          <w:szCs w:val="28"/>
        </w:rPr>
      </w:pPr>
      <w:r w:rsidRPr="006A5838">
        <w:rPr>
          <w:rFonts w:asciiTheme="minorHAnsi" w:hAnsiTheme="minorHAnsi"/>
          <w:b/>
          <w:sz w:val="28"/>
          <w:szCs w:val="28"/>
        </w:rPr>
        <w:t>The Living Wage</w:t>
      </w:r>
      <w:r w:rsidR="000125F7">
        <w:rPr>
          <w:rFonts w:asciiTheme="minorHAnsi" w:hAnsiTheme="minorHAnsi"/>
          <w:b/>
          <w:sz w:val="28"/>
          <w:szCs w:val="28"/>
        </w:rPr>
        <w:t xml:space="preserve"> – what is it?</w:t>
      </w:r>
    </w:p>
    <w:p w:rsidR="003564F4" w:rsidRPr="003564F4" w:rsidRDefault="003564F4" w:rsidP="00024B75">
      <w:pPr>
        <w:pStyle w:val="PlainText"/>
        <w:rPr>
          <w:rFonts w:asciiTheme="minorHAnsi" w:hAnsiTheme="minorHAnsi"/>
          <w:b/>
          <w:sz w:val="22"/>
          <w:szCs w:val="22"/>
        </w:rPr>
      </w:pPr>
    </w:p>
    <w:p w:rsidR="00E2232F" w:rsidRPr="000125F7" w:rsidRDefault="00E2232F" w:rsidP="000125F7">
      <w:pPr>
        <w:pStyle w:val="ListParagraph"/>
        <w:numPr>
          <w:ilvl w:val="0"/>
          <w:numId w:val="15"/>
        </w:numPr>
        <w:spacing w:after="0" w:line="240" w:lineRule="auto"/>
        <w:rPr>
          <w:rFonts w:eastAsia="Times New Roman" w:cs="Times New Roman"/>
          <w:lang w:eastAsia="en-GB"/>
        </w:rPr>
      </w:pPr>
      <w:r w:rsidRPr="000125F7">
        <w:rPr>
          <w:rFonts w:eastAsia="Times New Roman" w:cs="Times New Roman"/>
          <w:lang w:eastAsia="en-GB"/>
        </w:rPr>
        <w:t>An hourly rate set independently and updated annually</w:t>
      </w:r>
    </w:p>
    <w:p w:rsidR="00E2232F" w:rsidRPr="000125F7" w:rsidRDefault="00E2232F" w:rsidP="000125F7">
      <w:pPr>
        <w:pStyle w:val="ListParagraph"/>
        <w:numPr>
          <w:ilvl w:val="0"/>
          <w:numId w:val="15"/>
        </w:numPr>
        <w:spacing w:after="0" w:line="240" w:lineRule="auto"/>
        <w:rPr>
          <w:rFonts w:eastAsia="Times New Roman" w:cs="Times New Roman"/>
          <w:lang w:eastAsia="en-GB"/>
        </w:rPr>
      </w:pPr>
      <w:r w:rsidRPr="000125F7">
        <w:rPr>
          <w:rFonts w:eastAsia="Times New Roman" w:cs="Times New Roman"/>
          <w:lang w:eastAsia="en-GB"/>
        </w:rPr>
        <w:t>The Living Wage is calculated according to the basic cost of living in the UK</w:t>
      </w:r>
    </w:p>
    <w:p w:rsidR="00E2232F" w:rsidRPr="00E2232F" w:rsidRDefault="00E2232F" w:rsidP="000125F7">
      <w:pPr>
        <w:pStyle w:val="PlainText"/>
        <w:numPr>
          <w:ilvl w:val="0"/>
          <w:numId w:val="15"/>
        </w:numPr>
        <w:rPr>
          <w:rFonts w:asciiTheme="minorHAnsi" w:hAnsiTheme="minorHAnsi"/>
          <w:sz w:val="22"/>
          <w:szCs w:val="22"/>
        </w:rPr>
      </w:pPr>
      <w:r w:rsidRPr="00E2232F">
        <w:rPr>
          <w:rFonts w:asciiTheme="minorHAnsi" w:eastAsia="Times New Roman" w:hAnsiTheme="minorHAnsi" w:cs="Times New Roman"/>
          <w:sz w:val="22"/>
          <w:szCs w:val="22"/>
          <w:lang w:eastAsia="en-GB"/>
        </w:rPr>
        <w:t>Employers choose to pay the Living Wage on a voluntary basis</w:t>
      </w:r>
    </w:p>
    <w:p w:rsidR="00682250" w:rsidRDefault="000125F7" w:rsidP="00682250">
      <w:pPr>
        <w:pStyle w:val="PlainText"/>
        <w:rPr>
          <w:rFonts w:asciiTheme="minorHAnsi" w:hAnsiTheme="minorHAnsi"/>
          <w:sz w:val="22"/>
          <w:szCs w:val="22"/>
        </w:rPr>
      </w:pPr>
      <w:r>
        <w:rPr>
          <w:rFonts w:asciiTheme="minorHAnsi" w:hAnsiTheme="minorHAnsi"/>
          <w:sz w:val="22"/>
          <w:szCs w:val="22"/>
        </w:rPr>
        <w:t xml:space="preserve">See: </w:t>
      </w:r>
      <w:hyperlink r:id="rId8" w:history="1">
        <w:r w:rsidR="00682250" w:rsidRPr="00D74EC7">
          <w:rPr>
            <w:rStyle w:val="Hyperlink"/>
            <w:rFonts w:asciiTheme="minorHAnsi" w:hAnsiTheme="minorHAnsi"/>
            <w:sz w:val="22"/>
            <w:szCs w:val="22"/>
          </w:rPr>
          <w:t>http://www.livingwage.org.uk/what-living-wage</w:t>
        </w:r>
      </w:hyperlink>
    </w:p>
    <w:p w:rsidR="00B5456C" w:rsidRPr="00B91A4B" w:rsidRDefault="00B5456C" w:rsidP="00F40BC6">
      <w:pPr>
        <w:spacing w:after="0" w:line="240" w:lineRule="auto"/>
      </w:pPr>
    </w:p>
    <w:p w:rsidR="004E5787" w:rsidRDefault="00C057C9" w:rsidP="00F40BC6">
      <w:pPr>
        <w:spacing w:after="0" w:line="240" w:lineRule="auto"/>
      </w:pPr>
      <w:r>
        <w:t xml:space="preserve">The Living Wage campaign began in London in 2001 and by 2005/6 the Greater London Authority had agreed to calculate the Living Wage and pay it on its contracts. The current London Living </w:t>
      </w:r>
      <w:r w:rsidR="004E5787">
        <w:t>W</w:t>
      </w:r>
      <w:r>
        <w:t xml:space="preserve">age is £8.80. The campaign was taken up in areas across the UK. Since 2011 there has been an agreed way to calculate the Living Wage outside of London (it is done differently in London). The </w:t>
      </w:r>
      <w:r w:rsidR="004E5787">
        <w:t xml:space="preserve">current UK Living Wage is £7.65. </w:t>
      </w:r>
      <w:r w:rsidR="003564F4">
        <w:t>W</w:t>
      </w:r>
      <w:r w:rsidR="004E5787">
        <w:t>ages are set annually in the first week of November</w:t>
      </w:r>
      <w:r w:rsidR="003564F4">
        <w:t xml:space="preserve"> and </w:t>
      </w:r>
      <w:r w:rsidR="004E5787">
        <w:t xml:space="preserve">therefore will shortly change. The UK </w:t>
      </w:r>
      <w:r>
        <w:t>calculations are drawn from the work done for the Joseph Rowntree Foundation (JRF) by Loughborough University Centre for Social Policy (CRSP) on consensual minimum incomes. This work was established to calculate minimum acceptable incomes and</w:t>
      </w:r>
      <w:r w:rsidR="004E5787">
        <w:t xml:space="preserve"> use these to benchmark the inadequacy of government minimum incomes for people with no other resources (see the UK EMIN report).</w:t>
      </w:r>
      <w:r w:rsidR="00426077">
        <w:t xml:space="preserve"> Because of its basis in calculating minimum income needs for various types of household (single adults, lone parents, two adult households with children and retirement households) there is quite a complicated relationship with an hourly wage for a single worker and how that works in terms of costs for households.</w:t>
      </w:r>
    </w:p>
    <w:p w:rsidR="00426077" w:rsidRDefault="00426077" w:rsidP="00F40BC6">
      <w:pPr>
        <w:spacing w:after="0" w:line="240" w:lineRule="auto"/>
      </w:pPr>
    </w:p>
    <w:p w:rsidR="000D5718" w:rsidRPr="006A5838" w:rsidRDefault="000D5718" w:rsidP="00024B75">
      <w:pPr>
        <w:pStyle w:val="PlainText"/>
        <w:rPr>
          <w:rFonts w:asciiTheme="minorHAnsi" w:hAnsiTheme="minorHAnsi"/>
          <w:b/>
          <w:sz w:val="32"/>
          <w:szCs w:val="32"/>
        </w:rPr>
      </w:pPr>
      <w:r w:rsidRPr="006A5838">
        <w:rPr>
          <w:rFonts w:asciiTheme="minorHAnsi" w:hAnsiTheme="minorHAnsi"/>
          <w:b/>
          <w:sz w:val="32"/>
          <w:szCs w:val="32"/>
        </w:rPr>
        <w:t xml:space="preserve">The Living Wage </w:t>
      </w:r>
      <w:r w:rsidR="006A5838" w:rsidRPr="006A5838">
        <w:rPr>
          <w:rFonts w:asciiTheme="minorHAnsi" w:hAnsiTheme="minorHAnsi"/>
          <w:b/>
          <w:sz w:val="32"/>
          <w:szCs w:val="32"/>
        </w:rPr>
        <w:t xml:space="preserve">as a campaign tool </w:t>
      </w:r>
      <w:r w:rsidR="0053308B">
        <w:rPr>
          <w:rFonts w:asciiTheme="minorHAnsi" w:hAnsiTheme="minorHAnsi"/>
          <w:b/>
          <w:sz w:val="32"/>
          <w:szCs w:val="32"/>
        </w:rPr>
        <w:t>in</w:t>
      </w:r>
      <w:r w:rsidRPr="006A5838">
        <w:rPr>
          <w:rFonts w:asciiTheme="minorHAnsi" w:hAnsiTheme="minorHAnsi"/>
          <w:b/>
          <w:sz w:val="32"/>
          <w:szCs w:val="32"/>
        </w:rPr>
        <w:t xml:space="preserve"> the fight against poverty</w:t>
      </w:r>
    </w:p>
    <w:p w:rsidR="006A5838" w:rsidRDefault="006A5838" w:rsidP="00024B75">
      <w:pPr>
        <w:pStyle w:val="PlainText"/>
        <w:rPr>
          <w:rFonts w:asciiTheme="minorHAnsi" w:hAnsiTheme="minorHAnsi"/>
          <w:b/>
          <w:sz w:val="22"/>
          <w:szCs w:val="22"/>
        </w:rPr>
      </w:pPr>
    </w:p>
    <w:p w:rsidR="003564F4" w:rsidRPr="003564F4" w:rsidRDefault="003564F4" w:rsidP="00024B75">
      <w:pPr>
        <w:pStyle w:val="PlainText"/>
        <w:rPr>
          <w:rFonts w:asciiTheme="minorHAnsi" w:hAnsiTheme="minorHAnsi"/>
          <w:b/>
          <w:sz w:val="22"/>
          <w:szCs w:val="22"/>
          <w:u w:val="single"/>
        </w:rPr>
      </w:pPr>
      <w:r w:rsidRPr="003564F4">
        <w:rPr>
          <w:rFonts w:asciiTheme="minorHAnsi" w:hAnsiTheme="minorHAnsi"/>
          <w:b/>
          <w:sz w:val="22"/>
          <w:szCs w:val="22"/>
          <w:u w:val="single"/>
        </w:rPr>
        <w:t>Advantages</w:t>
      </w:r>
    </w:p>
    <w:p w:rsidR="006A5838" w:rsidRDefault="006A5838" w:rsidP="006A5838">
      <w:pPr>
        <w:pStyle w:val="PlainText"/>
        <w:ind w:left="360"/>
        <w:rPr>
          <w:rFonts w:asciiTheme="minorHAnsi" w:hAnsiTheme="minorHAnsi"/>
          <w:sz w:val="22"/>
          <w:szCs w:val="22"/>
        </w:rPr>
      </w:pPr>
      <w:r w:rsidRPr="00BF3A69">
        <w:rPr>
          <w:rFonts w:asciiTheme="minorHAnsi" w:hAnsiTheme="minorHAnsi"/>
          <w:b/>
          <w:i/>
          <w:sz w:val="22"/>
          <w:szCs w:val="22"/>
        </w:rPr>
        <w:t>The Living Wage is an ethical/ moral claim</w:t>
      </w:r>
      <w:r>
        <w:rPr>
          <w:rFonts w:asciiTheme="minorHAnsi" w:hAnsiTheme="minorHAnsi"/>
          <w:sz w:val="22"/>
          <w:szCs w:val="22"/>
        </w:rPr>
        <w:t xml:space="preserve"> – that no-one should work for a wage that provides less than a minimally acceptable standard of living.</w:t>
      </w:r>
    </w:p>
    <w:p w:rsidR="00062E16" w:rsidRPr="00062E16" w:rsidRDefault="00062E16" w:rsidP="006A5838">
      <w:pPr>
        <w:pStyle w:val="PlainText"/>
        <w:numPr>
          <w:ilvl w:val="0"/>
          <w:numId w:val="5"/>
        </w:numPr>
        <w:rPr>
          <w:rFonts w:asciiTheme="minorHAnsi" w:hAnsiTheme="minorHAnsi"/>
          <w:i/>
          <w:sz w:val="22"/>
          <w:szCs w:val="22"/>
        </w:rPr>
      </w:pPr>
      <w:r w:rsidRPr="00024B75">
        <w:rPr>
          <w:rFonts w:asciiTheme="minorHAnsi" w:hAnsiTheme="minorHAnsi"/>
          <w:sz w:val="22"/>
          <w:szCs w:val="22"/>
        </w:rPr>
        <w:t xml:space="preserve">It is important that there is a moral argument about </w:t>
      </w:r>
      <w:r>
        <w:rPr>
          <w:rFonts w:asciiTheme="minorHAnsi" w:hAnsiTheme="minorHAnsi"/>
          <w:sz w:val="22"/>
          <w:szCs w:val="22"/>
        </w:rPr>
        <w:t xml:space="preserve">in-work </w:t>
      </w:r>
      <w:r w:rsidRPr="00024B75">
        <w:rPr>
          <w:rFonts w:asciiTheme="minorHAnsi" w:hAnsiTheme="minorHAnsi"/>
          <w:sz w:val="22"/>
          <w:szCs w:val="22"/>
        </w:rPr>
        <w:t xml:space="preserve">poverty and why it should be eliminated, it implies a social responsibility and puts substance into and meaning behind the demand for </w:t>
      </w:r>
      <w:r>
        <w:rPr>
          <w:rFonts w:asciiTheme="minorHAnsi" w:hAnsiTheme="minorHAnsi"/>
          <w:sz w:val="22"/>
          <w:szCs w:val="22"/>
        </w:rPr>
        <w:t>‘</w:t>
      </w:r>
      <w:r w:rsidRPr="00024B75">
        <w:rPr>
          <w:rFonts w:asciiTheme="minorHAnsi" w:hAnsiTheme="minorHAnsi"/>
          <w:sz w:val="22"/>
          <w:szCs w:val="22"/>
        </w:rPr>
        <w:t>a fair days pay for a fair days work</w:t>
      </w:r>
      <w:r>
        <w:rPr>
          <w:rFonts w:asciiTheme="minorHAnsi" w:hAnsiTheme="minorHAnsi"/>
          <w:sz w:val="22"/>
          <w:szCs w:val="22"/>
        </w:rPr>
        <w:t>’</w:t>
      </w:r>
      <w:r w:rsidRPr="00024B75">
        <w:rPr>
          <w:rFonts w:asciiTheme="minorHAnsi" w:hAnsiTheme="minorHAnsi"/>
          <w:sz w:val="22"/>
          <w:szCs w:val="22"/>
        </w:rPr>
        <w:t>.</w:t>
      </w:r>
    </w:p>
    <w:p w:rsidR="00D20A07" w:rsidRDefault="006A5838" w:rsidP="00D20A07">
      <w:pPr>
        <w:pStyle w:val="PlainText"/>
        <w:numPr>
          <w:ilvl w:val="0"/>
          <w:numId w:val="5"/>
        </w:numPr>
        <w:rPr>
          <w:rFonts w:asciiTheme="minorHAnsi" w:hAnsiTheme="minorHAnsi"/>
          <w:sz w:val="22"/>
          <w:szCs w:val="22"/>
        </w:rPr>
      </w:pPr>
      <w:r w:rsidRPr="00D20A07">
        <w:rPr>
          <w:rFonts w:asciiTheme="minorHAnsi" w:hAnsiTheme="minorHAnsi"/>
          <w:sz w:val="22"/>
          <w:szCs w:val="22"/>
        </w:rPr>
        <w:t xml:space="preserve">It can be </w:t>
      </w:r>
      <w:r w:rsidR="000C5C37" w:rsidRPr="00D20A07">
        <w:rPr>
          <w:rFonts w:asciiTheme="minorHAnsi" w:hAnsiTheme="minorHAnsi"/>
          <w:sz w:val="22"/>
          <w:szCs w:val="22"/>
        </w:rPr>
        <w:t xml:space="preserve">an </w:t>
      </w:r>
      <w:r w:rsidRPr="00D20A07">
        <w:rPr>
          <w:rFonts w:asciiTheme="minorHAnsi" w:hAnsiTheme="minorHAnsi"/>
          <w:sz w:val="22"/>
          <w:szCs w:val="22"/>
        </w:rPr>
        <w:t xml:space="preserve">important </w:t>
      </w:r>
      <w:r w:rsidR="000C5C37" w:rsidRPr="00D20A07">
        <w:rPr>
          <w:rFonts w:asciiTheme="minorHAnsi" w:hAnsiTheme="minorHAnsi"/>
          <w:sz w:val="22"/>
          <w:szCs w:val="22"/>
        </w:rPr>
        <w:t xml:space="preserve">contribution </w:t>
      </w:r>
      <w:r w:rsidRPr="00D20A07">
        <w:rPr>
          <w:rFonts w:asciiTheme="minorHAnsi" w:hAnsiTheme="minorHAnsi"/>
          <w:sz w:val="22"/>
          <w:szCs w:val="22"/>
        </w:rPr>
        <w:t>to put</w:t>
      </w:r>
      <w:r w:rsidR="000C5C37" w:rsidRPr="00D20A07">
        <w:rPr>
          <w:rFonts w:asciiTheme="minorHAnsi" w:hAnsiTheme="minorHAnsi"/>
          <w:sz w:val="22"/>
          <w:szCs w:val="22"/>
        </w:rPr>
        <w:t>ting</w:t>
      </w:r>
      <w:r w:rsidRPr="00D20A07">
        <w:rPr>
          <w:rFonts w:asciiTheme="minorHAnsi" w:hAnsiTheme="minorHAnsi"/>
          <w:sz w:val="22"/>
          <w:szCs w:val="22"/>
        </w:rPr>
        <w:t xml:space="preserve"> the morality back into anti-poverty arguments, rather than accept</w:t>
      </w:r>
      <w:r w:rsidR="000C5C37" w:rsidRPr="00D20A07">
        <w:rPr>
          <w:rFonts w:asciiTheme="minorHAnsi" w:hAnsiTheme="minorHAnsi"/>
          <w:sz w:val="22"/>
          <w:szCs w:val="22"/>
        </w:rPr>
        <w:t>ing</w:t>
      </w:r>
      <w:r w:rsidRPr="00D20A07">
        <w:rPr>
          <w:rFonts w:asciiTheme="minorHAnsi" w:hAnsiTheme="minorHAnsi"/>
          <w:sz w:val="22"/>
          <w:szCs w:val="22"/>
        </w:rPr>
        <w:t xml:space="preserve"> the framework of the debate as set by many governments and increasingly by EU institutions, as well as businesses – that only economic costs and </w:t>
      </w:r>
      <w:r w:rsidRPr="00D20A07">
        <w:rPr>
          <w:rFonts w:asciiTheme="minorHAnsi" w:hAnsiTheme="minorHAnsi"/>
          <w:sz w:val="22"/>
          <w:szCs w:val="22"/>
        </w:rPr>
        <w:lastRenderedPageBreak/>
        <w:t>benefits can be taken into consideration in decision-making. That particular game is rigged against the poor.</w:t>
      </w:r>
    </w:p>
    <w:p w:rsidR="00D20A07" w:rsidRPr="00D20A07" w:rsidRDefault="00D20A07" w:rsidP="00D20A07">
      <w:pPr>
        <w:pStyle w:val="PlainText"/>
        <w:numPr>
          <w:ilvl w:val="0"/>
          <w:numId w:val="5"/>
        </w:numPr>
        <w:rPr>
          <w:rFonts w:asciiTheme="minorHAnsi" w:hAnsiTheme="minorHAnsi"/>
          <w:sz w:val="22"/>
          <w:szCs w:val="22"/>
        </w:rPr>
      </w:pPr>
      <w:r w:rsidRPr="00D20A07">
        <w:rPr>
          <w:rFonts w:asciiTheme="minorHAnsi" w:hAnsiTheme="minorHAnsi"/>
          <w:sz w:val="22"/>
          <w:szCs w:val="22"/>
        </w:rPr>
        <w:t xml:space="preserve">It helps to put a floor under living standards of people in work that there is a rate below which no employer should go </w:t>
      </w:r>
      <w:r w:rsidR="003564F4">
        <w:rPr>
          <w:rFonts w:asciiTheme="minorHAnsi" w:hAnsiTheme="minorHAnsi"/>
          <w:sz w:val="22"/>
          <w:szCs w:val="22"/>
        </w:rPr>
        <w:t xml:space="preserve">as </w:t>
      </w:r>
      <w:r w:rsidRPr="00D20A07">
        <w:rPr>
          <w:rFonts w:asciiTheme="minorHAnsi" w:hAnsiTheme="minorHAnsi"/>
          <w:sz w:val="22"/>
          <w:szCs w:val="22"/>
        </w:rPr>
        <w:t>to do so admits you are not paying enough for your workers to live on.</w:t>
      </w:r>
    </w:p>
    <w:p w:rsidR="00D20A07" w:rsidRPr="004E5787" w:rsidRDefault="00D20A07" w:rsidP="00D20A07">
      <w:pPr>
        <w:pStyle w:val="PlainText"/>
        <w:numPr>
          <w:ilvl w:val="0"/>
          <w:numId w:val="5"/>
        </w:numPr>
        <w:rPr>
          <w:rFonts w:asciiTheme="minorHAnsi" w:hAnsiTheme="minorHAnsi"/>
          <w:i/>
          <w:sz w:val="22"/>
          <w:szCs w:val="22"/>
        </w:rPr>
      </w:pPr>
      <w:r w:rsidRPr="00024B75">
        <w:rPr>
          <w:rFonts w:asciiTheme="minorHAnsi" w:hAnsiTheme="minorHAnsi"/>
          <w:sz w:val="22"/>
          <w:szCs w:val="22"/>
        </w:rPr>
        <w:t>In the UK the consensual reference budgets established by work for the JRF provid</w:t>
      </w:r>
      <w:r w:rsidR="003564F4">
        <w:rPr>
          <w:rFonts w:asciiTheme="minorHAnsi" w:hAnsiTheme="minorHAnsi"/>
          <w:sz w:val="22"/>
          <w:szCs w:val="22"/>
        </w:rPr>
        <w:t>e</w:t>
      </w:r>
      <w:r w:rsidRPr="00024B75">
        <w:rPr>
          <w:rFonts w:asciiTheme="minorHAnsi" w:hAnsiTheme="minorHAnsi"/>
          <w:sz w:val="22"/>
          <w:szCs w:val="22"/>
        </w:rPr>
        <w:t xml:space="preserve"> a credible underpinning for the level at which the Living W</w:t>
      </w:r>
      <w:r>
        <w:rPr>
          <w:rFonts w:asciiTheme="minorHAnsi" w:hAnsiTheme="minorHAnsi"/>
          <w:sz w:val="22"/>
          <w:szCs w:val="22"/>
        </w:rPr>
        <w:t>a</w:t>
      </w:r>
      <w:r w:rsidRPr="00024B75">
        <w:rPr>
          <w:rFonts w:asciiTheme="minorHAnsi" w:hAnsiTheme="minorHAnsi"/>
          <w:sz w:val="22"/>
          <w:szCs w:val="22"/>
        </w:rPr>
        <w:t>ge demand is set.</w:t>
      </w:r>
    </w:p>
    <w:p w:rsidR="004E5787" w:rsidRDefault="004E5787" w:rsidP="006A5838">
      <w:pPr>
        <w:pStyle w:val="PlainText"/>
        <w:numPr>
          <w:ilvl w:val="0"/>
          <w:numId w:val="5"/>
        </w:numPr>
        <w:rPr>
          <w:rFonts w:asciiTheme="minorHAnsi" w:hAnsiTheme="minorHAnsi"/>
          <w:i/>
          <w:sz w:val="22"/>
          <w:szCs w:val="22"/>
        </w:rPr>
      </w:pPr>
      <w:r>
        <w:rPr>
          <w:rFonts w:asciiTheme="minorHAnsi" w:hAnsiTheme="minorHAnsi"/>
          <w:sz w:val="22"/>
          <w:szCs w:val="22"/>
        </w:rPr>
        <w:t>Around four-fifths of employees are paid above the Living Wage hourly rate therefore its impact is on low paid workers. Women, Black and Asian minority ethnic groups and young people are most likely to be low paid and ther</w:t>
      </w:r>
      <w:r w:rsidR="00BF3A69">
        <w:rPr>
          <w:rFonts w:asciiTheme="minorHAnsi" w:hAnsiTheme="minorHAnsi"/>
          <w:sz w:val="22"/>
          <w:szCs w:val="22"/>
        </w:rPr>
        <w:t>e</w:t>
      </w:r>
      <w:r>
        <w:rPr>
          <w:rFonts w:asciiTheme="minorHAnsi" w:hAnsiTheme="minorHAnsi"/>
          <w:sz w:val="22"/>
          <w:szCs w:val="22"/>
        </w:rPr>
        <w:t xml:space="preserve">fore most likely to be gainers, with a positive impact on equalities. </w:t>
      </w:r>
    </w:p>
    <w:p w:rsidR="006A5838" w:rsidRDefault="006A5838" w:rsidP="00024B75">
      <w:pPr>
        <w:pStyle w:val="PlainText"/>
        <w:rPr>
          <w:rFonts w:asciiTheme="minorHAnsi" w:hAnsiTheme="minorHAnsi"/>
          <w:i/>
          <w:sz w:val="22"/>
          <w:szCs w:val="22"/>
        </w:rPr>
      </w:pPr>
    </w:p>
    <w:p w:rsidR="006A5838" w:rsidRPr="00BF3A69" w:rsidRDefault="006A5838" w:rsidP="006A5838">
      <w:pPr>
        <w:pStyle w:val="PlainText"/>
        <w:ind w:left="360"/>
        <w:rPr>
          <w:rFonts w:asciiTheme="minorHAnsi" w:hAnsiTheme="minorHAnsi"/>
          <w:b/>
          <w:i/>
          <w:sz w:val="22"/>
          <w:szCs w:val="22"/>
        </w:rPr>
      </w:pPr>
      <w:r w:rsidRPr="00BF3A69">
        <w:rPr>
          <w:rFonts w:asciiTheme="minorHAnsi" w:hAnsiTheme="minorHAnsi"/>
          <w:b/>
          <w:i/>
          <w:sz w:val="22"/>
          <w:szCs w:val="22"/>
        </w:rPr>
        <w:t>The Living Wage demand targets employers</w:t>
      </w:r>
    </w:p>
    <w:p w:rsidR="006A5838" w:rsidRPr="006A5838" w:rsidRDefault="006A5838" w:rsidP="006A5838">
      <w:pPr>
        <w:pStyle w:val="PlainText"/>
        <w:numPr>
          <w:ilvl w:val="0"/>
          <w:numId w:val="3"/>
        </w:numPr>
        <w:rPr>
          <w:rFonts w:asciiTheme="minorHAnsi" w:hAnsiTheme="minorHAnsi"/>
          <w:sz w:val="22"/>
          <w:szCs w:val="22"/>
        </w:rPr>
      </w:pPr>
      <w:r w:rsidRPr="006A5838">
        <w:rPr>
          <w:rFonts w:asciiTheme="minorHAnsi" w:hAnsiTheme="minorHAnsi"/>
          <w:sz w:val="22"/>
          <w:szCs w:val="22"/>
        </w:rPr>
        <w:t xml:space="preserve">This may be </w:t>
      </w:r>
      <w:r w:rsidR="003564F4">
        <w:rPr>
          <w:rFonts w:asciiTheme="minorHAnsi" w:hAnsiTheme="minorHAnsi"/>
          <w:sz w:val="22"/>
          <w:szCs w:val="22"/>
        </w:rPr>
        <w:t xml:space="preserve">a </w:t>
      </w:r>
      <w:r w:rsidRPr="006A5838">
        <w:rPr>
          <w:rFonts w:asciiTheme="minorHAnsi" w:hAnsiTheme="minorHAnsi"/>
          <w:sz w:val="22"/>
          <w:szCs w:val="22"/>
        </w:rPr>
        <w:t xml:space="preserve">new approach for some NGO networks including </w:t>
      </w:r>
      <w:r w:rsidR="003564F4">
        <w:rPr>
          <w:rFonts w:asciiTheme="minorHAnsi" w:hAnsiTheme="minorHAnsi"/>
          <w:sz w:val="22"/>
          <w:szCs w:val="22"/>
        </w:rPr>
        <w:t xml:space="preserve">those </w:t>
      </w:r>
      <w:r w:rsidR="000C5C37">
        <w:rPr>
          <w:rFonts w:asciiTheme="minorHAnsi" w:hAnsiTheme="minorHAnsi"/>
          <w:sz w:val="22"/>
          <w:szCs w:val="22"/>
        </w:rPr>
        <w:t xml:space="preserve">in </w:t>
      </w:r>
      <w:r w:rsidRPr="006A5838">
        <w:rPr>
          <w:rFonts w:asciiTheme="minorHAnsi" w:hAnsiTheme="minorHAnsi"/>
          <w:sz w:val="22"/>
          <w:szCs w:val="22"/>
        </w:rPr>
        <w:t>EAPN, which may have focused on meeting need by addressing demand</w:t>
      </w:r>
      <w:r w:rsidR="003564F4">
        <w:rPr>
          <w:rFonts w:asciiTheme="minorHAnsi" w:hAnsiTheme="minorHAnsi"/>
          <w:sz w:val="22"/>
          <w:szCs w:val="22"/>
        </w:rPr>
        <w:t>s</w:t>
      </w:r>
      <w:r w:rsidRPr="006A5838">
        <w:rPr>
          <w:rFonts w:asciiTheme="minorHAnsi" w:hAnsiTheme="minorHAnsi"/>
          <w:sz w:val="22"/>
          <w:szCs w:val="22"/>
        </w:rPr>
        <w:t xml:space="preserve"> to central and local departments of state. There will be different tactics and skills required to access and address employers and manage relationships with them and with allies, including trades unions and community organisations (where the campaign is locally or regionally based or targets an employer or business sector)</w:t>
      </w:r>
      <w:r w:rsidR="003564F4">
        <w:rPr>
          <w:rFonts w:asciiTheme="minorHAnsi" w:hAnsiTheme="minorHAnsi"/>
          <w:sz w:val="22"/>
          <w:szCs w:val="22"/>
        </w:rPr>
        <w:t>. B</w:t>
      </w:r>
      <w:r w:rsidR="00062E16">
        <w:rPr>
          <w:rFonts w:asciiTheme="minorHAnsi" w:hAnsiTheme="minorHAnsi"/>
          <w:sz w:val="22"/>
          <w:szCs w:val="22"/>
        </w:rPr>
        <w:t xml:space="preserve">ut it may </w:t>
      </w:r>
      <w:r w:rsidR="003564F4">
        <w:rPr>
          <w:rFonts w:asciiTheme="minorHAnsi" w:hAnsiTheme="minorHAnsi"/>
          <w:sz w:val="22"/>
          <w:szCs w:val="22"/>
        </w:rPr>
        <w:t xml:space="preserve">be an opportunity to </w:t>
      </w:r>
      <w:r w:rsidR="00062E16">
        <w:rPr>
          <w:rFonts w:asciiTheme="minorHAnsi" w:hAnsiTheme="minorHAnsi"/>
          <w:sz w:val="22"/>
          <w:szCs w:val="22"/>
        </w:rPr>
        <w:t>enlarge an</w:t>
      </w:r>
      <w:r w:rsidR="000C5C37">
        <w:rPr>
          <w:rFonts w:asciiTheme="minorHAnsi" w:hAnsiTheme="minorHAnsi"/>
          <w:sz w:val="22"/>
          <w:szCs w:val="22"/>
        </w:rPr>
        <w:t>d</w:t>
      </w:r>
      <w:r w:rsidR="00062E16">
        <w:rPr>
          <w:rFonts w:asciiTheme="minorHAnsi" w:hAnsiTheme="minorHAnsi"/>
          <w:sz w:val="22"/>
          <w:szCs w:val="22"/>
        </w:rPr>
        <w:t xml:space="preserve"> strengthen the Network’s range of allies</w:t>
      </w:r>
      <w:r w:rsidRPr="006A5838">
        <w:rPr>
          <w:rFonts w:asciiTheme="minorHAnsi" w:hAnsiTheme="minorHAnsi"/>
          <w:sz w:val="22"/>
          <w:szCs w:val="22"/>
        </w:rPr>
        <w:t>.</w:t>
      </w:r>
    </w:p>
    <w:p w:rsidR="006A5838" w:rsidRPr="006A5838" w:rsidRDefault="006A5838" w:rsidP="006A5838">
      <w:pPr>
        <w:pStyle w:val="PlainText"/>
        <w:numPr>
          <w:ilvl w:val="0"/>
          <w:numId w:val="3"/>
        </w:numPr>
        <w:rPr>
          <w:rFonts w:asciiTheme="minorHAnsi" w:hAnsiTheme="minorHAnsi"/>
          <w:sz w:val="22"/>
          <w:szCs w:val="22"/>
        </w:rPr>
      </w:pPr>
      <w:r w:rsidRPr="006A5838">
        <w:rPr>
          <w:rFonts w:asciiTheme="minorHAnsi" w:hAnsiTheme="minorHAnsi"/>
          <w:sz w:val="22"/>
          <w:szCs w:val="22"/>
        </w:rPr>
        <w:t>A successful agreement by a business or group of businesses to pay a Living Wage is a practical achievement that quickly can change beneficiaries’ lives.</w:t>
      </w:r>
    </w:p>
    <w:p w:rsidR="006A5838" w:rsidRPr="00062E16" w:rsidRDefault="006A5838" w:rsidP="006A5838">
      <w:pPr>
        <w:pStyle w:val="PlainText"/>
        <w:numPr>
          <w:ilvl w:val="0"/>
          <w:numId w:val="5"/>
        </w:numPr>
        <w:rPr>
          <w:rFonts w:asciiTheme="minorHAnsi" w:hAnsiTheme="minorHAnsi"/>
          <w:i/>
          <w:sz w:val="22"/>
          <w:szCs w:val="22"/>
        </w:rPr>
      </w:pPr>
      <w:r w:rsidRPr="009B5091">
        <w:rPr>
          <w:rFonts w:asciiTheme="minorHAnsi" w:hAnsiTheme="minorHAnsi"/>
          <w:sz w:val="22"/>
          <w:szCs w:val="22"/>
        </w:rPr>
        <w:t xml:space="preserve">The Living Wage demand is a contribution to tackling low pay in the sense that the </w:t>
      </w:r>
      <w:r w:rsidR="000C5C37" w:rsidRPr="009B5091">
        <w:rPr>
          <w:rFonts w:asciiTheme="minorHAnsi" w:hAnsiTheme="minorHAnsi"/>
          <w:sz w:val="22"/>
          <w:szCs w:val="22"/>
        </w:rPr>
        <w:t xml:space="preserve">demand is that pay should be increased to a minimum acceptable standard </w:t>
      </w:r>
      <w:r w:rsidR="000C5C37">
        <w:rPr>
          <w:rFonts w:asciiTheme="minorHAnsi" w:hAnsiTheme="minorHAnsi"/>
          <w:sz w:val="22"/>
          <w:szCs w:val="22"/>
        </w:rPr>
        <w:t xml:space="preserve">of living </w:t>
      </w:r>
      <w:r w:rsidRPr="009B5091">
        <w:rPr>
          <w:rFonts w:asciiTheme="minorHAnsi" w:hAnsiTheme="minorHAnsi"/>
          <w:sz w:val="22"/>
          <w:szCs w:val="22"/>
        </w:rPr>
        <w:t xml:space="preserve">either for </w:t>
      </w:r>
      <w:r w:rsidR="000C5C37">
        <w:rPr>
          <w:rFonts w:asciiTheme="minorHAnsi" w:hAnsiTheme="minorHAnsi"/>
          <w:sz w:val="22"/>
          <w:szCs w:val="22"/>
        </w:rPr>
        <w:t>the employed individual or</w:t>
      </w:r>
      <w:r w:rsidRPr="009B5091">
        <w:rPr>
          <w:rFonts w:asciiTheme="minorHAnsi" w:hAnsiTheme="minorHAnsi"/>
          <w:sz w:val="22"/>
          <w:szCs w:val="22"/>
        </w:rPr>
        <w:t xml:space="preserve"> for </w:t>
      </w:r>
      <w:r w:rsidR="000C5C37">
        <w:rPr>
          <w:rFonts w:asciiTheme="minorHAnsi" w:hAnsiTheme="minorHAnsi"/>
          <w:sz w:val="22"/>
          <w:szCs w:val="22"/>
        </w:rPr>
        <w:t xml:space="preserve">their </w:t>
      </w:r>
      <w:r w:rsidRPr="009B5091">
        <w:rPr>
          <w:rFonts w:asciiTheme="minorHAnsi" w:hAnsiTheme="minorHAnsi"/>
          <w:sz w:val="22"/>
          <w:szCs w:val="22"/>
        </w:rPr>
        <w:t>household (as the paper notes, the demand is different for different campaign groups in the UK and Ireland)</w:t>
      </w:r>
      <w:r w:rsidR="000C5C37">
        <w:rPr>
          <w:rFonts w:asciiTheme="minorHAnsi" w:hAnsiTheme="minorHAnsi"/>
          <w:sz w:val="22"/>
          <w:szCs w:val="22"/>
        </w:rPr>
        <w:t>.</w:t>
      </w:r>
      <w:r w:rsidRPr="009B5091">
        <w:rPr>
          <w:rFonts w:asciiTheme="minorHAnsi" w:hAnsiTheme="minorHAnsi"/>
          <w:sz w:val="22"/>
          <w:szCs w:val="22"/>
        </w:rPr>
        <w:t xml:space="preserve"> </w:t>
      </w:r>
    </w:p>
    <w:p w:rsidR="00062E16" w:rsidRDefault="00062E16" w:rsidP="00062E16">
      <w:pPr>
        <w:pStyle w:val="PlainText"/>
        <w:numPr>
          <w:ilvl w:val="0"/>
          <w:numId w:val="5"/>
        </w:numPr>
        <w:rPr>
          <w:rFonts w:asciiTheme="minorHAnsi" w:hAnsiTheme="minorHAnsi"/>
          <w:sz w:val="22"/>
          <w:szCs w:val="22"/>
        </w:rPr>
      </w:pPr>
      <w:r>
        <w:rPr>
          <w:rFonts w:asciiTheme="minorHAnsi" w:hAnsiTheme="minorHAnsi"/>
          <w:sz w:val="22"/>
          <w:szCs w:val="22"/>
        </w:rPr>
        <w:t>There is evidence that paying a Living Wage improves workforce productivity and reduces employee turnover, factors which can help the Living Wage to ‘pay for itself’ to employers. There is also UK evidence from the only private provider of domicil</w:t>
      </w:r>
      <w:r w:rsidR="000C5C37">
        <w:rPr>
          <w:rFonts w:asciiTheme="minorHAnsi" w:hAnsiTheme="minorHAnsi"/>
          <w:sz w:val="22"/>
          <w:szCs w:val="22"/>
        </w:rPr>
        <w:t>i</w:t>
      </w:r>
      <w:r>
        <w:rPr>
          <w:rFonts w:asciiTheme="minorHAnsi" w:hAnsiTheme="minorHAnsi"/>
          <w:sz w:val="22"/>
          <w:szCs w:val="22"/>
        </w:rPr>
        <w:t xml:space="preserve">ary care in the UK that </w:t>
      </w:r>
      <w:r w:rsidR="000C5C37">
        <w:rPr>
          <w:rFonts w:asciiTheme="minorHAnsi" w:hAnsiTheme="minorHAnsi"/>
          <w:sz w:val="22"/>
          <w:szCs w:val="22"/>
        </w:rPr>
        <w:t xml:space="preserve">does </w:t>
      </w:r>
      <w:r>
        <w:rPr>
          <w:rFonts w:asciiTheme="minorHAnsi" w:hAnsiTheme="minorHAnsi"/>
          <w:sz w:val="22"/>
          <w:szCs w:val="22"/>
        </w:rPr>
        <w:t>pay the Livi</w:t>
      </w:r>
      <w:r w:rsidR="000C5C37">
        <w:rPr>
          <w:rFonts w:asciiTheme="minorHAnsi" w:hAnsiTheme="minorHAnsi"/>
          <w:sz w:val="22"/>
          <w:szCs w:val="22"/>
        </w:rPr>
        <w:t>ng</w:t>
      </w:r>
      <w:r>
        <w:rPr>
          <w:rFonts w:asciiTheme="minorHAnsi" w:hAnsiTheme="minorHAnsi"/>
          <w:sz w:val="22"/>
          <w:szCs w:val="22"/>
        </w:rPr>
        <w:t xml:space="preserve"> W</w:t>
      </w:r>
      <w:r w:rsidR="000C5C37">
        <w:rPr>
          <w:rFonts w:asciiTheme="minorHAnsi" w:hAnsiTheme="minorHAnsi"/>
          <w:sz w:val="22"/>
          <w:szCs w:val="22"/>
        </w:rPr>
        <w:t>age</w:t>
      </w:r>
      <w:r>
        <w:rPr>
          <w:rFonts w:asciiTheme="minorHAnsi" w:hAnsiTheme="minorHAnsi"/>
          <w:sz w:val="22"/>
          <w:szCs w:val="22"/>
        </w:rPr>
        <w:t xml:space="preserve"> </w:t>
      </w:r>
      <w:r w:rsidR="003564F4">
        <w:rPr>
          <w:rFonts w:asciiTheme="minorHAnsi" w:hAnsiTheme="minorHAnsi"/>
          <w:sz w:val="22"/>
          <w:szCs w:val="22"/>
        </w:rPr>
        <w:t>(</w:t>
      </w:r>
      <w:r w:rsidR="000C5C37">
        <w:rPr>
          <w:rFonts w:asciiTheme="minorHAnsi" w:hAnsiTheme="minorHAnsi"/>
          <w:sz w:val="22"/>
          <w:szCs w:val="22"/>
        </w:rPr>
        <w:t xml:space="preserve">in </w:t>
      </w:r>
      <w:r>
        <w:rPr>
          <w:rFonts w:asciiTheme="minorHAnsi" w:hAnsiTheme="minorHAnsi"/>
          <w:sz w:val="22"/>
          <w:szCs w:val="22"/>
        </w:rPr>
        <w:t>a n</w:t>
      </w:r>
      <w:r w:rsidR="000C5C37">
        <w:rPr>
          <w:rFonts w:asciiTheme="minorHAnsi" w:hAnsiTheme="minorHAnsi"/>
          <w:sz w:val="22"/>
          <w:szCs w:val="22"/>
        </w:rPr>
        <w:t>otor</w:t>
      </w:r>
      <w:r>
        <w:rPr>
          <w:rFonts w:asciiTheme="minorHAnsi" w:hAnsiTheme="minorHAnsi"/>
          <w:sz w:val="22"/>
          <w:szCs w:val="22"/>
        </w:rPr>
        <w:t>iou</w:t>
      </w:r>
      <w:r w:rsidR="000C5C37">
        <w:rPr>
          <w:rFonts w:asciiTheme="minorHAnsi" w:hAnsiTheme="minorHAnsi"/>
          <w:sz w:val="22"/>
          <w:szCs w:val="22"/>
        </w:rPr>
        <w:t>s</w:t>
      </w:r>
      <w:r>
        <w:rPr>
          <w:rFonts w:asciiTheme="minorHAnsi" w:hAnsiTheme="minorHAnsi"/>
          <w:sz w:val="22"/>
          <w:szCs w:val="22"/>
        </w:rPr>
        <w:t>ly low p</w:t>
      </w:r>
      <w:r w:rsidR="000C5C37">
        <w:rPr>
          <w:rFonts w:asciiTheme="minorHAnsi" w:hAnsiTheme="minorHAnsi"/>
          <w:sz w:val="22"/>
          <w:szCs w:val="22"/>
        </w:rPr>
        <w:t>a</w:t>
      </w:r>
      <w:r>
        <w:rPr>
          <w:rFonts w:asciiTheme="minorHAnsi" w:hAnsiTheme="minorHAnsi"/>
          <w:sz w:val="22"/>
          <w:szCs w:val="22"/>
        </w:rPr>
        <w:t>y</w:t>
      </w:r>
      <w:r w:rsidR="000C5C37">
        <w:rPr>
          <w:rFonts w:asciiTheme="minorHAnsi" w:hAnsiTheme="minorHAnsi"/>
          <w:sz w:val="22"/>
          <w:szCs w:val="22"/>
        </w:rPr>
        <w:t>/</w:t>
      </w:r>
      <w:r>
        <w:rPr>
          <w:rFonts w:asciiTheme="minorHAnsi" w:hAnsiTheme="minorHAnsi"/>
          <w:sz w:val="22"/>
          <w:szCs w:val="22"/>
        </w:rPr>
        <w:t xml:space="preserve"> bad conditions</w:t>
      </w:r>
      <w:r w:rsidR="000C5C37">
        <w:rPr>
          <w:rFonts w:asciiTheme="minorHAnsi" w:hAnsiTheme="minorHAnsi"/>
          <w:sz w:val="22"/>
          <w:szCs w:val="22"/>
        </w:rPr>
        <w:t xml:space="preserve"> </w:t>
      </w:r>
      <w:r w:rsidR="00113AF7">
        <w:rPr>
          <w:rFonts w:asciiTheme="minorHAnsi" w:hAnsiTheme="minorHAnsi"/>
          <w:sz w:val="22"/>
          <w:szCs w:val="22"/>
        </w:rPr>
        <w:t>sector</w:t>
      </w:r>
      <w:r w:rsidR="003564F4">
        <w:rPr>
          <w:rFonts w:asciiTheme="minorHAnsi" w:hAnsiTheme="minorHAnsi"/>
          <w:sz w:val="22"/>
          <w:szCs w:val="22"/>
        </w:rPr>
        <w:t>)</w:t>
      </w:r>
      <w:r w:rsidR="00113AF7">
        <w:rPr>
          <w:rFonts w:asciiTheme="minorHAnsi" w:hAnsiTheme="minorHAnsi"/>
          <w:sz w:val="22"/>
          <w:szCs w:val="22"/>
        </w:rPr>
        <w:t xml:space="preserve"> that</w:t>
      </w:r>
      <w:r>
        <w:rPr>
          <w:rFonts w:asciiTheme="minorHAnsi" w:hAnsiTheme="minorHAnsi"/>
          <w:sz w:val="22"/>
          <w:szCs w:val="22"/>
        </w:rPr>
        <w:t xml:space="preserve"> the service provided to vulnerable </w:t>
      </w:r>
      <w:r w:rsidR="000C5C37">
        <w:rPr>
          <w:rFonts w:asciiTheme="minorHAnsi" w:hAnsiTheme="minorHAnsi"/>
          <w:sz w:val="22"/>
          <w:szCs w:val="22"/>
        </w:rPr>
        <w:t>clients</w:t>
      </w:r>
      <w:r>
        <w:rPr>
          <w:rFonts w:asciiTheme="minorHAnsi" w:hAnsiTheme="minorHAnsi"/>
          <w:sz w:val="22"/>
          <w:szCs w:val="22"/>
        </w:rPr>
        <w:t xml:space="preserve"> is improved when delivered by a better p</w:t>
      </w:r>
      <w:r w:rsidR="000C5C37">
        <w:rPr>
          <w:rFonts w:asciiTheme="minorHAnsi" w:hAnsiTheme="minorHAnsi"/>
          <w:sz w:val="22"/>
          <w:szCs w:val="22"/>
        </w:rPr>
        <w:t>a</w:t>
      </w:r>
      <w:r>
        <w:rPr>
          <w:rFonts w:asciiTheme="minorHAnsi" w:hAnsiTheme="minorHAnsi"/>
          <w:sz w:val="22"/>
          <w:szCs w:val="22"/>
        </w:rPr>
        <w:t xml:space="preserve">id </w:t>
      </w:r>
      <w:r w:rsidR="000C5C37">
        <w:rPr>
          <w:rFonts w:asciiTheme="minorHAnsi" w:hAnsiTheme="minorHAnsi"/>
          <w:sz w:val="22"/>
          <w:szCs w:val="22"/>
        </w:rPr>
        <w:t xml:space="preserve">and </w:t>
      </w:r>
      <w:r>
        <w:rPr>
          <w:rFonts w:asciiTheme="minorHAnsi" w:hAnsiTheme="minorHAnsi"/>
          <w:sz w:val="22"/>
          <w:szCs w:val="22"/>
        </w:rPr>
        <w:t>therefore more valued</w:t>
      </w:r>
      <w:r w:rsidR="000C5C37">
        <w:rPr>
          <w:rFonts w:asciiTheme="minorHAnsi" w:hAnsiTheme="minorHAnsi"/>
          <w:sz w:val="22"/>
          <w:szCs w:val="22"/>
        </w:rPr>
        <w:t>,</w:t>
      </w:r>
      <w:r>
        <w:rPr>
          <w:rFonts w:asciiTheme="minorHAnsi" w:hAnsiTheme="minorHAnsi"/>
          <w:sz w:val="22"/>
          <w:szCs w:val="22"/>
        </w:rPr>
        <w:t xml:space="preserve"> workforce.</w:t>
      </w:r>
    </w:p>
    <w:p w:rsidR="006A5838" w:rsidRPr="00062E16" w:rsidRDefault="00062E16" w:rsidP="00062E16">
      <w:pPr>
        <w:pStyle w:val="PlainText"/>
        <w:numPr>
          <w:ilvl w:val="0"/>
          <w:numId w:val="5"/>
        </w:numPr>
        <w:rPr>
          <w:rFonts w:asciiTheme="minorHAnsi" w:hAnsiTheme="minorHAnsi"/>
          <w:sz w:val="22"/>
          <w:szCs w:val="22"/>
        </w:rPr>
      </w:pPr>
      <w:r>
        <w:rPr>
          <w:rFonts w:asciiTheme="minorHAnsi" w:hAnsiTheme="minorHAnsi"/>
          <w:sz w:val="22"/>
          <w:szCs w:val="22"/>
        </w:rPr>
        <w:t xml:space="preserve">There </w:t>
      </w:r>
      <w:r w:rsidRPr="00024B75">
        <w:rPr>
          <w:rFonts w:asciiTheme="minorHAnsi" w:hAnsiTheme="minorHAnsi"/>
          <w:sz w:val="22"/>
          <w:szCs w:val="22"/>
        </w:rPr>
        <w:t>is evidence from the UK and the USA that you can achieve</w:t>
      </w:r>
      <w:r w:rsidR="000C5C37">
        <w:rPr>
          <w:rFonts w:asciiTheme="minorHAnsi" w:hAnsiTheme="minorHAnsi"/>
          <w:sz w:val="22"/>
          <w:szCs w:val="22"/>
        </w:rPr>
        <w:t xml:space="preserve"> the Living Wage</w:t>
      </w:r>
      <w:r>
        <w:rPr>
          <w:rFonts w:asciiTheme="minorHAnsi" w:hAnsiTheme="minorHAnsi"/>
          <w:sz w:val="22"/>
          <w:szCs w:val="22"/>
        </w:rPr>
        <w:t>;</w:t>
      </w:r>
      <w:r w:rsidRPr="00024B75">
        <w:rPr>
          <w:rFonts w:asciiTheme="minorHAnsi" w:hAnsiTheme="minorHAnsi"/>
          <w:sz w:val="22"/>
          <w:szCs w:val="22"/>
        </w:rPr>
        <w:t xml:space="preserve"> there are nearly 600 Living Wage employers in the U</w:t>
      </w:r>
      <w:r>
        <w:rPr>
          <w:rFonts w:asciiTheme="minorHAnsi" w:hAnsiTheme="minorHAnsi"/>
          <w:sz w:val="22"/>
          <w:szCs w:val="22"/>
        </w:rPr>
        <w:t>K</w:t>
      </w:r>
      <w:r w:rsidRPr="00024B75">
        <w:rPr>
          <w:rFonts w:asciiTheme="minorHAnsi" w:hAnsiTheme="minorHAnsi"/>
          <w:sz w:val="22"/>
          <w:szCs w:val="22"/>
        </w:rPr>
        <w:t>.</w:t>
      </w:r>
    </w:p>
    <w:p w:rsidR="00062E16" w:rsidRPr="00062E16" w:rsidRDefault="00062E16" w:rsidP="006A5838">
      <w:pPr>
        <w:pStyle w:val="PlainText"/>
        <w:ind w:left="360"/>
        <w:rPr>
          <w:rFonts w:asciiTheme="minorHAnsi" w:hAnsiTheme="minorHAnsi"/>
          <w:sz w:val="22"/>
          <w:szCs w:val="22"/>
        </w:rPr>
      </w:pPr>
    </w:p>
    <w:p w:rsidR="006A5838" w:rsidRPr="00BF3A69" w:rsidRDefault="006A5838" w:rsidP="006A5838">
      <w:pPr>
        <w:pStyle w:val="PlainText"/>
        <w:ind w:left="360"/>
        <w:rPr>
          <w:rFonts w:asciiTheme="minorHAnsi" w:hAnsiTheme="minorHAnsi"/>
          <w:b/>
          <w:i/>
          <w:sz w:val="22"/>
          <w:szCs w:val="22"/>
        </w:rPr>
      </w:pPr>
      <w:r w:rsidRPr="00BF3A69">
        <w:rPr>
          <w:rFonts w:asciiTheme="minorHAnsi" w:hAnsiTheme="minorHAnsi"/>
          <w:b/>
          <w:i/>
          <w:sz w:val="22"/>
          <w:szCs w:val="22"/>
        </w:rPr>
        <w:t>The Living Wage has some political ‘traction’</w:t>
      </w:r>
    </w:p>
    <w:p w:rsidR="009B5091" w:rsidRDefault="00062E16" w:rsidP="006A5838">
      <w:pPr>
        <w:pStyle w:val="PlainText"/>
        <w:numPr>
          <w:ilvl w:val="0"/>
          <w:numId w:val="5"/>
        </w:numPr>
        <w:rPr>
          <w:rFonts w:asciiTheme="minorHAnsi" w:hAnsiTheme="minorHAnsi"/>
          <w:sz w:val="22"/>
          <w:szCs w:val="22"/>
        </w:rPr>
      </w:pPr>
      <w:r>
        <w:rPr>
          <w:rFonts w:asciiTheme="minorHAnsi" w:hAnsiTheme="minorHAnsi"/>
          <w:sz w:val="22"/>
          <w:szCs w:val="22"/>
        </w:rPr>
        <w:t>T</w:t>
      </w:r>
      <w:r w:rsidR="009B5091">
        <w:rPr>
          <w:rFonts w:asciiTheme="minorHAnsi" w:hAnsiTheme="minorHAnsi"/>
          <w:sz w:val="22"/>
          <w:szCs w:val="22"/>
        </w:rPr>
        <w:t>he Living Wage campaign(s) in the UK ha</w:t>
      </w:r>
      <w:r>
        <w:rPr>
          <w:rFonts w:asciiTheme="minorHAnsi" w:hAnsiTheme="minorHAnsi"/>
          <w:sz w:val="22"/>
          <w:szCs w:val="22"/>
        </w:rPr>
        <w:t>ve</w:t>
      </w:r>
      <w:r w:rsidR="009B5091">
        <w:rPr>
          <w:rFonts w:asciiTheme="minorHAnsi" w:hAnsiTheme="minorHAnsi"/>
          <w:sz w:val="22"/>
          <w:szCs w:val="22"/>
        </w:rPr>
        <w:t xml:space="preserve"> some ‘political traction’ (leverage and support) and a relatively strong and positive media profile. A successful</w:t>
      </w:r>
      <w:r w:rsidR="009B5091" w:rsidRPr="009B5091">
        <w:rPr>
          <w:rFonts w:asciiTheme="minorHAnsi" w:hAnsiTheme="minorHAnsi"/>
          <w:sz w:val="22"/>
          <w:szCs w:val="22"/>
        </w:rPr>
        <w:t xml:space="preserve"> </w:t>
      </w:r>
      <w:r w:rsidR="009B5091">
        <w:rPr>
          <w:rFonts w:asciiTheme="minorHAnsi" w:hAnsiTheme="minorHAnsi"/>
          <w:sz w:val="22"/>
          <w:szCs w:val="22"/>
        </w:rPr>
        <w:t xml:space="preserve">campaign, in the sense of getting agreement from an employer or employer group or sector, </w:t>
      </w:r>
      <w:r>
        <w:rPr>
          <w:rFonts w:asciiTheme="minorHAnsi" w:hAnsiTheme="minorHAnsi"/>
          <w:sz w:val="22"/>
          <w:szCs w:val="22"/>
        </w:rPr>
        <w:t xml:space="preserve">can raise </w:t>
      </w:r>
      <w:r w:rsidR="009B5091">
        <w:rPr>
          <w:rFonts w:asciiTheme="minorHAnsi" w:hAnsiTheme="minorHAnsi"/>
          <w:sz w:val="22"/>
          <w:szCs w:val="22"/>
        </w:rPr>
        <w:t xml:space="preserve">the </w:t>
      </w:r>
      <w:r w:rsidR="009B5091" w:rsidRPr="009B5091">
        <w:rPr>
          <w:rFonts w:asciiTheme="minorHAnsi" w:hAnsiTheme="minorHAnsi"/>
          <w:sz w:val="22"/>
          <w:szCs w:val="22"/>
        </w:rPr>
        <w:t>profile of the campaigners</w:t>
      </w:r>
      <w:r w:rsidR="009B5091">
        <w:rPr>
          <w:rFonts w:asciiTheme="minorHAnsi" w:hAnsiTheme="minorHAnsi"/>
          <w:sz w:val="22"/>
          <w:szCs w:val="22"/>
        </w:rPr>
        <w:t xml:space="preserve"> in the media</w:t>
      </w:r>
      <w:r w:rsidR="009B5091" w:rsidRPr="009B5091">
        <w:rPr>
          <w:rFonts w:asciiTheme="minorHAnsi" w:hAnsiTheme="minorHAnsi"/>
          <w:sz w:val="22"/>
          <w:szCs w:val="22"/>
        </w:rPr>
        <w:t>,</w:t>
      </w:r>
      <w:r w:rsidR="009B5091">
        <w:rPr>
          <w:rFonts w:asciiTheme="minorHAnsi" w:hAnsiTheme="minorHAnsi"/>
          <w:sz w:val="22"/>
          <w:szCs w:val="22"/>
        </w:rPr>
        <w:t xml:space="preserve"> in affected </w:t>
      </w:r>
      <w:r w:rsidR="009B5091" w:rsidRPr="009B5091">
        <w:rPr>
          <w:rFonts w:asciiTheme="minorHAnsi" w:hAnsiTheme="minorHAnsi"/>
          <w:sz w:val="22"/>
          <w:szCs w:val="22"/>
        </w:rPr>
        <w:t xml:space="preserve">local communities </w:t>
      </w:r>
      <w:r w:rsidR="009B5091">
        <w:rPr>
          <w:rFonts w:asciiTheme="minorHAnsi" w:hAnsiTheme="minorHAnsi"/>
          <w:sz w:val="22"/>
          <w:szCs w:val="22"/>
        </w:rPr>
        <w:t xml:space="preserve">and with </w:t>
      </w:r>
      <w:r w:rsidR="009B5091" w:rsidRPr="009B5091">
        <w:rPr>
          <w:rFonts w:asciiTheme="minorHAnsi" w:hAnsiTheme="minorHAnsi"/>
          <w:sz w:val="22"/>
          <w:szCs w:val="22"/>
        </w:rPr>
        <w:t>government</w:t>
      </w:r>
      <w:r w:rsidR="009B5091">
        <w:rPr>
          <w:rFonts w:asciiTheme="minorHAnsi" w:hAnsiTheme="minorHAnsi"/>
          <w:sz w:val="22"/>
          <w:szCs w:val="22"/>
        </w:rPr>
        <w:t xml:space="preserve">, who may be intrigued by a campaign focused on business and not on politicians. There is increased political traction in the UK because of the extent of low pay and the consequent cost </w:t>
      </w:r>
      <w:r w:rsidR="006A5838">
        <w:rPr>
          <w:rFonts w:asciiTheme="minorHAnsi" w:hAnsiTheme="minorHAnsi"/>
          <w:sz w:val="22"/>
          <w:szCs w:val="22"/>
        </w:rPr>
        <w:t xml:space="preserve">to the </w:t>
      </w:r>
      <w:r w:rsidR="00B81879">
        <w:rPr>
          <w:rFonts w:asciiTheme="minorHAnsi" w:hAnsiTheme="minorHAnsi"/>
          <w:sz w:val="22"/>
          <w:szCs w:val="22"/>
        </w:rPr>
        <w:t xml:space="preserve">taxpayer/ Exchequer </w:t>
      </w:r>
      <w:r w:rsidR="009B5091">
        <w:rPr>
          <w:rFonts w:asciiTheme="minorHAnsi" w:hAnsiTheme="minorHAnsi"/>
          <w:sz w:val="22"/>
          <w:szCs w:val="22"/>
        </w:rPr>
        <w:t xml:space="preserve">of top-ups to low income working households </w:t>
      </w:r>
      <w:r w:rsidR="003564F4">
        <w:rPr>
          <w:rFonts w:asciiTheme="minorHAnsi" w:hAnsiTheme="minorHAnsi"/>
          <w:sz w:val="22"/>
          <w:szCs w:val="22"/>
        </w:rPr>
        <w:t>(</w:t>
      </w:r>
      <w:r w:rsidR="009B5091">
        <w:rPr>
          <w:rFonts w:asciiTheme="minorHAnsi" w:hAnsiTheme="minorHAnsi"/>
          <w:sz w:val="22"/>
          <w:szCs w:val="22"/>
        </w:rPr>
        <w:t>£</w:t>
      </w:r>
      <w:r w:rsidR="006A5838">
        <w:rPr>
          <w:rFonts w:asciiTheme="minorHAnsi" w:hAnsiTheme="minorHAnsi"/>
          <w:sz w:val="22"/>
          <w:szCs w:val="22"/>
        </w:rPr>
        <w:t>17</w:t>
      </w:r>
      <w:r w:rsidR="009B5091">
        <w:rPr>
          <w:rFonts w:asciiTheme="minorHAnsi" w:hAnsiTheme="minorHAnsi"/>
          <w:sz w:val="22"/>
          <w:szCs w:val="22"/>
        </w:rPr>
        <w:t xml:space="preserve">1 billion over </w:t>
      </w:r>
      <w:r w:rsidR="003564F4">
        <w:rPr>
          <w:rFonts w:asciiTheme="minorHAnsi" w:hAnsiTheme="minorHAnsi"/>
          <w:sz w:val="22"/>
          <w:szCs w:val="22"/>
        </w:rPr>
        <w:t xml:space="preserve">the </w:t>
      </w:r>
      <w:r w:rsidR="009B5091">
        <w:rPr>
          <w:rFonts w:asciiTheme="minorHAnsi" w:hAnsiTheme="minorHAnsi"/>
          <w:sz w:val="22"/>
          <w:szCs w:val="22"/>
        </w:rPr>
        <w:t>5 years to 2012</w:t>
      </w:r>
      <w:r w:rsidR="003564F4">
        <w:rPr>
          <w:rFonts w:asciiTheme="minorHAnsi" w:hAnsiTheme="minorHAnsi"/>
          <w:sz w:val="22"/>
          <w:szCs w:val="22"/>
        </w:rPr>
        <w:t>)</w:t>
      </w:r>
      <w:r w:rsidR="009B5091">
        <w:rPr>
          <w:rFonts w:asciiTheme="minorHAnsi" w:hAnsiTheme="minorHAnsi"/>
          <w:sz w:val="22"/>
          <w:szCs w:val="22"/>
        </w:rPr>
        <w:t>.</w:t>
      </w:r>
      <w:r w:rsidR="00B81879">
        <w:rPr>
          <w:rFonts w:asciiTheme="minorHAnsi" w:hAnsiTheme="minorHAnsi"/>
          <w:sz w:val="22"/>
          <w:szCs w:val="22"/>
        </w:rPr>
        <w:t xml:space="preserve"> Higher wages would transfer some </w:t>
      </w:r>
      <w:r w:rsidR="00BF3A69">
        <w:rPr>
          <w:rFonts w:asciiTheme="minorHAnsi" w:hAnsiTheme="minorHAnsi"/>
          <w:sz w:val="22"/>
          <w:szCs w:val="22"/>
        </w:rPr>
        <w:t>o</w:t>
      </w:r>
      <w:r w:rsidR="00B81879">
        <w:rPr>
          <w:rFonts w:asciiTheme="minorHAnsi" w:hAnsiTheme="minorHAnsi"/>
          <w:sz w:val="22"/>
          <w:szCs w:val="22"/>
        </w:rPr>
        <w:t xml:space="preserve">f </w:t>
      </w:r>
      <w:r w:rsidR="00BF3A69">
        <w:rPr>
          <w:rFonts w:asciiTheme="minorHAnsi" w:hAnsiTheme="minorHAnsi"/>
          <w:sz w:val="22"/>
          <w:szCs w:val="22"/>
        </w:rPr>
        <w:t>t</w:t>
      </w:r>
      <w:r w:rsidR="00B81879">
        <w:rPr>
          <w:rFonts w:asciiTheme="minorHAnsi" w:hAnsiTheme="minorHAnsi"/>
          <w:sz w:val="22"/>
          <w:szCs w:val="22"/>
        </w:rPr>
        <w:t>hat cost to emp</w:t>
      </w:r>
      <w:r w:rsidR="00BF3A69">
        <w:rPr>
          <w:rFonts w:asciiTheme="minorHAnsi" w:hAnsiTheme="minorHAnsi"/>
          <w:sz w:val="22"/>
          <w:szCs w:val="22"/>
        </w:rPr>
        <w:t>l</w:t>
      </w:r>
      <w:r w:rsidR="00B81879">
        <w:rPr>
          <w:rFonts w:asciiTheme="minorHAnsi" w:hAnsiTheme="minorHAnsi"/>
          <w:sz w:val="22"/>
          <w:szCs w:val="22"/>
        </w:rPr>
        <w:t xml:space="preserve">oyers (and probably </w:t>
      </w:r>
      <w:r w:rsidR="003564F4">
        <w:rPr>
          <w:rFonts w:asciiTheme="minorHAnsi" w:hAnsiTheme="minorHAnsi"/>
          <w:sz w:val="22"/>
          <w:szCs w:val="22"/>
        </w:rPr>
        <w:t>ultimately to</w:t>
      </w:r>
      <w:r w:rsidR="00B81879">
        <w:rPr>
          <w:rFonts w:asciiTheme="minorHAnsi" w:hAnsiTheme="minorHAnsi"/>
          <w:sz w:val="22"/>
          <w:szCs w:val="22"/>
        </w:rPr>
        <w:t xml:space="preserve"> consumers, including the poor).</w:t>
      </w:r>
    </w:p>
    <w:p w:rsidR="00024B75" w:rsidRPr="00024B75" w:rsidRDefault="00024B75" w:rsidP="00024B75">
      <w:pPr>
        <w:pStyle w:val="PlainText"/>
        <w:rPr>
          <w:rFonts w:asciiTheme="minorHAnsi" w:hAnsiTheme="minorHAnsi"/>
          <w:sz w:val="22"/>
          <w:szCs w:val="22"/>
        </w:rPr>
      </w:pPr>
    </w:p>
    <w:p w:rsidR="00D20A07" w:rsidRDefault="00062E16" w:rsidP="0053308B">
      <w:pPr>
        <w:pStyle w:val="PlainText"/>
        <w:rPr>
          <w:rFonts w:asciiTheme="minorHAnsi" w:hAnsiTheme="minorHAnsi"/>
          <w:b/>
          <w:i/>
          <w:sz w:val="22"/>
          <w:szCs w:val="22"/>
        </w:rPr>
      </w:pPr>
      <w:r w:rsidRPr="0053308B">
        <w:rPr>
          <w:rFonts w:asciiTheme="minorHAnsi" w:hAnsiTheme="minorHAnsi"/>
          <w:b/>
          <w:sz w:val="22"/>
          <w:szCs w:val="22"/>
          <w:u w:val="single"/>
        </w:rPr>
        <w:t xml:space="preserve">Potential </w:t>
      </w:r>
      <w:r w:rsidR="00426077" w:rsidRPr="0053308B">
        <w:rPr>
          <w:rFonts w:asciiTheme="minorHAnsi" w:hAnsiTheme="minorHAnsi"/>
          <w:b/>
          <w:sz w:val="22"/>
          <w:szCs w:val="22"/>
          <w:u w:val="single"/>
        </w:rPr>
        <w:t>issues</w:t>
      </w:r>
    </w:p>
    <w:p w:rsidR="00426077" w:rsidRPr="00426077" w:rsidRDefault="00426077" w:rsidP="00426077">
      <w:pPr>
        <w:pStyle w:val="PlainText"/>
        <w:ind w:left="360"/>
        <w:rPr>
          <w:rFonts w:asciiTheme="minorHAnsi" w:hAnsiTheme="minorHAnsi"/>
          <w:b/>
          <w:i/>
          <w:sz w:val="22"/>
          <w:szCs w:val="22"/>
        </w:rPr>
      </w:pPr>
      <w:r w:rsidRPr="00426077">
        <w:rPr>
          <w:rFonts w:asciiTheme="minorHAnsi" w:hAnsiTheme="minorHAnsi"/>
          <w:b/>
          <w:i/>
          <w:sz w:val="22"/>
          <w:szCs w:val="22"/>
        </w:rPr>
        <w:t>Rights</w:t>
      </w:r>
    </w:p>
    <w:p w:rsidR="00426077" w:rsidRDefault="00426077" w:rsidP="008644FE">
      <w:pPr>
        <w:pStyle w:val="PlainText"/>
        <w:numPr>
          <w:ilvl w:val="0"/>
          <w:numId w:val="5"/>
        </w:numPr>
        <w:rPr>
          <w:rFonts w:asciiTheme="minorHAnsi" w:hAnsiTheme="minorHAnsi"/>
          <w:sz w:val="22"/>
          <w:szCs w:val="22"/>
        </w:rPr>
      </w:pPr>
      <w:r w:rsidRPr="006A623E">
        <w:rPr>
          <w:rFonts w:asciiTheme="minorHAnsi" w:hAnsiTheme="minorHAnsi"/>
          <w:sz w:val="22"/>
          <w:szCs w:val="22"/>
        </w:rPr>
        <w:t>The Living Wage is a campaign demand for a voluntary change by employers. What can be voluntarily given by employers can be taken away by them, therefore it is a less secure route to change than</w:t>
      </w:r>
      <w:r w:rsidR="00FB45DF">
        <w:rPr>
          <w:rFonts w:asciiTheme="minorHAnsi" w:hAnsiTheme="minorHAnsi"/>
          <w:sz w:val="22"/>
          <w:szCs w:val="22"/>
        </w:rPr>
        <w:t>,</w:t>
      </w:r>
      <w:r w:rsidRPr="006A623E">
        <w:rPr>
          <w:rFonts w:asciiTheme="minorHAnsi" w:hAnsiTheme="minorHAnsi"/>
          <w:sz w:val="22"/>
          <w:szCs w:val="22"/>
        </w:rPr>
        <w:t xml:space="preserve"> for example, </w:t>
      </w:r>
      <w:r w:rsidR="00FB45DF">
        <w:rPr>
          <w:rFonts w:asciiTheme="minorHAnsi" w:hAnsiTheme="minorHAnsi"/>
          <w:sz w:val="22"/>
          <w:szCs w:val="22"/>
        </w:rPr>
        <w:t>a change i</w:t>
      </w:r>
      <w:r w:rsidRPr="006A623E">
        <w:rPr>
          <w:rFonts w:asciiTheme="minorHAnsi" w:hAnsiTheme="minorHAnsi"/>
          <w:sz w:val="22"/>
          <w:szCs w:val="22"/>
        </w:rPr>
        <w:t>n the statutory Minimum Wage</w:t>
      </w:r>
      <w:r w:rsidR="00FB45DF">
        <w:rPr>
          <w:rFonts w:asciiTheme="minorHAnsi" w:hAnsiTheme="minorHAnsi"/>
          <w:sz w:val="22"/>
          <w:szCs w:val="22"/>
        </w:rPr>
        <w:t>. This</w:t>
      </w:r>
      <w:r w:rsidRPr="006A623E">
        <w:rPr>
          <w:rFonts w:asciiTheme="minorHAnsi" w:hAnsiTheme="minorHAnsi"/>
          <w:sz w:val="22"/>
          <w:szCs w:val="22"/>
        </w:rPr>
        <w:t xml:space="preserve"> is the rate below which no employer can legally pay and </w:t>
      </w:r>
      <w:r w:rsidR="00FB45DF">
        <w:rPr>
          <w:rFonts w:asciiTheme="minorHAnsi" w:hAnsiTheme="minorHAnsi"/>
          <w:sz w:val="22"/>
          <w:szCs w:val="22"/>
        </w:rPr>
        <w:t xml:space="preserve">it </w:t>
      </w:r>
      <w:r w:rsidRPr="006A623E">
        <w:rPr>
          <w:rFonts w:asciiTheme="minorHAnsi" w:hAnsiTheme="minorHAnsi"/>
          <w:sz w:val="22"/>
          <w:szCs w:val="22"/>
        </w:rPr>
        <w:t xml:space="preserve">is enforced </w:t>
      </w:r>
      <w:r w:rsidR="00FB45DF">
        <w:rPr>
          <w:rFonts w:asciiTheme="minorHAnsi" w:hAnsiTheme="minorHAnsi"/>
          <w:sz w:val="22"/>
          <w:szCs w:val="22"/>
        </w:rPr>
        <w:t xml:space="preserve">in the UK </w:t>
      </w:r>
      <w:r w:rsidRPr="006A623E">
        <w:rPr>
          <w:rFonts w:asciiTheme="minorHAnsi" w:hAnsiTheme="minorHAnsi"/>
          <w:sz w:val="22"/>
          <w:szCs w:val="22"/>
        </w:rPr>
        <w:t xml:space="preserve">(but not well). However, the Minimum Wage is lower than the Living Wage demand, although both the Labour Party and the Green Party have committed to raising </w:t>
      </w:r>
      <w:r w:rsidR="00FB45DF">
        <w:rPr>
          <w:rFonts w:asciiTheme="minorHAnsi" w:hAnsiTheme="minorHAnsi"/>
          <w:sz w:val="22"/>
          <w:szCs w:val="22"/>
        </w:rPr>
        <w:t>the Minimum Wage: respectively to £8 by 2020 and to £10 now.</w:t>
      </w:r>
    </w:p>
    <w:p w:rsidR="00426077" w:rsidRDefault="008644FE" w:rsidP="008644FE">
      <w:pPr>
        <w:pStyle w:val="PlainText"/>
        <w:numPr>
          <w:ilvl w:val="0"/>
          <w:numId w:val="5"/>
        </w:numPr>
        <w:rPr>
          <w:rFonts w:asciiTheme="minorHAnsi" w:hAnsiTheme="minorHAnsi"/>
          <w:sz w:val="22"/>
          <w:szCs w:val="22"/>
        </w:rPr>
      </w:pPr>
      <w:r>
        <w:rPr>
          <w:rFonts w:asciiTheme="minorHAnsi" w:hAnsiTheme="minorHAnsi"/>
          <w:sz w:val="22"/>
          <w:szCs w:val="22"/>
        </w:rPr>
        <w:t>The Living Wage does not address individual rights to an income, which may have negative connotations regarding women’s rights.</w:t>
      </w:r>
    </w:p>
    <w:p w:rsidR="008644FE" w:rsidRDefault="008644FE" w:rsidP="008644FE">
      <w:pPr>
        <w:pStyle w:val="PlainText"/>
        <w:ind w:left="360"/>
        <w:rPr>
          <w:rFonts w:asciiTheme="minorHAnsi" w:hAnsiTheme="minorHAnsi"/>
          <w:b/>
          <w:i/>
          <w:sz w:val="22"/>
          <w:szCs w:val="22"/>
        </w:rPr>
      </w:pPr>
    </w:p>
    <w:p w:rsidR="00BF3A69" w:rsidRPr="00BF3A69" w:rsidRDefault="00BF3A69" w:rsidP="00024B75">
      <w:pPr>
        <w:pStyle w:val="PlainText"/>
        <w:rPr>
          <w:rFonts w:asciiTheme="minorHAnsi" w:hAnsiTheme="minorHAnsi"/>
          <w:b/>
          <w:i/>
          <w:sz w:val="22"/>
          <w:szCs w:val="22"/>
        </w:rPr>
      </w:pPr>
      <w:r>
        <w:rPr>
          <w:rFonts w:asciiTheme="minorHAnsi" w:hAnsiTheme="minorHAnsi"/>
          <w:b/>
          <w:i/>
          <w:sz w:val="22"/>
          <w:szCs w:val="22"/>
        </w:rPr>
        <w:t>The income provided and risk of poverty</w:t>
      </w:r>
    </w:p>
    <w:p w:rsidR="006A623E" w:rsidRDefault="006A623E" w:rsidP="006A623E">
      <w:pPr>
        <w:pStyle w:val="PlainText"/>
        <w:numPr>
          <w:ilvl w:val="0"/>
          <w:numId w:val="5"/>
        </w:numPr>
        <w:rPr>
          <w:rFonts w:asciiTheme="minorHAnsi" w:hAnsiTheme="minorHAnsi"/>
          <w:sz w:val="22"/>
          <w:szCs w:val="22"/>
        </w:rPr>
      </w:pPr>
      <w:r>
        <w:rPr>
          <w:rFonts w:asciiTheme="minorHAnsi" w:hAnsiTheme="minorHAnsi"/>
          <w:sz w:val="22"/>
          <w:szCs w:val="22"/>
        </w:rPr>
        <w:t>T</w:t>
      </w:r>
      <w:r w:rsidR="00BF3A69">
        <w:rPr>
          <w:rFonts w:asciiTheme="minorHAnsi" w:hAnsiTheme="minorHAnsi"/>
          <w:sz w:val="22"/>
          <w:szCs w:val="22"/>
        </w:rPr>
        <w:t>he Living Wage, like the statutory Minimum Wage, does not apply to those outside paid work or who are self-employed</w:t>
      </w:r>
      <w:r>
        <w:rPr>
          <w:rFonts w:asciiTheme="minorHAnsi" w:hAnsiTheme="minorHAnsi"/>
          <w:sz w:val="22"/>
          <w:szCs w:val="22"/>
        </w:rPr>
        <w:t xml:space="preserve"> workers (or in old age retirement).</w:t>
      </w:r>
      <w:r w:rsidR="00BF3A69">
        <w:rPr>
          <w:rFonts w:asciiTheme="minorHAnsi" w:hAnsiTheme="minorHAnsi"/>
          <w:sz w:val="22"/>
          <w:szCs w:val="22"/>
        </w:rPr>
        <w:t xml:space="preserve"> Therefore in the UK it does not help the </w:t>
      </w:r>
      <w:r>
        <w:rPr>
          <w:rFonts w:asciiTheme="minorHAnsi" w:hAnsiTheme="minorHAnsi"/>
          <w:sz w:val="22"/>
          <w:szCs w:val="22"/>
        </w:rPr>
        <w:t>lowest income people</w:t>
      </w:r>
      <w:r w:rsidR="00BF3A69">
        <w:rPr>
          <w:rFonts w:asciiTheme="minorHAnsi" w:hAnsiTheme="minorHAnsi"/>
          <w:sz w:val="22"/>
          <w:szCs w:val="22"/>
        </w:rPr>
        <w:t xml:space="preserve"> </w:t>
      </w:r>
      <w:r>
        <w:rPr>
          <w:rFonts w:asciiTheme="minorHAnsi" w:hAnsiTheme="minorHAnsi"/>
          <w:sz w:val="22"/>
          <w:szCs w:val="22"/>
        </w:rPr>
        <w:t xml:space="preserve">of working age </w:t>
      </w:r>
      <w:r w:rsidR="00BF3A69">
        <w:rPr>
          <w:rFonts w:asciiTheme="minorHAnsi" w:hAnsiTheme="minorHAnsi"/>
          <w:sz w:val="22"/>
          <w:szCs w:val="22"/>
        </w:rPr>
        <w:t xml:space="preserve">– </w:t>
      </w:r>
      <w:r>
        <w:rPr>
          <w:rFonts w:asciiTheme="minorHAnsi" w:hAnsiTheme="minorHAnsi"/>
          <w:sz w:val="22"/>
          <w:szCs w:val="22"/>
        </w:rPr>
        <w:t>those on statutory minimum incomes such as the 2.5 million registered unemployed, many of the several million disabled people of working age, plus over 4</w:t>
      </w:r>
      <w:r w:rsidR="00FB45DF">
        <w:rPr>
          <w:rFonts w:asciiTheme="minorHAnsi" w:hAnsiTheme="minorHAnsi"/>
          <w:sz w:val="22"/>
          <w:szCs w:val="22"/>
        </w:rPr>
        <w:t xml:space="preserve"> </w:t>
      </w:r>
      <w:r>
        <w:rPr>
          <w:rFonts w:asciiTheme="minorHAnsi" w:hAnsiTheme="minorHAnsi"/>
          <w:sz w:val="22"/>
          <w:szCs w:val="22"/>
        </w:rPr>
        <w:t xml:space="preserve">million self-employed workers, who in the UK have lower incomes than employed workers and have </w:t>
      </w:r>
      <w:r w:rsidR="00FB45DF">
        <w:rPr>
          <w:rFonts w:asciiTheme="minorHAnsi" w:hAnsiTheme="minorHAnsi"/>
          <w:sz w:val="22"/>
          <w:szCs w:val="22"/>
        </w:rPr>
        <w:t>experienced t</w:t>
      </w:r>
      <w:r>
        <w:rPr>
          <w:rFonts w:asciiTheme="minorHAnsi" w:hAnsiTheme="minorHAnsi"/>
          <w:sz w:val="22"/>
          <w:szCs w:val="22"/>
        </w:rPr>
        <w:t>he greatest income reductions since the great recession</w:t>
      </w:r>
      <w:r w:rsidR="00FB45DF">
        <w:rPr>
          <w:rFonts w:asciiTheme="minorHAnsi" w:hAnsiTheme="minorHAnsi"/>
          <w:sz w:val="22"/>
          <w:szCs w:val="22"/>
        </w:rPr>
        <w:t xml:space="preserve"> of 2008-9</w:t>
      </w:r>
      <w:r>
        <w:rPr>
          <w:rFonts w:asciiTheme="minorHAnsi" w:hAnsiTheme="minorHAnsi"/>
          <w:sz w:val="22"/>
          <w:szCs w:val="22"/>
        </w:rPr>
        <w:t>.</w:t>
      </w:r>
    </w:p>
    <w:p w:rsidR="006A623E" w:rsidRDefault="006A623E" w:rsidP="006A623E">
      <w:pPr>
        <w:pStyle w:val="PlainText"/>
        <w:numPr>
          <w:ilvl w:val="0"/>
          <w:numId w:val="5"/>
        </w:numPr>
        <w:rPr>
          <w:rFonts w:asciiTheme="minorHAnsi" w:hAnsiTheme="minorHAnsi"/>
          <w:sz w:val="22"/>
          <w:szCs w:val="22"/>
        </w:rPr>
      </w:pPr>
      <w:r w:rsidRPr="00BF3A69">
        <w:rPr>
          <w:rFonts w:asciiTheme="minorHAnsi" w:hAnsiTheme="minorHAnsi"/>
          <w:sz w:val="22"/>
          <w:szCs w:val="22"/>
        </w:rPr>
        <w:t xml:space="preserve">The Living Wage is an hourly rate and therefore workers with insufficient hours may not </w:t>
      </w:r>
      <w:r>
        <w:rPr>
          <w:rFonts w:asciiTheme="minorHAnsi" w:hAnsiTheme="minorHAnsi"/>
          <w:sz w:val="22"/>
          <w:szCs w:val="22"/>
        </w:rPr>
        <w:t>earn enough to keep out of poverty.</w:t>
      </w:r>
      <w:r w:rsidRPr="006A623E">
        <w:rPr>
          <w:rFonts w:asciiTheme="minorHAnsi" w:hAnsiTheme="minorHAnsi"/>
          <w:sz w:val="22"/>
          <w:szCs w:val="22"/>
        </w:rPr>
        <w:t xml:space="preserve"> </w:t>
      </w:r>
      <w:r>
        <w:rPr>
          <w:rFonts w:asciiTheme="minorHAnsi" w:hAnsiTheme="minorHAnsi"/>
          <w:sz w:val="22"/>
          <w:szCs w:val="22"/>
        </w:rPr>
        <w:t>This is true also of the statutory Minimum Wage as it too is set as an hourly rate. There are several million involuntary underemployed workers in the UK.</w:t>
      </w:r>
    </w:p>
    <w:p w:rsidR="006A623E" w:rsidRDefault="006A623E" w:rsidP="006A623E">
      <w:pPr>
        <w:pStyle w:val="PlainText"/>
        <w:numPr>
          <w:ilvl w:val="0"/>
          <w:numId w:val="5"/>
        </w:numPr>
        <w:rPr>
          <w:rFonts w:asciiTheme="minorHAnsi" w:hAnsiTheme="minorHAnsi"/>
          <w:sz w:val="22"/>
          <w:szCs w:val="22"/>
        </w:rPr>
      </w:pPr>
      <w:r w:rsidRPr="006A623E">
        <w:rPr>
          <w:rFonts w:asciiTheme="minorHAnsi" w:hAnsiTheme="minorHAnsi"/>
          <w:sz w:val="22"/>
          <w:szCs w:val="22"/>
        </w:rPr>
        <w:t>The Living Wage outside London is calculated as a minimum acceptable standard of living. In the UK the rate, if paid for a full year’s work, does take people out of relative poverty measured as 60% of median household income. However, a cost of living based calculation may or may not take people out of absolute or relative poverty, depending on</w:t>
      </w:r>
      <w:r w:rsidR="00FB45DF">
        <w:rPr>
          <w:rFonts w:asciiTheme="minorHAnsi" w:hAnsiTheme="minorHAnsi"/>
          <w:sz w:val="22"/>
          <w:szCs w:val="22"/>
        </w:rPr>
        <w:t>:</w:t>
      </w:r>
      <w:r w:rsidRPr="006A623E">
        <w:rPr>
          <w:rFonts w:asciiTheme="minorHAnsi" w:hAnsiTheme="minorHAnsi"/>
          <w:sz w:val="22"/>
          <w:szCs w:val="22"/>
        </w:rPr>
        <w:t xml:space="preserve"> what is consensually ‘acceptable’ in any country as a standard of living (and this may change in ‘austere’ times)</w:t>
      </w:r>
      <w:r w:rsidR="00FB45DF">
        <w:rPr>
          <w:rFonts w:asciiTheme="minorHAnsi" w:hAnsiTheme="minorHAnsi"/>
          <w:sz w:val="22"/>
          <w:szCs w:val="22"/>
        </w:rPr>
        <w:t>;</w:t>
      </w:r>
      <w:r w:rsidRPr="006A623E">
        <w:rPr>
          <w:rFonts w:asciiTheme="minorHAnsi" w:hAnsiTheme="minorHAnsi"/>
          <w:sz w:val="22"/>
          <w:szCs w:val="22"/>
        </w:rPr>
        <w:t xml:space="preserve"> what is included in the budget – e.g. for transport, childcare, social integration)</w:t>
      </w:r>
      <w:r w:rsidR="008644FE">
        <w:rPr>
          <w:rFonts w:asciiTheme="minorHAnsi" w:hAnsiTheme="minorHAnsi"/>
          <w:sz w:val="22"/>
          <w:szCs w:val="22"/>
        </w:rPr>
        <w:t xml:space="preserve"> and how and how regularly it is updated.</w:t>
      </w:r>
    </w:p>
    <w:p w:rsidR="00426077" w:rsidRDefault="00426077" w:rsidP="00024B75">
      <w:pPr>
        <w:pStyle w:val="PlainText"/>
        <w:rPr>
          <w:rFonts w:asciiTheme="minorHAnsi" w:hAnsiTheme="minorHAnsi"/>
          <w:b/>
          <w:i/>
          <w:sz w:val="22"/>
          <w:szCs w:val="22"/>
        </w:rPr>
      </w:pPr>
    </w:p>
    <w:p w:rsidR="00BF3A69" w:rsidRPr="00BF3A69" w:rsidRDefault="00426077" w:rsidP="00024B75">
      <w:pPr>
        <w:pStyle w:val="PlainText"/>
        <w:rPr>
          <w:rFonts w:asciiTheme="minorHAnsi" w:hAnsiTheme="minorHAnsi"/>
          <w:b/>
          <w:i/>
          <w:sz w:val="22"/>
          <w:szCs w:val="22"/>
        </w:rPr>
      </w:pPr>
      <w:r>
        <w:rPr>
          <w:rFonts w:asciiTheme="minorHAnsi" w:hAnsiTheme="minorHAnsi"/>
          <w:b/>
          <w:i/>
          <w:sz w:val="22"/>
          <w:szCs w:val="22"/>
        </w:rPr>
        <w:t xml:space="preserve">Effectiveness in targeting poverty </w:t>
      </w:r>
    </w:p>
    <w:p w:rsidR="004E5787" w:rsidRDefault="008644FE" w:rsidP="00024B75">
      <w:pPr>
        <w:pStyle w:val="PlainText"/>
        <w:numPr>
          <w:ilvl w:val="0"/>
          <w:numId w:val="16"/>
        </w:numPr>
        <w:rPr>
          <w:rFonts w:asciiTheme="minorHAnsi" w:hAnsiTheme="minorHAnsi"/>
          <w:sz w:val="22"/>
          <w:szCs w:val="22"/>
        </w:rPr>
      </w:pPr>
      <w:r>
        <w:rPr>
          <w:rFonts w:asciiTheme="minorHAnsi" w:hAnsiTheme="minorHAnsi"/>
          <w:sz w:val="22"/>
          <w:szCs w:val="22"/>
        </w:rPr>
        <w:t xml:space="preserve">The Living Wage is focused on </w:t>
      </w:r>
      <w:r w:rsidR="00426077" w:rsidRPr="008644FE">
        <w:rPr>
          <w:rFonts w:asciiTheme="minorHAnsi" w:hAnsiTheme="minorHAnsi"/>
          <w:sz w:val="22"/>
          <w:szCs w:val="22"/>
        </w:rPr>
        <w:t>low pay (which is a major ri</w:t>
      </w:r>
      <w:r>
        <w:rPr>
          <w:rFonts w:asciiTheme="minorHAnsi" w:hAnsiTheme="minorHAnsi"/>
          <w:sz w:val="22"/>
          <w:szCs w:val="22"/>
        </w:rPr>
        <w:t>s</w:t>
      </w:r>
      <w:r w:rsidR="00426077" w:rsidRPr="008644FE">
        <w:rPr>
          <w:rFonts w:asciiTheme="minorHAnsi" w:hAnsiTheme="minorHAnsi"/>
          <w:sz w:val="22"/>
          <w:szCs w:val="22"/>
        </w:rPr>
        <w:t>k of poverty</w:t>
      </w:r>
      <w:r w:rsidR="00FB45DF">
        <w:rPr>
          <w:rFonts w:asciiTheme="minorHAnsi" w:hAnsiTheme="minorHAnsi"/>
          <w:sz w:val="22"/>
          <w:szCs w:val="22"/>
        </w:rPr>
        <w:t xml:space="preserve"> in the UK</w:t>
      </w:r>
      <w:r w:rsidR="00426077" w:rsidRPr="008644FE">
        <w:rPr>
          <w:rFonts w:asciiTheme="minorHAnsi" w:hAnsiTheme="minorHAnsi"/>
          <w:sz w:val="22"/>
          <w:szCs w:val="22"/>
        </w:rPr>
        <w:t xml:space="preserve">) rather than low income directly. </w:t>
      </w:r>
      <w:r>
        <w:rPr>
          <w:rFonts w:asciiTheme="minorHAnsi" w:hAnsiTheme="minorHAnsi"/>
          <w:sz w:val="22"/>
          <w:szCs w:val="22"/>
        </w:rPr>
        <w:t>(The same is true of t</w:t>
      </w:r>
      <w:r w:rsidRPr="008644FE">
        <w:rPr>
          <w:rFonts w:asciiTheme="minorHAnsi" w:hAnsiTheme="minorHAnsi"/>
          <w:sz w:val="22"/>
          <w:szCs w:val="22"/>
        </w:rPr>
        <w:t>he statutory Minimum Wage</w:t>
      </w:r>
      <w:r>
        <w:rPr>
          <w:rFonts w:asciiTheme="minorHAnsi" w:hAnsiTheme="minorHAnsi"/>
          <w:sz w:val="22"/>
          <w:szCs w:val="22"/>
        </w:rPr>
        <w:t xml:space="preserve">). </w:t>
      </w:r>
      <w:r w:rsidRPr="008644FE">
        <w:rPr>
          <w:rFonts w:asciiTheme="minorHAnsi" w:hAnsiTheme="minorHAnsi"/>
          <w:sz w:val="22"/>
          <w:szCs w:val="22"/>
        </w:rPr>
        <w:t>Households may have two or more Living Wage or statutory Minimum Wage workers, or none</w:t>
      </w:r>
      <w:r>
        <w:rPr>
          <w:rFonts w:asciiTheme="minorHAnsi" w:hAnsiTheme="minorHAnsi"/>
          <w:sz w:val="22"/>
          <w:szCs w:val="22"/>
        </w:rPr>
        <w:t xml:space="preserve"> of the household workers may be covered</w:t>
      </w:r>
      <w:r w:rsidRPr="008644FE">
        <w:rPr>
          <w:rFonts w:asciiTheme="minorHAnsi" w:hAnsiTheme="minorHAnsi"/>
          <w:sz w:val="22"/>
          <w:szCs w:val="22"/>
        </w:rPr>
        <w:t>.</w:t>
      </w:r>
    </w:p>
    <w:p w:rsidR="008644FE" w:rsidRDefault="008644FE" w:rsidP="008644FE">
      <w:pPr>
        <w:pStyle w:val="PlainText"/>
        <w:numPr>
          <w:ilvl w:val="0"/>
          <w:numId w:val="16"/>
        </w:numPr>
        <w:rPr>
          <w:rFonts w:asciiTheme="minorHAnsi" w:hAnsiTheme="minorHAnsi"/>
          <w:sz w:val="22"/>
          <w:szCs w:val="22"/>
        </w:rPr>
      </w:pPr>
      <w:r>
        <w:rPr>
          <w:rFonts w:asciiTheme="minorHAnsi" w:hAnsiTheme="minorHAnsi"/>
          <w:sz w:val="22"/>
          <w:szCs w:val="22"/>
        </w:rPr>
        <w:t xml:space="preserve">The Living Wage campaign has not yet succeeded in getting much employer agreement in the large low paid sectors such as retail, hospitality, social care and food production. The employers who have agreed mainly </w:t>
      </w:r>
      <w:r w:rsidR="00FB45DF">
        <w:rPr>
          <w:rFonts w:asciiTheme="minorHAnsi" w:hAnsiTheme="minorHAnsi"/>
          <w:sz w:val="22"/>
          <w:szCs w:val="22"/>
        </w:rPr>
        <w:t xml:space="preserve">have </w:t>
      </w:r>
      <w:r>
        <w:rPr>
          <w:rFonts w:asciiTheme="minorHAnsi" w:hAnsiTheme="minorHAnsi"/>
          <w:sz w:val="22"/>
          <w:szCs w:val="22"/>
        </w:rPr>
        <w:t xml:space="preserve">relatively few workers paid below the Living Wage. Therefore it has not had much effect outside London in increasing wages for the in-work poor. The statutory </w:t>
      </w:r>
      <w:r w:rsidR="00FB45DF">
        <w:rPr>
          <w:rFonts w:asciiTheme="minorHAnsi" w:hAnsiTheme="minorHAnsi"/>
          <w:sz w:val="22"/>
          <w:szCs w:val="22"/>
        </w:rPr>
        <w:t xml:space="preserve">Minimum Wage </w:t>
      </w:r>
      <w:r>
        <w:rPr>
          <w:rFonts w:asciiTheme="minorHAnsi" w:hAnsiTheme="minorHAnsi"/>
          <w:sz w:val="22"/>
          <w:szCs w:val="22"/>
        </w:rPr>
        <w:t>covers employees in all sectors</w:t>
      </w:r>
      <w:r w:rsidR="00FB45DF">
        <w:rPr>
          <w:rFonts w:asciiTheme="minorHAnsi" w:hAnsiTheme="minorHAnsi"/>
          <w:sz w:val="22"/>
          <w:szCs w:val="22"/>
        </w:rPr>
        <w:t xml:space="preserve"> therefore a rise would have much greater impact and the majority of beneficiaries would be women</w:t>
      </w:r>
      <w:r>
        <w:rPr>
          <w:rFonts w:asciiTheme="minorHAnsi" w:hAnsiTheme="minorHAnsi"/>
          <w:sz w:val="22"/>
          <w:szCs w:val="22"/>
        </w:rPr>
        <w:t>.</w:t>
      </w:r>
    </w:p>
    <w:p w:rsidR="008644FE" w:rsidRDefault="008644FE" w:rsidP="008644FE">
      <w:pPr>
        <w:pStyle w:val="PlainText"/>
        <w:rPr>
          <w:rFonts w:asciiTheme="minorHAnsi" w:hAnsiTheme="minorHAnsi"/>
          <w:sz w:val="22"/>
          <w:szCs w:val="22"/>
        </w:rPr>
      </w:pPr>
    </w:p>
    <w:p w:rsidR="008644FE" w:rsidRPr="008644FE" w:rsidRDefault="008644FE" w:rsidP="008644FE">
      <w:pPr>
        <w:pStyle w:val="PlainText"/>
        <w:rPr>
          <w:rFonts w:asciiTheme="minorHAnsi" w:hAnsiTheme="minorHAnsi"/>
          <w:i/>
          <w:sz w:val="22"/>
          <w:szCs w:val="22"/>
        </w:rPr>
      </w:pPr>
      <w:r w:rsidRPr="008644FE">
        <w:rPr>
          <w:rFonts w:asciiTheme="minorHAnsi" w:hAnsiTheme="minorHAnsi"/>
          <w:b/>
          <w:i/>
          <w:sz w:val="22"/>
          <w:szCs w:val="22"/>
        </w:rPr>
        <w:t>Issues related to collective bargaining and trades union principles</w:t>
      </w:r>
    </w:p>
    <w:p w:rsidR="00A50961" w:rsidRDefault="008644FE" w:rsidP="008644FE">
      <w:pPr>
        <w:pStyle w:val="PlainText"/>
        <w:rPr>
          <w:rFonts w:asciiTheme="minorHAnsi" w:hAnsiTheme="minorHAnsi"/>
          <w:sz w:val="22"/>
          <w:szCs w:val="22"/>
        </w:rPr>
      </w:pPr>
      <w:r>
        <w:rPr>
          <w:rFonts w:asciiTheme="minorHAnsi" w:hAnsiTheme="minorHAnsi"/>
          <w:sz w:val="22"/>
          <w:szCs w:val="22"/>
        </w:rPr>
        <w:t>In the main, UK trades union</w:t>
      </w:r>
      <w:r w:rsidR="00FB45DF">
        <w:rPr>
          <w:rFonts w:asciiTheme="minorHAnsi" w:hAnsiTheme="minorHAnsi"/>
          <w:sz w:val="22"/>
          <w:szCs w:val="22"/>
        </w:rPr>
        <w:t>s</w:t>
      </w:r>
      <w:r>
        <w:rPr>
          <w:rFonts w:asciiTheme="minorHAnsi" w:hAnsiTheme="minorHAnsi"/>
          <w:sz w:val="22"/>
          <w:szCs w:val="22"/>
        </w:rPr>
        <w:t xml:space="preserve"> support the Living Wage campaign and some are strong supporters, though the campaigns are generally led by community and charity sectors in alliance with trades unions, </w:t>
      </w:r>
      <w:r w:rsidR="00A50961">
        <w:rPr>
          <w:rFonts w:asciiTheme="minorHAnsi" w:hAnsiTheme="minorHAnsi"/>
          <w:sz w:val="22"/>
          <w:szCs w:val="22"/>
        </w:rPr>
        <w:t>(which themselves sometimes have ‘community’ sections such as UNITE Community).</w:t>
      </w:r>
    </w:p>
    <w:p w:rsidR="00A50961" w:rsidRDefault="00A50961" w:rsidP="008644FE">
      <w:pPr>
        <w:pStyle w:val="PlainText"/>
        <w:rPr>
          <w:rFonts w:asciiTheme="minorHAnsi" w:hAnsiTheme="minorHAnsi"/>
          <w:sz w:val="22"/>
          <w:szCs w:val="22"/>
        </w:rPr>
      </w:pPr>
      <w:r>
        <w:rPr>
          <w:rFonts w:asciiTheme="minorHAnsi" w:hAnsiTheme="minorHAnsi"/>
          <w:sz w:val="22"/>
          <w:szCs w:val="22"/>
        </w:rPr>
        <w:t>However, there are some concerns. These include:</w:t>
      </w:r>
    </w:p>
    <w:p w:rsidR="00A50961" w:rsidRDefault="00A50961" w:rsidP="00A50961">
      <w:pPr>
        <w:pStyle w:val="PlainText"/>
        <w:numPr>
          <w:ilvl w:val="0"/>
          <w:numId w:val="17"/>
        </w:numPr>
        <w:rPr>
          <w:rFonts w:asciiTheme="minorHAnsi" w:hAnsiTheme="minorHAnsi"/>
          <w:sz w:val="22"/>
          <w:szCs w:val="22"/>
        </w:rPr>
      </w:pPr>
      <w:r>
        <w:rPr>
          <w:rFonts w:asciiTheme="minorHAnsi" w:hAnsiTheme="minorHAnsi"/>
          <w:sz w:val="22"/>
          <w:szCs w:val="22"/>
        </w:rPr>
        <w:t xml:space="preserve">Whether the campaign will take resources that could be put into campaigning for a higher statutory Minimum Wage as a floor under all employment </w:t>
      </w:r>
    </w:p>
    <w:p w:rsidR="00A50961" w:rsidRDefault="00A50961" w:rsidP="00A50961">
      <w:pPr>
        <w:pStyle w:val="PlainText"/>
        <w:numPr>
          <w:ilvl w:val="0"/>
          <w:numId w:val="17"/>
        </w:numPr>
        <w:rPr>
          <w:rFonts w:asciiTheme="minorHAnsi" w:hAnsiTheme="minorHAnsi"/>
          <w:sz w:val="22"/>
          <w:szCs w:val="22"/>
        </w:rPr>
      </w:pPr>
      <w:r>
        <w:rPr>
          <w:rFonts w:asciiTheme="minorHAnsi" w:hAnsiTheme="minorHAnsi"/>
          <w:sz w:val="22"/>
          <w:szCs w:val="22"/>
        </w:rPr>
        <w:t xml:space="preserve">Trades unions prefer to bargain a ‘rate for the job’ regardless of who does it or where it is done. </w:t>
      </w:r>
      <w:r w:rsidR="00FB45DF">
        <w:rPr>
          <w:rFonts w:asciiTheme="minorHAnsi" w:hAnsiTheme="minorHAnsi"/>
          <w:sz w:val="22"/>
          <w:szCs w:val="22"/>
        </w:rPr>
        <w:t>T</w:t>
      </w:r>
      <w:r>
        <w:rPr>
          <w:rFonts w:asciiTheme="minorHAnsi" w:hAnsiTheme="minorHAnsi"/>
          <w:sz w:val="22"/>
          <w:szCs w:val="22"/>
        </w:rPr>
        <w:t>here is some concern that more awareness including by employers of the cost of living basis of the Living Wage will lead to more pressure for regionalised or localised pay rates because cost of living varies regionally</w:t>
      </w:r>
      <w:r w:rsidR="00FB45DF">
        <w:rPr>
          <w:rFonts w:asciiTheme="minorHAnsi" w:hAnsiTheme="minorHAnsi"/>
          <w:sz w:val="22"/>
          <w:szCs w:val="22"/>
        </w:rPr>
        <w:t xml:space="preserve"> (there is already evidence of some English local authorities taking this view)</w:t>
      </w:r>
    </w:p>
    <w:p w:rsidR="00A50961" w:rsidRDefault="00A50961" w:rsidP="00A50961">
      <w:pPr>
        <w:pStyle w:val="PlainText"/>
        <w:numPr>
          <w:ilvl w:val="0"/>
          <w:numId w:val="17"/>
        </w:numPr>
        <w:rPr>
          <w:rFonts w:asciiTheme="minorHAnsi" w:hAnsiTheme="minorHAnsi"/>
          <w:sz w:val="22"/>
          <w:szCs w:val="22"/>
        </w:rPr>
      </w:pPr>
      <w:r>
        <w:rPr>
          <w:rFonts w:asciiTheme="minorHAnsi" w:hAnsiTheme="minorHAnsi"/>
          <w:sz w:val="22"/>
          <w:szCs w:val="22"/>
        </w:rPr>
        <w:t xml:space="preserve">Whether (even more than the Minimum Wage) the Living Wage could become a ‘ceiling’ or ‘maximum’ wage </w:t>
      </w:r>
      <w:r w:rsidR="00FB45DF">
        <w:rPr>
          <w:rFonts w:asciiTheme="minorHAnsi" w:hAnsiTheme="minorHAnsi"/>
          <w:sz w:val="22"/>
          <w:szCs w:val="22"/>
        </w:rPr>
        <w:t>in</w:t>
      </w:r>
      <w:r>
        <w:rPr>
          <w:rFonts w:asciiTheme="minorHAnsi" w:hAnsiTheme="minorHAnsi"/>
          <w:sz w:val="22"/>
          <w:szCs w:val="22"/>
        </w:rPr>
        <w:t xml:space="preserve"> employers</w:t>
      </w:r>
      <w:r w:rsidR="00FB45DF">
        <w:rPr>
          <w:rFonts w:asciiTheme="minorHAnsi" w:hAnsiTheme="minorHAnsi"/>
          <w:sz w:val="22"/>
          <w:szCs w:val="22"/>
        </w:rPr>
        <w:t>’ view,</w:t>
      </w:r>
      <w:r>
        <w:rPr>
          <w:rFonts w:asciiTheme="minorHAnsi" w:hAnsiTheme="minorHAnsi"/>
          <w:sz w:val="22"/>
          <w:szCs w:val="22"/>
        </w:rPr>
        <w:t xml:space="preserve"> as it covers a socially acceptable minimum standard of living</w:t>
      </w:r>
    </w:p>
    <w:p w:rsidR="00024B75" w:rsidRDefault="00A50961" w:rsidP="00024B75">
      <w:pPr>
        <w:pStyle w:val="PlainText"/>
        <w:numPr>
          <w:ilvl w:val="0"/>
          <w:numId w:val="17"/>
        </w:numPr>
        <w:rPr>
          <w:rFonts w:asciiTheme="minorHAnsi" w:hAnsiTheme="minorHAnsi"/>
          <w:sz w:val="22"/>
          <w:szCs w:val="22"/>
        </w:rPr>
      </w:pPr>
      <w:r w:rsidRPr="00A50961">
        <w:rPr>
          <w:rFonts w:asciiTheme="minorHAnsi" w:hAnsiTheme="minorHAnsi"/>
          <w:sz w:val="22"/>
          <w:szCs w:val="22"/>
        </w:rPr>
        <w:t xml:space="preserve">Concerns about other parts of </w:t>
      </w:r>
      <w:r w:rsidR="00024B75" w:rsidRPr="00A50961">
        <w:rPr>
          <w:rFonts w:asciiTheme="minorHAnsi" w:hAnsiTheme="minorHAnsi"/>
          <w:sz w:val="22"/>
          <w:szCs w:val="22"/>
        </w:rPr>
        <w:t xml:space="preserve">civil society </w:t>
      </w:r>
      <w:r w:rsidRPr="00A50961">
        <w:rPr>
          <w:rFonts w:asciiTheme="minorHAnsi" w:hAnsiTheme="minorHAnsi"/>
          <w:sz w:val="22"/>
          <w:szCs w:val="22"/>
        </w:rPr>
        <w:t>getting involved in wage</w:t>
      </w:r>
      <w:r w:rsidR="00024B75" w:rsidRPr="00A50961">
        <w:rPr>
          <w:rFonts w:asciiTheme="minorHAnsi" w:hAnsiTheme="minorHAnsi"/>
          <w:sz w:val="22"/>
          <w:szCs w:val="22"/>
        </w:rPr>
        <w:t xml:space="preserve"> bargaining. </w:t>
      </w:r>
      <w:r w:rsidRPr="00A50961">
        <w:rPr>
          <w:rFonts w:asciiTheme="minorHAnsi" w:hAnsiTheme="minorHAnsi"/>
          <w:sz w:val="22"/>
          <w:szCs w:val="22"/>
        </w:rPr>
        <w:t xml:space="preserve">This could be a stronger concern </w:t>
      </w:r>
      <w:r w:rsidR="00024B75" w:rsidRPr="00A50961">
        <w:rPr>
          <w:rFonts w:asciiTheme="minorHAnsi" w:hAnsiTheme="minorHAnsi"/>
          <w:sz w:val="22"/>
          <w:szCs w:val="22"/>
        </w:rPr>
        <w:t xml:space="preserve">in countries where there </w:t>
      </w:r>
      <w:r w:rsidR="00D20A07" w:rsidRPr="00A50961">
        <w:rPr>
          <w:rFonts w:asciiTheme="minorHAnsi" w:hAnsiTheme="minorHAnsi"/>
          <w:sz w:val="22"/>
          <w:szCs w:val="22"/>
        </w:rPr>
        <w:t>are</w:t>
      </w:r>
      <w:r w:rsidR="00024B75" w:rsidRPr="00A50961">
        <w:rPr>
          <w:rFonts w:asciiTheme="minorHAnsi" w:hAnsiTheme="minorHAnsi"/>
          <w:sz w:val="22"/>
          <w:szCs w:val="22"/>
        </w:rPr>
        <w:t xml:space="preserve"> a large percentage of workers unionised or where there is sectoral</w:t>
      </w:r>
      <w:r w:rsidR="00FB45DF">
        <w:rPr>
          <w:rFonts w:asciiTheme="minorHAnsi" w:hAnsiTheme="minorHAnsi"/>
          <w:sz w:val="22"/>
          <w:szCs w:val="22"/>
        </w:rPr>
        <w:t>,</w:t>
      </w:r>
      <w:r w:rsidR="00024B75" w:rsidRPr="00A50961">
        <w:rPr>
          <w:rFonts w:asciiTheme="minorHAnsi" w:hAnsiTheme="minorHAnsi"/>
          <w:sz w:val="22"/>
          <w:szCs w:val="22"/>
        </w:rPr>
        <w:t xml:space="preserve"> regional or centralised collective bargaining </w:t>
      </w:r>
      <w:r w:rsidR="00FB45DF">
        <w:rPr>
          <w:rFonts w:asciiTheme="minorHAnsi" w:hAnsiTheme="minorHAnsi"/>
          <w:sz w:val="22"/>
          <w:szCs w:val="22"/>
        </w:rPr>
        <w:t>and</w:t>
      </w:r>
      <w:r w:rsidR="00024B75" w:rsidRPr="00A50961">
        <w:rPr>
          <w:rFonts w:asciiTheme="minorHAnsi" w:hAnsiTheme="minorHAnsi"/>
          <w:sz w:val="22"/>
          <w:szCs w:val="22"/>
        </w:rPr>
        <w:t xml:space="preserve"> where there are bipartite or tripartite bargaining mechanisms which are established by convention or law. </w:t>
      </w:r>
    </w:p>
    <w:p w:rsidR="00A50961" w:rsidRDefault="00A50961" w:rsidP="00A50961">
      <w:pPr>
        <w:pStyle w:val="PlainText"/>
        <w:rPr>
          <w:rFonts w:asciiTheme="minorHAnsi" w:hAnsiTheme="minorHAnsi"/>
          <w:sz w:val="22"/>
          <w:szCs w:val="22"/>
        </w:rPr>
      </w:pPr>
    </w:p>
    <w:p w:rsidR="00A50961" w:rsidRPr="00A31124" w:rsidRDefault="00A50961" w:rsidP="00A50961">
      <w:pPr>
        <w:pStyle w:val="PlainText"/>
        <w:rPr>
          <w:rFonts w:asciiTheme="minorHAnsi" w:hAnsiTheme="minorHAnsi"/>
          <w:b/>
          <w:sz w:val="28"/>
          <w:szCs w:val="28"/>
        </w:rPr>
      </w:pPr>
      <w:r w:rsidRPr="00A31124">
        <w:rPr>
          <w:rFonts w:asciiTheme="minorHAnsi" w:hAnsiTheme="minorHAnsi"/>
          <w:b/>
          <w:sz w:val="28"/>
          <w:szCs w:val="28"/>
        </w:rPr>
        <w:t>Conclusion</w:t>
      </w:r>
      <w:r w:rsidR="00A31124" w:rsidRPr="00A31124">
        <w:rPr>
          <w:rFonts w:asciiTheme="minorHAnsi" w:hAnsiTheme="minorHAnsi"/>
          <w:b/>
          <w:sz w:val="28"/>
          <w:szCs w:val="28"/>
        </w:rPr>
        <w:t>s</w:t>
      </w:r>
    </w:p>
    <w:p w:rsidR="00A31124" w:rsidRDefault="00A50961" w:rsidP="00A50961">
      <w:pPr>
        <w:pStyle w:val="PlainText"/>
        <w:rPr>
          <w:rFonts w:asciiTheme="minorHAnsi" w:hAnsiTheme="minorHAnsi"/>
          <w:sz w:val="22"/>
          <w:szCs w:val="22"/>
        </w:rPr>
      </w:pPr>
      <w:r>
        <w:rPr>
          <w:rFonts w:asciiTheme="minorHAnsi" w:hAnsiTheme="minorHAnsi"/>
          <w:sz w:val="22"/>
          <w:szCs w:val="22"/>
        </w:rPr>
        <w:t xml:space="preserve">There are powerful </w:t>
      </w:r>
      <w:r w:rsidR="00113AF7">
        <w:rPr>
          <w:rFonts w:asciiTheme="minorHAnsi" w:hAnsiTheme="minorHAnsi"/>
          <w:sz w:val="22"/>
          <w:szCs w:val="22"/>
        </w:rPr>
        <w:t xml:space="preserve">attractions and </w:t>
      </w:r>
      <w:r>
        <w:rPr>
          <w:rFonts w:asciiTheme="minorHAnsi" w:hAnsiTheme="minorHAnsi"/>
          <w:sz w:val="22"/>
          <w:szCs w:val="22"/>
        </w:rPr>
        <w:t xml:space="preserve">advantages to the Living Wage campaign </w:t>
      </w:r>
      <w:r w:rsidR="00A31124">
        <w:rPr>
          <w:rFonts w:asciiTheme="minorHAnsi" w:hAnsiTheme="minorHAnsi"/>
          <w:sz w:val="22"/>
          <w:szCs w:val="22"/>
        </w:rPr>
        <w:t xml:space="preserve">as well as some drawbacks and it may be already important in some networks’ activities, or can become so. But networks in countries in which low pay is a less important cause of poverty; or in which trades unions have much higher workforce coverage or there are statutory forms of wage bargaining, may find it less of a priority or not suitable for their combat poverty </w:t>
      </w:r>
      <w:r w:rsidR="00FB45DF">
        <w:rPr>
          <w:rFonts w:asciiTheme="minorHAnsi" w:hAnsiTheme="minorHAnsi"/>
          <w:sz w:val="22"/>
          <w:szCs w:val="22"/>
        </w:rPr>
        <w:t>environment</w:t>
      </w:r>
      <w:r w:rsidR="00A31124">
        <w:rPr>
          <w:rFonts w:asciiTheme="minorHAnsi" w:hAnsiTheme="minorHAnsi"/>
          <w:sz w:val="22"/>
          <w:szCs w:val="22"/>
        </w:rPr>
        <w:t>. Networks in some countries may feel unemployment insurance issues are a bigger priority in their country. Networks in countries which have not yet got broadly accepted mechanisms for establishing minimum acceptable standards of living may find it too great an effort to get credible figures for a Living Wage Campaign. Individual networks are well able to decide the value to them of a Living Wage campaign and to build alliances with other such networks.</w:t>
      </w:r>
    </w:p>
    <w:p w:rsidR="00113AF7" w:rsidRDefault="00113AF7" w:rsidP="00A50961">
      <w:pPr>
        <w:pStyle w:val="PlainText"/>
        <w:rPr>
          <w:rFonts w:asciiTheme="minorHAnsi" w:hAnsiTheme="minorHAnsi"/>
          <w:sz w:val="22"/>
          <w:szCs w:val="22"/>
        </w:rPr>
      </w:pPr>
    </w:p>
    <w:p w:rsidR="00A31124" w:rsidRDefault="00A31124" w:rsidP="00FE75F9">
      <w:pPr>
        <w:pStyle w:val="PlainText"/>
        <w:rPr>
          <w:rFonts w:asciiTheme="minorHAnsi" w:hAnsiTheme="minorHAnsi"/>
          <w:sz w:val="22"/>
          <w:szCs w:val="22"/>
        </w:rPr>
      </w:pPr>
      <w:r>
        <w:rPr>
          <w:rFonts w:asciiTheme="minorHAnsi" w:hAnsiTheme="minorHAnsi"/>
          <w:sz w:val="22"/>
          <w:szCs w:val="22"/>
        </w:rPr>
        <w:t xml:space="preserve">A more challenging issue is what kind of a priority a Living Wage campaign should be for EAPN Europe. </w:t>
      </w:r>
      <w:r w:rsidR="00FB45DF">
        <w:rPr>
          <w:rFonts w:asciiTheme="minorHAnsi" w:hAnsiTheme="minorHAnsi"/>
          <w:sz w:val="22"/>
          <w:szCs w:val="22"/>
        </w:rPr>
        <w:t>Certainly, i</w:t>
      </w:r>
      <w:r w:rsidR="00113AF7">
        <w:rPr>
          <w:rFonts w:asciiTheme="minorHAnsi" w:hAnsiTheme="minorHAnsi"/>
          <w:sz w:val="22"/>
          <w:szCs w:val="22"/>
        </w:rPr>
        <w:t>t should be part of a package of demands we raise in the context of a broader position on decent work. The question is whether it should have a higher priority and more resources than that. It could give EAPN bit more profile and distinctness with certain audiences</w:t>
      </w:r>
      <w:r w:rsidR="00FE75F9">
        <w:rPr>
          <w:rFonts w:asciiTheme="minorHAnsi" w:hAnsiTheme="minorHAnsi"/>
          <w:sz w:val="22"/>
          <w:szCs w:val="22"/>
        </w:rPr>
        <w:t xml:space="preserve"> and this is more than ever necessary in our frail funding and branding context. </w:t>
      </w:r>
      <w:r w:rsidR="00113AF7">
        <w:rPr>
          <w:rFonts w:asciiTheme="minorHAnsi" w:hAnsiTheme="minorHAnsi"/>
          <w:sz w:val="22"/>
          <w:szCs w:val="22"/>
        </w:rPr>
        <w:t xml:space="preserve">But </w:t>
      </w:r>
      <w:r>
        <w:rPr>
          <w:rFonts w:asciiTheme="minorHAnsi" w:hAnsiTheme="minorHAnsi"/>
          <w:sz w:val="22"/>
          <w:szCs w:val="22"/>
        </w:rPr>
        <w:t xml:space="preserve">the variety of individual country </w:t>
      </w:r>
      <w:r w:rsidR="00113AF7">
        <w:rPr>
          <w:rFonts w:asciiTheme="minorHAnsi" w:hAnsiTheme="minorHAnsi"/>
          <w:sz w:val="22"/>
          <w:szCs w:val="22"/>
        </w:rPr>
        <w:t xml:space="preserve">and network </w:t>
      </w:r>
      <w:r>
        <w:rPr>
          <w:rFonts w:asciiTheme="minorHAnsi" w:hAnsiTheme="minorHAnsi"/>
          <w:sz w:val="22"/>
          <w:szCs w:val="22"/>
        </w:rPr>
        <w:t>circumstances may affect the realism of a common campaign.</w:t>
      </w:r>
      <w:r w:rsidR="00113AF7">
        <w:rPr>
          <w:rFonts w:asciiTheme="minorHAnsi" w:hAnsiTheme="minorHAnsi"/>
          <w:sz w:val="22"/>
          <w:szCs w:val="22"/>
        </w:rPr>
        <w:t xml:space="preserve"> </w:t>
      </w:r>
      <w:r w:rsidR="00FE75F9">
        <w:rPr>
          <w:rFonts w:asciiTheme="minorHAnsi" w:hAnsiTheme="minorHAnsi"/>
          <w:sz w:val="22"/>
          <w:szCs w:val="22"/>
        </w:rPr>
        <w:t xml:space="preserve">EAPN is already focusing on demands concerning a framework Directive on Minimum Income which would effectively put a floor under all incomes and on demands to complete Minimum Wage introduction in all EU Member States which would put a floor under all incomes from paid work. These are important and will have a big impact if put into effect, but are already difficult territory because of the legal weakness of the social dimension and because we are not a ‘social partner’ in the sense narrowly defined in the EU. The Living Wage is a demand addressed to employers </w:t>
      </w:r>
      <w:r w:rsidR="00113AF7">
        <w:rPr>
          <w:rFonts w:asciiTheme="minorHAnsi" w:hAnsiTheme="minorHAnsi"/>
          <w:sz w:val="22"/>
          <w:szCs w:val="22"/>
        </w:rPr>
        <w:t>and it would take some effort to work out how to make it a priority in addressing EAPN Europe’s funders, the European Commission, especially in the context of the agreed work programme.</w:t>
      </w:r>
      <w:r w:rsidR="00FE75F9">
        <w:rPr>
          <w:rFonts w:asciiTheme="minorHAnsi" w:hAnsiTheme="minorHAnsi"/>
          <w:sz w:val="22"/>
          <w:szCs w:val="22"/>
        </w:rPr>
        <w:t xml:space="preserve"> </w:t>
      </w:r>
      <w:r w:rsidR="00113AF7">
        <w:rPr>
          <w:rFonts w:asciiTheme="minorHAnsi" w:hAnsiTheme="minorHAnsi"/>
          <w:sz w:val="22"/>
          <w:szCs w:val="22"/>
        </w:rPr>
        <w:t>There is also a question of prioritising our limited resources, as it would have limited impact on poverty rates in the EU and there are other and better funded organisations and agencies who can take it up.</w:t>
      </w:r>
    </w:p>
    <w:p w:rsidR="00113AF7" w:rsidRDefault="00113AF7">
      <w:r>
        <w:br w:type="page"/>
      </w:r>
    </w:p>
    <w:p w:rsidR="006C7AEA" w:rsidRPr="000125F7" w:rsidRDefault="006C7AEA" w:rsidP="000125F7">
      <w:pPr>
        <w:jc w:val="center"/>
        <w:rPr>
          <w:b/>
          <w:sz w:val="32"/>
          <w:szCs w:val="32"/>
        </w:rPr>
      </w:pPr>
      <w:r w:rsidRPr="000125F7">
        <w:rPr>
          <w:b/>
          <w:sz w:val="32"/>
          <w:szCs w:val="32"/>
        </w:rPr>
        <w:t xml:space="preserve">Appendix A: </w:t>
      </w:r>
      <w:r w:rsidR="000125F7">
        <w:rPr>
          <w:b/>
          <w:sz w:val="32"/>
          <w:szCs w:val="32"/>
        </w:rPr>
        <w:t>Four concepts used in the UK</w:t>
      </w:r>
    </w:p>
    <w:p w:rsidR="000125F7" w:rsidRPr="000125F7" w:rsidRDefault="000125F7" w:rsidP="000125F7">
      <w:pPr>
        <w:ind w:left="360"/>
      </w:pPr>
      <w:r>
        <w:rPr>
          <w:b/>
          <w:bCs/>
          <w:i/>
          <w:iCs/>
        </w:rPr>
        <w:t>1</w:t>
      </w:r>
      <w:r>
        <w:rPr>
          <w:b/>
          <w:bCs/>
          <w:i/>
          <w:iCs/>
        </w:rPr>
        <w:tab/>
      </w:r>
      <w:r w:rsidR="006C7AEA" w:rsidRPr="000125F7">
        <w:rPr>
          <w:b/>
          <w:bCs/>
          <w:i/>
          <w:iCs/>
        </w:rPr>
        <w:t>Minimum Income</w:t>
      </w:r>
      <w:r w:rsidRPr="000125F7">
        <w:rPr>
          <w:b/>
          <w:bCs/>
          <w:i/>
          <w:iCs/>
        </w:rPr>
        <w:t xml:space="preserve">: A statutory provision </w:t>
      </w:r>
    </w:p>
    <w:p w:rsidR="006C7AEA" w:rsidRPr="000125F7" w:rsidRDefault="006C7AEA" w:rsidP="000125F7">
      <w:pPr>
        <w:ind w:left="360"/>
      </w:pPr>
      <w:r w:rsidRPr="000125F7">
        <w:rPr>
          <w:bCs/>
        </w:rPr>
        <w:t>Income support schemes that provide a household safety net for people who cannot work or get a job and who have run out of social insurance payments or who were never eligible for them</w:t>
      </w:r>
      <w:r w:rsidR="000125F7" w:rsidRPr="000125F7">
        <w:rPr>
          <w:bCs/>
        </w:rPr>
        <w:t>. The UK scheme is statutory (fixed by law).</w:t>
      </w:r>
    </w:p>
    <w:p w:rsidR="006C7AEA" w:rsidRPr="000125F7" w:rsidRDefault="000125F7" w:rsidP="000125F7">
      <w:pPr>
        <w:ind w:left="360"/>
      </w:pPr>
      <w:r>
        <w:rPr>
          <w:b/>
          <w:bCs/>
          <w:i/>
          <w:iCs/>
        </w:rPr>
        <w:t>2</w:t>
      </w:r>
      <w:r>
        <w:rPr>
          <w:b/>
          <w:bCs/>
          <w:i/>
          <w:iCs/>
        </w:rPr>
        <w:tab/>
      </w:r>
      <w:r w:rsidR="006C7AEA" w:rsidRPr="000125F7">
        <w:rPr>
          <w:b/>
          <w:bCs/>
          <w:i/>
          <w:iCs/>
        </w:rPr>
        <w:t>“Basic income”</w:t>
      </w:r>
      <w:r w:rsidRPr="000125F7">
        <w:rPr>
          <w:b/>
          <w:bCs/>
          <w:i/>
          <w:iCs/>
        </w:rPr>
        <w:t>: A campaign demand</w:t>
      </w:r>
    </w:p>
    <w:p w:rsidR="006C7AEA" w:rsidRPr="000125F7" w:rsidRDefault="006C7AEA" w:rsidP="000125F7">
      <w:pPr>
        <w:ind w:left="360"/>
      </w:pPr>
      <w:r w:rsidRPr="000125F7">
        <w:rPr>
          <w:bCs/>
        </w:rPr>
        <w:t>A small income granted unconditionally to all individual citizens</w:t>
      </w:r>
      <w:r w:rsidRPr="000125F7">
        <w:t>; does not exist anywhere yet; (UK Green party supports a Citizen’s Basic Income)</w:t>
      </w:r>
    </w:p>
    <w:p w:rsidR="006C7AEA" w:rsidRPr="006C7AEA" w:rsidRDefault="000125F7" w:rsidP="000125F7">
      <w:pPr>
        <w:ind w:left="360"/>
      </w:pPr>
      <w:r>
        <w:rPr>
          <w:b/>
          <w:bCs/>
          <w:i/>
          <w:iCs/>
        </w:rPr>
        <w:t>3</w:t>
      </w:r>
      <w:r>
        <w:rPr>
          <w:b/>
          <w:bCs/>
          <w:i/>
          <w:iCs/>
        </w:rPr>
        <w:tab/>
      </w:r>
      <w:r w:rsidR="006C7AEA" w:rsidRPr="000125F7">
        <w:rPr>
          <w:b/>
          <w:bCs/>
          <w:i/>
          <w:iCs/>
        </w:rPr>
        <w:t>Minimum wage</w:t>
      </w:r>
      <w:r w:rsidRPr="000125F7">
        <w:rPr>
          <w:b/>
          <w:bCs/>
          <w:i/>
          <w:iCs/>
        </w:rPr>
        <w:t>: A statutory provision</w:t>
      </w:r>
    </w:p>
    <w:p w:rsidR="006C7AEA" w:rsidRPr="000125F7" w:rsidRDefault="006C7AEA" w:rsidP="000125F7">
      <w:pPr>
        <w:ind w:left="360"/>
      </w:pPr>
      <w:r w:rsidRPr="000125F7">
        <w:rPr>
          <w:bCs/>
        </w:rPr>
        <w:t xml:space="preserve">A minimum salary for individual employees that is fixed by law </w:t>
      </w:r>
      <w:r w:rsidRPr="000125F7">
        <w:t xml:space="preserve">(e.g. UK) </w:t>
      </w:r>
      <w:r w:rsidRPr="000125F7">
        <w:rPr>
          <w:bCs/>
        </w:rPr>
        <w:t>or by collective bargaining</w:t>
      </w:r>
    </w:p>
    <w:p w:rsidR="006C7AEA" w:rsidRPr="006C7AEA" w:rsidRDefault="000125F7" w:rsidP="000125F7">
      <w:pPr>
        <w:ind w:left="360"/>
      </w:pPr>
      <w:r>
        <w:rPr>
          <w:b/>
          <w:bCs/>
          <w:i/>
          <w:iCs/>
        </w:rPr>
        <w:t>4</w:t>
      </w:r>
      <w:r>
        <w:rPr>
          <w:b/>
          <w:bCs/>
          <w:i/>
          <w:iCs/>
        </w:rPr>
        <w:tab/>
      </w:r>
      <w:r w:rsidR="006C7AEA" w:rsidRPr="000125F7">
        <w:rPr>
          <w:b/>
          <w:bCs/>
          <w:i/>
          <w:iCs/>
        </w:rPr>
        <w:t>The “Living Wage”</w:t>
      </w:r>
      <w:r w:rsidRPr="000125F7">
        <w:rPr>
          <w:b/>
          <w:bCs/>
          <w:i/>
          <w:iCs/>
        </w:rPr>
        <w:t>: A campaign demand</w:t>
      </w:r>
    </w:p>
    <w:p w:rsidR="006C7AEA" w:rsidRPr="000125F7" w:rsidRDefault="000125F7" w:rsidP="000125F7">
      <w:pPr>
        <w:ind w:left="360"/>
      </w:pPr>
      <w:r w:rsidRPr="000125F7">
        <w:t>I</w:t>
      </w:r>
      <w:r w:rsidR="006C7AEA" w:rsidRPr="000125F7">
        <w:rPr>
          <w:bCs/>
        </w:rPr>
        <w:t>n the UK this is a campaign demand for higher wages that meet a modest cost of living.</w:t>
      </w:r>
      <w:r w:rsidR="006C7AEA" w:rsidRPr="000125F7">
        <w:t xml:space="preserve"> (</w:t>
      </w:r>
      <w:r>
        <w:t>B</w:t>
      </w:r>
      <w:r w:rsidR="006C7AEA" w:rsidRPr="000125F7">
        <w:t xml:space="preserve">ut in Belgium the Living Wage </w:t>
      </w:r>
      <w:r>
        <w:t xml:space="preserve">has the meaning of </w:t>
      </w:r>
      <w:r w:rsidR="006C7AEA" w:rsidRPr="000125F7">
        <w:t>the Minimum Income)</w:t>
      </w:r>
    </w:p>
    <w:p w:rsidR="006C7AEA" w:rsidRDefault="006C7AEA">
      <w:r>
        <w:br w:type="page"/>
      </w:r>
    </w:p>
    <w:p w:rsidR="00024B75" w:rsidRPr="00682250" w:rsidRDefault="00682250" w:rsidP="00682250">
      <w:pPr>
        <w:pStyle w:val="PlainText"/>
        <w:jc w:val="center"/>
        <w:rPr>
          <w:rFonts w:asciiTheme="minorHAnsi" w:hAnsiTheme="minorHAnsi"/>
          <w:b/>
          <w:sz w:val="32"/>
          <w:szCs w:val="32"/>
        </w:rPr>
      </w:pPr>
      <w:r w:rsidRPr="00682250">
        <w:rPr>
          <w:rFonts w:asciiTheme="minorHAnsi" w:hAnsiTheme="minorHAnsi"/>
          <w:b/>
          <w:sz w:val="32"/>
          <w:szCs w:val="32"/>
        </w:rPr>
        <w:t>Appendix B: Living Wage campaigns in the UK</w:t>
      </w:r>
    </w:p>
    <w:p w:rsidR="00682250" w:rsidRDefault="00682250" w:rsidP="00682250">
      <w:pPr>
        <w:pStyle w:val="PlainText"/>
        <w:rPr>
          <w:rFonts w:asciiTheme="minorHAnsi" w:hAnsiTheme="minorHAnsi"/>
          <w:sz w:val="22"/>
          <w:szCs w:val="22"/>
        </w:rPr>
      </w:pPr>
    </w:p>
    <w:p w:rsidR="00682250" w:rsidRPr="00682250" w:rsidRDefault="00682250" w:rsidP="00682250">
      <w:pPr>
        <w:pStyle w:val="PlainText"/>
        <w:rPr>
          <w:rFonts w:asciiTheme="minorHAnsi" w:hAnsiTheme="minorHAnsi"/>
          <w:b/>
          <w:sz w:val="28"/>
          <w:szCs w:val="28"/>
        </w:rPr>
      </w:pPr>
      <w:r w:rsidRPr="00682250">
        <w:rPr>
          <w:rFonts w:asciiTheme="minorHAnsi" w:hAnsiTheme="minorHAnsi"/>
          <w:b/>
          <w:sz w:val="28"/>
          <w:szCs w:val="28"/>
        </w:rPr>
        <w:t xml:space="preserve">History of the modern movement </w:t>
      </w:r>
    </w:p>
    <w:p w:rsidR="00682250" w:rsidRDefault="00682250" w:rsidP="00682250">
      <w:pPr>
        <w:spacing w:after="0" w:line="240" w:lineRule="auto"/>
      </w:pPr>
      <w:r>
        <w:t xml:space="preserve">See: </w:t>
      </w:r>
      <w:hyperlink r:id="rId9" w:history="1">
        <w:r w:rsidRPr="00D74EC7">
          <w:rPr>
            <w:rStyle w:val="Hyperlink"/>
          </w:rPr>
          <w:t>http://www.livingwage.org.uk/history</w:t>
        </w:r>
      </w:hyperlink>
    </w:p>
    <w:p w:rsidR="00682250" w:rsidRPr="00682250" w:rsidRDefault="00682250" w:rsidP="00682250">
      <w:pPr>
        <w:pStyle w:val="NormalWeb"/>
        <w:rPr>
          <w:rFonts w:asciiTheme="minorHAnsi" w:hAnsiTheme="minorHAnsi"/>
          <w:b/>
          <w:sz w:val="22"/>
          <w:szCs w:val="22"/>
        </w:rPr>
      </w:pPr>
      <w:r w:rsidRPr="00682250">
        <w:rPr>
          <w:rFonts w:asciiTheme="minorHAnsi" w:hAnsiTheme="minorHAnsi"/>
          <w:b/>
          <w:sz w:val="22"/>
          <w:szCs w:val="22"/>
        </w:rPr>
        <w:t>Extract</w:t>
      </w:r>
      <w:r>
        <w:rPr>
          <w:rFonts w:asciiTheme="minorHAnsi" w:hAnsiTheme="minorHAnsi"/>
          <w:b/>
          <w:sz w:val="22"/>
          <w:szCs w:val="22"/>
        </w:rPr>
        <w:t xml:space="preserve"> from the website</w:t>
      </w:r>
    </w:p>
    <w:p w:rsidR="00682250" w:rsidRPr="00B5456C" w:rsidRDefault="00682250" w:rsidP="00682250">
      <w:pPr>
        <w:pStyle w:val="NormalWeb"/>
        <w:numPr>
          <w:ilvl w:val="0"/>
          <w:numId w:val="5"/>
        </w:numPr>
        <w:rPr>
          <w:rFonts w:asciiTheme="minorHAnsi" w:hAnsiTheme="minorHAnsi"/>
          <w:sz w:val="22"/>
          <w:szCs w:val="22"/>
        </w:rPr>
      </w:pPr>
      <w:r w:rsidRPr="00B5456C">
        <w:rPr>
          <w:rFonts w:asciiTheme="minorHAnsi" w:hAnsiTheme="minorHAnsi"/>
          <w:sz w:val="22"/>
          <w:szCs w:val="22"/>
        </w:rPr>
        <w:t xml:space="preserve">The modern UK Living Wage Campaign was launched by members of </w:t>
      </w:r>
      <w:hyperlink r:id="rId10" w:tgtFrame="_blank" w:tooltip="London Citizens" w:history="1">
        <w:r w:rsidRPr="00B5456C">
          <w:rPr>
            <w:rStyle w:val="Hyperlink"/>
            <w:rFonts w:asciiTheme="minorHAnsi" w:hAnsiTheme="minorHAnsi"/>
            <w:sz w:val="22"/>
            <w:szCs w:val="22"/>
          </w:rPr>
          <w:t>London Citizens</w:t>
        </w:r>
      </w:hyperlink>
      <w:r w:rsidRPr="00B5456C">
        <w:rPr>
          <w:rFonts w:asciiTheme="minorHAnsi" w:hAnsiTheme="minorHAnsi"/>
          <w:sz w:val="22"/>
          <w:szCs w:val="22"/>
        </w:rPr>
        <w:t xml:space="preserve"> in 2001. The founders were parents in the East End of London, who wanted to remain in work, but found that despite working two or more minimum wage jobs they were struggling to make ends meet and were left with no time for family and community life.</w:t>
      </w:r>
    </w:p>
    <w:p w:rsidR="00682250" w:rsidRPr="00B5456C" w:rsidRDefault="00682250" w:rsidP="00682250">
      <w:pPr>
        <w:pStyle w:val="NormalWeb"/>
        <w:numPr>
          <w:ilvl w:val="0"/>
          <w:numId w:val="5"/>
        </w:numPr>
        <w:rPr>
          <w:rFonts w:asciiTheme="minorHAnsi" w:hAnsiTheme="minorHAnsi"/>
          <w:sz w:val="22"/>
          <w:szCs w:val="22"/>
        </w:rPr>
      </w:pPr>
      <w:r w:rsidRPr="00B5456C">
        <w:rPr>
          <w:rFonts w:asciiTheme="minorHAnsi" w:hAnsiTheme="minorHAnsi"/>
          <w:sz w:val="22"/>
          <w:szCs w:val="22"/>
        </w:rPr>
        <w:t>The Living Wage is an example of communities, business, campaigners and faith groups coming together to find practical, non-statutory means to address working poverty and strengthen families.</w:t>
      </w:r>
    </w:p>
    <w:p w:rsidR="00682250" w:rsidRPr="00B5456C" w:rsidRDefault="00682250" w:rsidP="00682250">
      <w:pPr>
        <w:pStyle w:val="NormalWeb"/>
        <w:numPr>
          <w:ilvl w:val="0"/>
          <w:numId w:val="5"/>
        </w:numPr>
        <w:rPr>
          <w:rFonts w:asciiTheme="minorHAnsi" w:hAnsiTheme="minorHAnsi"/>
          <w:sz w:val="22"/>
          <w:szCs w:val="22"/>
        </w:rPr>
      </w:pPr>
      <w:r w:rsidRPr="00B5456C">
        <w:rPr>
          <w:rFonts w:asciiTheme="minorHAnsi" w:hAnsiTheme="minorHAnsi"/>
          <w:sz w:val="22"/>
          <w:szCs w:val="22"/>
        </w:rPr>
        <w:t xml:space="preserve">In 2005, following a series of </w:t>
      </w:r>
      <w:hyperlink r:id="rId11" w:tgtFrame="_blank" w:tooltip="chronology of LW campaigns" w:history="1">
        <w:r w:rsidRPr="00B5456C">
          <w:rPr>
            <w:rStyle w:val="Hyperlink"/>
            <w:rFonts w:asciiTheme="minorHAnsi" w:hAnsiTheme="minorHAnsi"/>
            <w:sz w:val="22"/>
            <w:szCs w:val="22"/>
          </w:rPr>
          <w:t>successful Living Wage campaigns</w:t>
        </w:r>
      </w:hyperlink>
      <w:r w:rsidRPr="00B5456C">
        <w:rPr>
          <w:rFonts w:asciiTheme="minorHAnsi" w:hAnsiTheme="minorHAnsi"/>
          <w:sz w:val="22"/>
          <w:szCs w:val="22"/>
        </w:rPr>
        <w:t xml:space="preserve"> and growing interest from employers, the Greater London Authority established the Living Wage Unit to calculate the London Living Wage. </w:t>
      </w:r>
    </w:p>
    <w:p w:rsidR="00682250" w:rsidRPr="00B5456C" w:rsidRDefault="00682250" w:rsidP="00682250">
      <w:pPr>
        <w:pStyle w:val="NormalWeb"/>
        <w:numPr>
          <w:ilvl w:val="0"/>
          <w:numId w:val="5"/>
        </w:numPr>
        <w:rPr>
          <w:rFonts w:asciiTheme="minorHAnsi" w:hAnsiTheme="minorHAnsi"/>
          <w:sz w:val="22"/>
          <w:szCs w:val="22"/>
        </w:rPr>
      </w:pPr>
      <w:r w:rsidRPr="00B5456C">
        <w:rPr>
          <w:rFonts w:asciiTheme="minorHAnsi" w:hAnsiTheme="minorHAnsi"/>
          <w:sz w:val="22"/>
          <w:szCs w:val="22"/>
        </w:rPr>
        <w:t xml:space="preserve">In 2008 Trust for London selected the London Living Wage as a </w:t>
      </w:r>
      <w:hyperlink r:id="rId12" w:history="1">
        <w:r w:rsidRPr="00B5456C">
          <w:rPr>
            <w:rStyle w:val="Hyperlink"/>
            <w:rFonts w:asciiTheme="minorHAnsi" w:hAnsiTheme="minorHAnsi"/>
            <w:sz w:val="22"/>
            <w:szCs w:val="22"/>
          </w:rPr>
          <w:t>special in</w:t>
        </w:r>
        <w:r>
          <w:rPr>
            <w:rStyle w:val="Hyperlink"/>
            <w:rFonts w:asciiTheme="minorHAnsi" w:hAnsiTheme="minorHAnsi"/>
            <w:sz w:val="22"/>
            <w:szCs w:val="22"/>
          </w:rPr>
          <w:t>i</w:t>
        </w:r>
        <w:r w:rsidRPr="00B5456C">
          <w:rPr>
            <w:rStyle w:val="Hyperlink"/>
            <w:rFonts w:asciiTheme="minorHAnsi" w:hAnsiTheme="minorHAnsi"/>
            <w:sz w:val="22"/>
            <w:szCs w:val="22"/>
          </w:rPr>
          <w:t>ti</w:t>
        </w:r>
        <w:r>
          <w:rPr>
            <w:rStyle w:val="Hyperlink"/>
            <w:rFonts w:asciiTheme="minorHAnsi" w:hAnsiTheme="minorHAnsi"/>
            <w:sz w:val="22"/>
            <w:szCs w:val="22"/>
          </w:rPr>
          <w:t>a</w:t>
        </w:r>
        <w:r w:rsidRPr="00B5456C">
          <w:rPr>
            <w:rStyle w:val="Hyperlink"/>
            <w:rFonts w:asciiTheme="minorHAnsi" w:hAnsiTheme="minorHAnsi"/>
            <w:sz w:val="22"/>
            <w:szCs w:val="22"/>
          </w:rPr>
          <w:t>tive</w:t>
        </w:r>
      </w:hyperlink>
      <w:r w:rsidRPr="00B5456C">
        <w:rPr>
          <w:rFonts w:asciiTheme="minorHAnsi" w:hAnsiTheme="minorHAnsi"/>
          <w:sz w:val="22"/>
          <w:szCs w:val="22"/>
        </w:rPr>
        <w:t xml:space="preserve"> and made a grant of over £1 million to deliver direct campaign work, research and an accreditation scheme for employers.</w:t>
      </w:r>
    </w:p>
    <w:p w:rsidR="00682250" w:rsidRPr="00B5456C" w:rsidRDefault="00682250" w:rsidP="00682250">
      <w:pPr>
        <w:pStyle w:val="NormalWeb"/>
        <w:numPr>
          <w:ilvl w:val="0"/>
          <w:numId w:val="5"/>
        </w:numPr>
        <w:rPr>
          <w:rFonts w:asciiTheme="minorHAnsi" w:hAnsiTheme="minorHAnsi"/>
          <w:sz w:val="22"/>
          <w:szCs w:val="22"/>
        </w:rPr>
      </w:pPr>
      <w:r w:rsidRPr="00B5456C">
        <w:rPr>
          <w:rFonts w:asciiTheme="minorHAnsi" w:hAnsiTheme="minorHAnsi"/>
          <w:sz w:val="22"/>
          <w:szCs w:val="22"/>
        </w:rPr>
        <w:t>The Living Wage campaign has since grown into a national movement.</w:t>
      </w:r>
    </w:p>
    <w:p w:rsidR="00682250" w:rsidRPr="00B5456C" w:rsidRDefault="00682250" w:rsidP="00682250">
      <w:pPr>
        <w:pStyle w:val="NormalWeb"/>
        <w:numPr>
          <w:ilvl w:val="0"/>
          <w:numId w:val="5"/>
        </w:numPr>
        <w:rPr>
          <w:rFonts w:asciiTheme="minorHAnsi" w:hAnsiTheme="minorHAnsi"/>
          <w:sz w:val="22"/>
          <w:szCs w:val="22"/>
        </w:rPr>
      </w:pPr>
      <w:r w:rsidRPr="00B5456C">
        <w:rPr>
          <w:rFonts w:asciiTheme="minorHAnsi" w:hAnsiTheme="minorHAnsi"/>
          <w:sz w:val="22"/>
          <w:szCs w:val="22"/>
        </w:rPr>
        <w:t>Local campaigns began emerging across the UK offering the opportunity to involve many more employers and lift many more thousands of families out of working poverty.</w:t>
      </w:r>
    </w:p>
    <w:p w:rsidR="00682250" w:rsidRPr="00682250" w:rsidRDefault="00682250" w:rsidP="00682250">
      <w:pPr>
        <w:pStyle w:val="PlainText"/>
        <w:rPr>
          <w:rFonts w:asciiTheme="minorHAnsi" w:hAnsiTheme="minorHAnsi"/>
          <w:b/>
          <w:sz w:val="28"/>
          <w:szCs w:val="28"/>
        </w:rPr>
      </w:pPr>
      <w:r w:rsidRPr="00682250">
        <w:rPr>
          <w:rFonts w:asciiTheme="minorHAnsi" w:hAnsiTheme="minorHAnsi"/>
          <w:b/>
          <w:sz w:val="28"/>
          <w:szCs w:val="28"/>
        </w:rPr>
        <w:t>The London Living Wage</w:t>
      </w:r>
    </w:p>
    <w:p w:rsidR="00682250" w:rsidRDefault="00682250" w:rsidP="00682250">
      <w:pPr>
        <w:pStyle w:val="PlainText"/>
        <w:rPr>
          <w:rFonts w:asciiTheme="minorHAnsi" w:hAnsiTheme="minorHAnsi"/>
          <w:sz w:val="22"/>
          <w:szCs w:val="22"/>
        </w:rPr>
      </w:pPr>
      <w:r>
        <w:rPr>
          <w:rFonts w:asciiTheme="minorHAnsi" w:hAnsiTheme="minorHAnsi"/>
          <w:sz w:val="22"/>
          <w:szCs w:val="22"/>
        </w:rPr>
        <w:t xml:space="preserve">See: </w:t>
      </w:r>
      <w:hyperlink r:id="rId13" w:history="1">
        <w:r w:rsidRPr="00D74EC7">
          <w:rPr>
            <w:rStyle w:val="Hyperlink"/>
            <w:rFonts w:asciiTheme="minorHAnsi" w:hAnsiTheme="minorHAnsi"/>
            <w:sz w:val="22"/>
            <w:szCs w:val="22"/>
          </w:rPr>
          <w:t>http://www.livingwage.org.uk/what-living-wage</w:t>
        </w:r>
      </w:hyperlink>
    </w:p>
    <w:p w:rsidR="00682250" w:rsidRDefault="00682250" w:rsidP="00682250">
      <w:pPr>
        <w:pStyle w:val="PlainText"/>
        <w:rPr>
          <w:rFonts w:asciiTheme="minorHAnsi" w:hAnsiTheme="minorHAnsi"/>
          <w:sz w:val="22"/>
          <w:szCs w:val="22"/>
        </w:rPr>
      </w:pPr>
      <w:r w:rsidRPr="00682250">
        <w:rPr>
          <w:rFonts w:asciiTheme="minorHAnsi" w:hAnsiTheme="minorHAnsi"/>
          <w:b/>
          <w:sz w:val="22"/>
          <w:szCs w:val="22"/>
        </w:rPr>
        <w:t>Extract</w:t>
      </w:r>
      <w:r>
        <w:rPr>
          <w:rFonts w:asciiTheme="minorHAnsi" w:hAnsiTheme="minorHAnsi"/>
          <w:b/>
          <w:sz w:val="22"/>
          <w:szCs w:val="22"/>
        </w:rPr>
        <w:t xml:space="preserve"> from the website</w:t>
      </w:r>
    </w:p>
    <w:p w:rsidR="00682250" w:rsidRDefault="00682250" w:rsidP="00682250">
      <w:pPr>
        <w:numPr>
          <w:ilvl w:val="0"/>
          <w:numId w:val="6"/>
        </w:numPr>
        <w:spacing w:before="100" w:beforeAutospacing="1" w:after="100" w:afterAutospacing="1" w:line="240" w:lineRule="auto"/>
      </w:pPr>
      <w:r>
        <w:t>The London Living Wage is currently £8.80 per hour.</w:t>
      </w:r>
    </w:p>
    <w:p w:rsidR="00682250" w:rsidRDefault="00682250" w:rsidP="00682250">
      <w:pPr>
        <w:numPr>
          <w:ilvl w:val="0"/>
          <w:numId w:val="6"/>
        </w:numPr>
        <w:spacing w:before="100" w:beforeAutospacing="1" w:after="100" w:afterAutospacing="1" w:line="240" w:lineRule="auto"/>
      </w:pPr>
      <w:r>
        <w:t xml:space="preserve">The London rate is set annually by the Living Wage Foundation and calculated by the Greater London Authority, it covers all boroughs in </w:t>
      </w:r>
      <w:hyperlink r:id="rId14" w:history="1">
        <w:r>
          <w:rPr>
            <w:rStyle w:val="Hyperlink"/>
          </w:rPr>
          <w:t>Greater London</w:t>
        </w:r>
      </w:hyperlink>
      <w:r>
        <w:t>.</w:t>
      </w:r>
    </w:p>
    <w:p w:rsidR="00682250" w:rsidRDefault="00682250" w:rsidP="00682250">
      <w:pPr>
        <w:numPr>
          <w:ilvl w:val="0"/>
          <w:numId w:val="6"/>
        </w:numPr>
        <w:spacing w:before="100" w:beforeAutospacing="1" w:after="100" w:afterAutospacing="1" w:line="240" w:lineRule="auto"/>
      </w:pPr>
      <w:r>
        <w:t>Established 2005</w:t>
      </w:r>
      <w:r w:rsidR="00C057C9">
        <w:t>, calculated since 2006</w:t>
      </w:r>
    </w:p>
    <w:p w:rsidR="00682250" w:rsidRDefault="00682250" w:rsidP="00682250">
      <w:pPr>
        <w:spacing w:before="100" w:beforeAutospacing="1" w:after="100" w:afterAutospacing="1" w:line="240" w:lineRule="auto"/>
      </w:pPr>
      <w:r w:rsidRPr="00682250">
        <w:rPr>
          <w:b/>
        </w:rPr>
        <w:t>Calculating the London Living Wage</w:t>
      </w:r>
      <w:r>
        <w:t xml:space="preserve">: See: </w:t>
      </w:r>
      <w:hyperlink r:id="rId15" w:history="1">
        <w:r w:rsidRPr="00D74EC7">
          <w:rPr>
            <w:rStyle w:val="Hyperlink"/>
          </w:rPr>
          <w:t>http://www.london.gov.uk/sites/default/files/living-wage-2013.pdf</w:t>
        </w:r>
      </w:hyperlink>
    </w:p>
    <w:p w:rsidR="00682250" w:rsidRDefault="00682250" w:rsidP="00682250">
      <w:pPr>
        <w:pStyle w:val="ListParagraph"/>
        <w:numPr>
          <w:ilvl w:val="0"/>
          <w:numId w:val="6"/>
        </w:numPr>
        <w:spacing w:before="100" w:beforeAutospacing="1" w:after="100" w:afterAutospacing="1" w:line="240" w:lineRule="auto"/>
      </w:pPr>
      <w:r w:rsidRPr="00682250">
        <w:rPr>
          <w:rFonts w:eastAsia="Times New Roman" w:cs="Arial"/>
          <w:lang w:eastAsia="en-GB"/>
        </w:rPr>
        <w:t xml:space="preserve">Since 2006 the Greater London Authority Group has calculated the Living Wage by a combination of two approaches. The </w:t>
      </w:r>
      <w:r w:rsidRPr="00682250">
        <w:rPr>
          <w:rFonts w:eastAsia="Times New Roman" w:cs="Courier New"/>
          <w:lang w:eastAsia="en-GB"/>
        </w:rPr>
        <w:t xml:space="preserve">first, </w:t>
      </w:r>
      <w:r w:rsidRPr="00682250">
        <w:rPr>
          <w:rFonts w:eastAsia="Times New Roman" w:cs="Arial"/>
          <w:lang w:eastAsia="en-GB"/>
        </w:rPr>
        <w:t xml:space="preserve">developed by the Family Budget Unit (FBU), estimates the costs of a ‘Low Cost but Acceptable’ (LCA) budget for a selection of households and calculates the wage required to meet these costs. This is termed the “Basic Living Costs” approach. The second – the “Income Distribution” approach – simply identifies the median income for London (appropriately weighted for 11 household types) and then takes 60 per cent of it. The Basic Living Costs approach yields an hourly wage of £7.45 per hour and the Income Distribution approach one of £7.90. The average of these two wages (called the “poverty threshold wage”) is £7.65 per hour. In order to protect against unforeseen events a margin of 15 per cent is added to the poverty threshold wage. This gives a </w:t>
      </w:r>
      <w:r w:rsidRPr="00682250">
        <w:rPr>
          <w:rFonts w:eastAsia="Times New Roman" w:cs="Courier New"/>
          <w:lang w:eastAsia="en-GB"/>
        </w:rPr>
        <w:t>fi</w:t>
      </w:r>
      <w:r w:rsidRPr="00682250">
        <w:rPr>
          <w:rFonts w:eastAsia="Times New Roman" w:cs="Arial"/>
          <w:lang w:eastAsia="en-GB"/>
        </w:rPr>
        <w:t xml:space="preserve">gure of £8.80per hour (when rounded to the nearest </w:t>
      </w:r>
      <w:r w:rsidRPr="00682250">
        <w:rPr>
          <w:rFonts w:eastAsia="Times New Roman" w:cs="Courier New"/>
          <w:lang w:eastAsia="en-GB"/>
        </w:rPr>
        <w:t>fi</w:t>
      </w:r>
      <w:r w:rsidRPr="00682250">
        <w:rPr>
          <w:rFonts w:eastAsia="Times New Roman" w:cs="Arial"/>
          <w:lang w:eastAsia="en-GB"/>
        </w:rPr>
        <w:t>ve pence) as the London Living Wage. If means-tested bene</w:t>
      </w:r>
      <w:r w:rsidRPr="00682250">
        <w:rPr>
          <w:rFonts w:eastAsia="Times New Roman" w:cs="Courier New"/>
          <w:lang w:eastAsia="en-GB"/>
        </w:rPr>
        <w:t>fi</w:t>
      </w:r>
      <w:r w:rsidRPr="00682250">
        <w:rPr>
          <w:rFonts w:eastAsia="Times New Roman" w:cs="Arial"/>
          <w:lang w:eastAsia="en-GB"/>
        </w:rPr>
        <w:t>ts were not taken into account (that is, tax credits, housing bene</w:t>
      </w:r>
      <w:r w:rsidRPr="00682250">
        <w:rPr>
          <w:rFonts w:eastAsia="Times New Roman" w:cs="Courier New"/>
          <w:lang w:eastAsia="en-GB"/>
        </w:rPr>
        <w:t>fi</w:t>
      </w:r>
      <w:r w:rsidRPr="00682250">
        <w:rPr>
          <w:rFonts w:eastAsia="Times New Roman" w:cs="Arial"/>
          <w:lang w:eastAsia="en-GB"/>
        </w:rPr>
        <w:t>ts and council tax bene</w:t>
      </w:r>
      <w:r w:rsidRPr="00682250">
        <w:rPr>
          <w:rFonts w:eastAsia="Times New Roman" w:cs="Courier New"/>
          <w:lang w:eastAsia="en-GB"/>
        </w:rPr>
        <w:t>fi</w:t>
      </w:r>
      <w:r w:rsidRPr="00682250">
        <w:rPr>
          <w:rFonts w:eastAsia="Times New Roman" w:cs="Arial"/>
          <w:lang w:eastAsia="en-GB"/>
        </w:rPr>
        <w:t>ts) the Living Wage would be approximately £11.30 per hour. However we believe that in-work benef</w:t>
      </w:r>
      <w:r w:rsidRPr="00682250">
        <w:rPr>
          <w:rFonts w:eastAsia="Times New Roman" w:cs="Courier New"/>
          <w:lang w:eastAsia="en-GB"/>
        </w:rPr>
        <w:t>i</w:t>
      </w:r>
      <w:r w:rsidRPr="00682250">
        <w:rPr>
          <w:rFonts w:eastAsia="Times New Roman" w:cs="Arial"/>
          <w:lang w:eastAsia="en-GB"/>
        </w:rPr>
        <w:t>ts and tax credits must be taken into account, as the tax and bene</w:t>
      </w:r>
      <w:r w:rsidRPr="00682250">
        <w:rPr>
          <w:rFonts w:eastAsia="Times New Roman" w:cs="Courier New"/>
          <w:lang w:eastAsia="en-GB"/>
        </w:rPr>
        <w:t>fi</w:t>
      </w:r>
      <w:r w:rsidRPr="00682250">
        <w:rPr>
          <w:rFonts w:eastAsia="Times New Roman" w:cs="Arial"/>
          <w:lang w:eastAsia="en-GB"/>
        </w:rPr>
        <w:t>t system is, by design, redistributive.</w:t>
      </w:r>
    </w:p>
    <w:p w:rsidR="00682250" w:rsidRPr="00682250" w:rsidRDefault="00682250" w:rsidP="00682250">
      <w:pPr>
        <w:spacing w:before="100" w:beforeAutospacing="1" w:after="100" w:afterAutospacing="1" w:line="240" w:lineRule="auto"/>
        <w:rPr>
          <w:b/>
          <w:sz w:val="28"/>
          <w:szCs w:val="28"/>
        </w:rPr>
      </w:pPr>
      <w:r w:rsidRPr="00682250">
        <w:rPr>
          <w:b/>
          <w:sz w:val="28"/>
          <w:szCs w:val="28"/>
        </w:rPr>
        <w:t>The UK Living Wage for outside of London</w:t>
      </w:r>
    </w:p>
    <w:p w:rsidR="00682250" w:rsidRDefault="00682250" w:rsidP="006C7AEA">
      <w:pPr>
        <w:numPr>
          <w:ilvl w:val="0"/>
          <w:numId w:val="8"/>
        </w:numPr>
        <w:spacing w:before="100" w:beforeAutospacing="1" w:after="100" w:afterAutospacing="1" w:line="240" w:lineRule="auto"/>
      </w:pPr>
      <w:r>
        <w:t>The UK Living Wage for outside of London is currently £7.65 per hour.</w:t>
      </w:r>
    </w:p>
    <w:p w:rsidR="00682250" w:rsidRDefault="00682250" w:rsidP="006C7AEA">
      <w:pPr>
        <w:numPr>
          <w:ilvl w:val="0"/>
          <w:numId w:val="8"/>
        </w:numPr>
        <w:spacing w:before="100" w:beforeAutospacing="1" w:after="100" w:afterAutospacing="1" w:line="240" w:lineRule="auto"/>
      </w:pPr>
      <w:r>
        <w:t>The UK rate is set differently than the London Living Wage. It is set annually by the Living Wage Foundation and calculated by the Centre for Research in Social Policy at Loughborough University.</w:t>
      </w:r>
    </w:p>
    <w:p w:rsidR="006C7AEA" w:rsidRDefault="006C7AEA" w:rsidP="006C7AEA">
      <w:pPr>
        <w:numPr>
          <w:ilvl w:val="0"/>
          <w:numId w:val="8"/>
        </w:numPr>
        <w:spacing w:before="100" w:beforeAutospacing="1" w:after="100" w:afterAutospacing="1" w:line="240" w:lineRule="auto"/>
      </w:pPr>
      <w:r w:rsidRPr="00E2232F">
        <w:t>The Living Wage figures are announced simultaneously in the first week of November of each year, during Living Wage Week.</w:t>
      </w:r>
    </w:p>
    <w:p w:rsidR="006C7AEA" w:rsidRDefault="006C7AEA" w:rsidP="006C7AEA">
      <w:pPr>
        <w:pStyle w:val="ListParagraph"/>
        <w:numPr>
          <w:ilvl w:val="0"/>
          <w:numId w:val="8"/>
        </w:numPr>
        <w:spacing w:before="100" w:beforeAutospacing="1" w:after="100" w:afterAutospacing="1" w:line="240" w:lineRule="auto"/>
      </w:pPr>
      <w:r>
        <w:t xml:space="preserve">There is a Scottish Living Wage campaign led by Poverty Alliance (EAPN in Scotland). See: </w:t>
      </w:r>
      <w:hyperlink r:id="rId16" w:history="1">
        <w:r w:rsidRPr="00B91A4B">
          <w:rPr>
            <w:rStyle w:val="Hyperlink"/>
          </w:rPr>
          <w:t>http://slw.povertyalliance.org/</w:t>
        </w:r>
      </w:hyperlink>
      <w:r>
        <w:t>; it also uses the CRSP calculations</w:t>
      </w:r>
    </w:p>
    <w:p w:rsidR="00682250" w:rsidRPr="00682250" w:rsidRDefault="00682250" w:rsidP="00682250">
      <w:pPr>
        <w:pStyle w:val="NormalWeb"/>
        <w:rPr>
          <w:rFonts w:asciiTheme="minorHAnsi" w:hAnsiTheme="minorHAnsi"/>
          <w:b/>
          <w:sz w:val="22"/>
          <w:szCs w:val="22"/>
        </w:rPr>
      </w:pPr>
      <w:r w:rsidRPr="00682250">
        <w:rPr>
          <w:rFonts w:asciiTheme="minorHAnsi" w:hAnsiTheme="minorHAnsi"/>
          <w:b/>
          <w:sz w:val="22"/>
          <w:szCs w:val="22"/>
        </w:rPr>
        <w:t>Extract from the website</w:t>
      </w:r>
    </w:p>
    <w:p w:rsidR="00682250" w:rsidRPr="00B5456C" w:rsidRDefault="00682250" w:rsidP="006C7AEA">
      <w:pPr>
        <w:pStyle w:val="NormalWeb"/>
        <w:numPr>
          <w:ilvl w:val="0"/>
          <w:numId w:val="7"/>
        </w:numPr>
        <w:rPr>
          <w:rFonts w:asciiTheme="minorHAnsi" w:hAnsiTheme="minorHAnsi"/>
          <w:sz w:val="22"/>
          <w:szCs w:val="22"/>
        </w:rPr>
      </w:pPr>
      <w:r w:rsidRPr="00B5456C">
        <w:rPr>
          <w:rFonts w:asciiTheme="minorHAnsi" w:hAnsiTheme="minorHAnsi"/>
          <w:sz w:val="22"/>
          <w:szCs w:val="22"/>
        </w:rPr>
        <w:t>The </w:t>
      </w:r>
      <w:hyperlink r:id="rId17" w:tgtFrame="_blank" w:tooltip="Centre for Research in Social Policy" w:history="1">
        <w:r w:rsidRPr="00B5456C">
          <w:rPr>
            <w:rStyle w:val="Hyperlink"/>
            <w:rFonts w:asciiTheme="minorHAnsi" w:hAnsiTheme="minorHAnsi"/>
            <w:sz w:val="22"/>
            <w:szCs w:val="22"/>
          </w:rPr>
          <w:t>Centre for Research in Social Policy</w:t>
        </w:r>
      </w:hyperlink>
      <w:r w:rsidRPr="00B5456C">
        <w:rPr>
          <w:rFonts w:asciiTheme="minorHAnsi" w:hAnsiTheme="minorHAnsi"/>
          <w:sz w:val="22"/>
          <w:szCs w:val="22"/>
        </w:rPr>
        <w:t> (CRSP) funded by the </w:t>
      </w:r>
      <w:hyperlink r:id="rId18" w:tgtFrame="_blank" w:tooltip="Joseph Rowntree Foundation" w:history="1">
        <w:r w:rsidRPr="00B5456C">
          <w:rPr>
            <w:rStyle w:val="Hyperlink"/>
            <w:rFonts w:asciiTheme="minorHAnsi" w:hAnsiTheme="minorHAnsi"/>
            <w:sz w:val="22"/>
            <w:szCs w:val="22"/>
          </w:rPr>
          <w:t>Joseph Rowntree Foundation</w:t>
        </w:r>
      </w:hyperlink>
      <w:r w:rsidRPr="00B5456C">
        <w:rPr>
          <w:rFonts w:asciiTheme="minorHAnsi" w:hAnsiTheme="minorHAnsi"/>
          <w:sz w:val="22"/>
          <w:szCs w:val="22"/>
        </w:rPr>
        <w:t> began calculating a UK wide </w:t>
      </w:r>
      <w:hyperlink r:id="rId19" w:tgtFrame="_blank" w:tooltip="Miniumum Income Standard" w:history="1">
        <w:r w:rsidRPr="00B5456C">
          <w:rPr>
            <w:rStyle w:val="Hyperlink"/>
            <w:rFonts w:asciiTheme="minorHAnsi" w:hAnsiTheme="minorHAnsi"/>
            <w:sz w:val="22"/>
            <w:szCs w:val="22"/>
          </w:rPr>
          <w:t>Minimum Income Standard</w:t>
        </w:r>
      </w:hyperlink>
      <w:r w:rsidRPr="00B5456C">
        <w:rPr>
          <w:rFonts w:asciiTheme="minorHAnsi" w:hAnsiTheme="minorHAnsi"/>
          <w:sz w:val="22"/>
          <w:szCs w:val="22"/>
        </w:rPr>
        <w:t> (MIS) figure. The MIS is an average across the whole of the UK, but does not reflect the variation in the cost of living inside and outside of London.</w:t>
      </w:r>
    </w:p>
    <w:p w:rsidR="00682250" w:rsidRPr="00B5456C" w:rsidRDefault="00682250" w:rsidP="006C7AEA">
      <w:pPr>
        <w:pStyle w:val="NormalWeb"/>
        <w:numPr>
          <w:ilvl w:val="0"/>
          <w:numId w:val="7"/>
        </w:numPr>
        <w:rPr>
          <w:rFonts w:asciiTheme="minorHAnsi" w:hAnsiTheme="minorHAnsi"/>
          <w:sz w:val="22"/>
          <w:szCs w:val="22"/>
        </w:rPr>
      </w:pPr>
      <w:r w:rsidRPr="00B5456C">
        <w:rPr>
          <w:rFonts w:asciiTheme="minorHAnsi" w:hAnsiTheme="minorHAnsi"/>
          <w:sz w:val="22"/>
          <w:szCs w:val="22"/>
        </w:rPr>
        <w:t>In 2011 Citizens UK brought together grass roots campaigners and leading employers from across the UK, working closely with colleagues on the </w:t>
      </w:r>
      <w:hyperlink r:id="rId20" w:tgtFrame="_blank" w:tooltip="Scottish Living Wage Campaign" w:history="1">
        <w:r w:rsidRPr="00B5456C">
          <w:rPr>
            <w:rStyle w:val="Hyperlink"/>
            <w:rFonts w:asciiTheme="minorHAnsi" w:hAnsiTheme="minorHAnsi"/>
            <w:sz w:val="22"/>
            <w:szCs w:val="22"/>
          </w:rPr>
          <w:t>Scottish Living Wage Campaign</w:t>
        </w:r>
      </w:hyperlink>
      <w:r w:rsidRPr="00B5456C">
        <w:rPr>
          <w:rFonts w:asciiTheme="minorHAnsi" w:hAnsiTheme="minorHAnsi"/>
          <w:sz w:val="22"/>
          <w:szCs w:val="22"/>
        </w:rPr>
        <w:t xml:space="preserve"> in particular, to agree a standard model, calculated by the CRSP, for setting the </w:t>
      </w:r>
      <w:hyperlink r:id="rId21" w:tgtFrame="_blank" w:tooltip="UK Living Wage" w:history="1">
        <w:r w:rsidRPr="00B5456C">
          <w:rPr>
            <w:rStyle w:val="Hyperlink"/>
            <w:rFonts w:asciiTheme="minorHAnsi" w:hAnsiTheme="minorHAnsi"/>
            <w:sz w:val="22"/>
            <w:szCs w:val="22"/>
          </w:rPr>
          <w:t>UK Living Wage</w:t>
        </w:r>
      </w:hyperlink>
      <w:r w:rsidRPr="00B5456C">
        <w:rPr>
          <w:rFonts w:asciiTheme="minorHAnsi" w:hAnsiTheme="minorHAnsi"/>
          <w:sz w:val="22"/>
          <w:szCs w:val="22"/>
        </w:rPr>
        <w:t> outside of London. </w:t>
      </w:r>
    </w:p>
    <w:p w:rsidR="00682250" w:rsidRPr="00B5456C" w:rsidRDefault="00682250" w:rsidP="006C7AEA">
      <w:pPr>
        <w:pStyle w:val="NormalWeb"/>
        <w:numPr>
          <w:ilvl w:val="0"/>
          <w:numId w:val="7"/>
        </w:numPr>
        <w:rPr>
          <w:rFonts w:asciiTheme="minorHAnsi" w:hAnsiTheme="minorHAnsi"/>
          <w:sz w:val="22"/>
          <w:szCs w:val="22"/>
        </w:rPr>
      </w:pPr>
      <w:r w:rsidRPr="00B5456C">
        <w:rPr>
          <w:rFonts w:asciiTheme="minorHAnsi" w:hAnsiTheme="minorHAnsi"/>
          <w:sz w:val="22"/>
          <w:szCs w:val="22"/>
        </w:rPr>
        <w:t>At the same time, following consultation with campaigners, trade unions, employers who support the Living Wage and HR specialists, Citizens UK launched the Living Wage Foundation and Living Wage Employer mark.</w:t>
      </w:r>
    </w:p>
    <w:p w:rsidR="00682250" w:rsidRPr="00B5456C" w:rsidRDefault="00682250" w:rsidP="006C7AEA">
      <w:pPr>
        <w:pStyle w:val="NormalWeb"/>
        <w:numPr>
          <w:ilvl w:val="0"/>
          <w:numId w:val="7"/>
        </w:numPr>
        <w:rPr>
          <w:rFonts w:asciiTheme="minorHAnsi" w:hAnsiTheme="minorHAnsi"/>
          <w:sz w:val="22"/>
          <w:szCs w:val="22"/>
        </w:rPr>
      </w:pPr>
      <w:r w:rsidRPr="00B5456C">
        <w:rPr>
          <w:rFonts w:asciiTheme="minorHAnsi" w:hAnsiTheme="minorHAnsi"/>
          <w:sz w:val="22"/>
          <w:szCs w:val="22"/>
        </w:rPr>
        <w:t>These new initiatives from the UK wide campaign recognise and celebrate the responsible leadership shown by Living Wage Employers and support employers to incorporate the Living Wage into organisational structures long term.</w:t>
      </w:r>
    </w:p>
    <w:p w:rsidR="00682250" w:rsidRPr="00B5456C" w:rsidRDefault="00682250" w:rsidP="006C7AEA">
      <w:pPr>
        <w:pStyle w:val="NormalWeb"/>
        <w:numPr>
          <w:ilvl w:val="0"/>
          <w:numId w:val="7"/>
        </w:numPr>
        <w:rPr>
          <w:rFonts w:asciiTheme="minorHAnsi" w:hAnsiTheme="minorHAnsi"/>
          <w:sz w:val="22"/>
          <w:szCs w:val="22"/>
        </w:rPr>
      </w:pPr>
      <w:r w:rsidRPr="00B5456C">
        <w:rPr>
          <w:rFonts w:asciiTheme="minorHAnsi" w:hAnsiTheme="minorHAnsi"/>
          <w:sz w:val="22"/>
          <w:szCs w:val="22"/>
        </w:rPr>
        <w:t>Since 2001 the campaign has impacted tens of thousands of employees and put over £210 million into the pockets of some of the lowest paid workers in the UK.</w:t>
      </w:r>
    </w:p>
    <w:p w:rsidR="00682250" w:rsidRDefault="00682250" w:rsidP="006C7AEA">
      <w:pPr>
        <w:pStyle w:val="NormalWeb"/>
        <w:numPr>
          <w:ilvl w:val="0"/>
          <w:numId w:val="7"/>
        </w:numPr>
      </w:pPr>
      <w:r w:rsidRPr="00B5456C">
        <w:rPr>
          <w:rFonts w:asciiTheme="minorHAnsi" w:hAnsiTheme="minorHAnsi"/>
          <w:sz w:val="22"/>
          <w:szCs w:val="22"/>
        </w:rPr>
        <w:t>Paying the Living Wage is a recognised sign of good practice in employment</w:t>
      </w:r>
      <w:r>
        <w:t>.</w:t>
      </w:r>
    </w:p>
    <w:p w:rsidR="006C7AEA" w:rsidRDefault="006C7AEA" w:rsidP="006C7AEA">
      <w:pPr>
        <w:pStyle w:val="NormalWeb"/>
        <w:rPr>
          <w:rFonts w:asciiTheme="minorHAnsi" w:hAnsiTheme="minorHAnsi"/>
          <w:sz w:val="22"/>
          <w:szCs w:val="22"/>
        </w:rPr>
      </w:pPr>
      <w:r w:rsidRPr="006C7AEA">
        <w:rPr>
          <w:rFonts w:asciiTheme="minorHAnsi" w:hAnsiTheme="minorHAnsi"/>
          <w:b/>
          <w:sz w:val="22"/>
          <w:szCs w:val="22"/>
        </w:rPr>
        <w:t>Calculating the UK Living Wage (except London):</w:t>
      </w:r>
      <w:r>
        <w:rPr>
          <w:rFonts w:asciiTheme="minorHAnsi" w:hAnsiTheme="minorHAnsi"/>
          <w:sz w:val="22"/>
          <w:szCs w:val="22"/>
        </w:rPr>
        <w:t xml:space="preserve"> See: </w:t>
      </w:r>
      <w:hyperlink r:id="rId22" w:history="1">
        <w:r w:rsidRPr="00B91A4B">
          <w:rPr>
            <w:rStyle w:val="Hyperlink"/>
            <w:rFonts w:asciiTheme="minorHAnsi" w:hAnsiTheme="minorHAnsi"/>
            <w:sz w:val="22"/>
            <w:szCs w:val="22"/>
          </w:rPr>
          <w:t>http://slw.povertyalliance.org/about/how_is_it_worked_out</w:t>
        </w:r>
      </w:hyperlink>
    </w:p>
    <w:p w:rsidR="006C7AEA" w:rsidRPr="006C7AEA" w:rsidRDefault="006C7AEA" w:rsidP="00682250">
      <w:pPr>
        <w:pStyle w:val="NormalWeb"/>
        <w:rPr>
          <w:rFonts w:asciiTheme="minorHAnsi" w:hAnsiTheme="minorHAnsi"/>
          <w:b/>
          <w:sz w:val="22"/>
          <w:szCs w:val="22"/>
        </w:rPr>
      </w:pPr>
      <w:r w:rsidRPr="006C7AEA">
        <w:rPr>
          <w:rFonts w:asciiTheme="minorHAnsi" w:hAnsiTheme="minorHAnsi"/>
          <w:b/>
          <w:sz w:val="22"/>
          <w:szCs w:val="22"/>
        </w:rPr>
        <w:t>Extract from the website</w:t>
      </w:r>
    </w:p>
    <w:p w:rsidR="00682250" w:rsidRPr="00B91A4B" w:rsidRDefault="00682250" w:rsidP="006C7AEA">
      <w:pPr>
        <w:pStyle w:val="NormalWeb"/>
        <w:numPr>
          <w:ilvl w:val="0"/>
          <w:numId w:val="9"/>
        </w:numPr>
        <w:rPr>
          <w:rFonts w:asciiTheme="minorHAnsi" w:hAnsiTheme="minorHAnsi"/>
          <w:sz w:val="22"/>
          <w:szCs w:val="22"/>
        </w:rPr>
      </w:pPr>
      <w:r w:rsidRPr="00B91A4B">
        <w:rPr>
          <w:rFonts w:asciiTheme="minorHAnsi" w:hAnsiTheme="minorHAnsi"/>
          <w:sz w:val="22"/>
          <w:szCs w:val="22"/>
        </w:rPr>
        <w:t>The calculation is based on the Minimum Income Standard for the United Kingdom, the product of research by CRSP and funded by the Joseph Rowntree Foundation.</w:t>
      </w:r>
      <w:r w:rsidRPr="00B91A4B">
        <w:rPr>
          <w:rFonts w:asciiTheme="minorHAnsi" w:hAnsiTheme="minorHAnsi"/>
          <w:noProof/>
          <w:sz w:val="22"/>
          <w:szCs w:val="22"/>
          <w:lang w:val="fr-BE" w:eastAsia="fr-BE"/>
        </w:rPr>
        <w:drawing>
          <wp:inline distT="0" distB="0" distL="0" distR="0">
            <wp:extent cx="3561080" cy="1525905"/>
            <wp:effectExtent l="19050" t="0" r="1270" b="0"/>
            <wp:docPr id="2" name="Picture 6" descr="http://slw.povertyalliance.org/userfiles/images/163186_178677552170272_7512559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w.povertyalliance.org/userfiles/images/163186_178677552170272_7512559_n.jpg"/>
                    <pic:cNvPicPr>
                      <a:picLocks noChangeAspect="1" noChangeArrowheads="1"/>
                    </pic:cNvPicPr>
                  </pic:nvPicPr>
                  <pic:blipFill>
                    <a:blip r:embed="rId23" cstate="print"/>
                    <a:srcRect/>
                    <a:stretch>
                      <a:fillRect/>
                    </a:stretch>
                  </pic:blipFill>
                  <pic:spPr bwMode="auto">
                    <a:xfrm>
                      <a:off x="0" y="0"/>
                      <a:ext cx="3561080" cy="1525905"/>
                    </a:xfrm>
                    <a:prstGeom prst="rect">
                      <a:avLst/>
                    </a:prstGeom>
                    <a:noFill/>
                    <a:ln w="9525">
                      <a:noFill/>
                      <a:miter lim="800000"/>
                      <a:headEnd/>
                      <a:tailEnd/>
                    </a:ln>
                  </pic:spPr>
                </pic:pic>
              </a:graphicData>
            </a:graphic>
          </wp:inline>
        </w:drawing>
      </w:r>
    </w:p>
    <w:p w:rsidR="00682250" w:rsidRPr="00B91A4B" w:rsidRDefault="00682250" w:rsidP="006C7AEA">
      <w:pPr>
        <w:pStyle w:val="NormalWeb"/>
        <w:numPr>
          <w:ilvl w:val="0"/>
          <w:numId w:val="9"/>
        </w:numPr>
        <w:rPr>
          <w:rFonts w:asciiTheme="minorHAnsi" w:hAnsiTheme="minorHAnsi"/>
          <w:sz w:val="22"/>
          <w:szCs w:val="22"/>
        </w:rPr>
      </w:pPr>
      <w:r w:rsidRPr="00B91A4B">
        <w:rPr>
          <w:rFonts w:asciiTheme="minorHAnsi" w:hAnsiTheme="minorHAnsi"/>
          <w:sz w:val="22"/>
          <w:szCs w:val="22"/>
        </w:rPr>
        <w:t>CRSP's research looks in detail at what households need in order to have a minimum acceptable standard of living and includes things such as food, clothing, rent, council tax, fuel for heating your home and childcare (if applicable).</w:t>
      </w:r>
    </w:p>
    <w:p w:rsidR="00682250" w:rsidRPr="00B91A4B" w:rsidRDefault="00682250" w:rsidP="006C7AEA">
      <w:pPr>
        <w:pStyle w:val="NormalWeb"/>
        <w:numPr>
          <w:ilvl w:val="0"/>
          <w:numId w:val="9"/>
        </w:numPr>
        <w:rPr>
          <w:rFonts w:asciiTheme="minorHAnsi" w:hAnsiTheme="minorHAnsi"/>
          <w:sz w:val="22"/>
          <w:szCs w:val="22"/>
        </w:rPr>
      </w:pPr>
      <w:r w:rsidRPr="00B91A4B">
        <w:rPr>
          <w:rFonts w:asciiTheme="minorHAnsi" w:hAnsiTheme="minorHAnsi"/>
          <w:sz w:val="22"/>
          <w:szCs w:val="22"/>
        </w:rPr>
        <w:t>What is included in this minimum standard is decided upon by groups of members of the public. The costs of these items are then sourced from national providers and chains. Therefore, the LW is rooted in social consensus about what people need to makes ends meet.</w:t>
      </w:r>
    </w:p>
    <w:p w:rsidR="00682250" w:rsidRPr="00B91A4B" w:rsidRDefault="00682250" w:rsidP="006C7AEA">
      <w:pPr>
        <w:pStyle w:val="NormalWeb"/>
        <w:numPr>
          <w:ilvl w:val="0"/>
          <w:numId w:val="9"/>
        </w:numPr>
        <w:rPr>
          <w:rFonts w:asciiTheme="minorHAnsi" w:hAnsiTheme="minorHAnsi"/>
          <w:sz w:val="22"/>
          <w:szCs w:val="22"/>
        </w:rPr>
      </w:pPr>
      <w:r w:rsidRPr="00B91A4B">
        <w:rPr>
          <w:rFonts w:asciiTheme="minorHAnsi" w:hAnsiTheme="minorHAnsi"/>
          <w:sz w:val="22"/>
          <w:szCs w:val="22"/>
        </w:rPr>
        <w:t>The research recognises that different types of households require different levels of minimum income and a specific figure is worked out for each household type (single people or couples, living with or without children).</w:t>
      </w:r>
    </w:p>
    <w:p w:rsidR="00682250" w:rsidRPr="00B91A4B" w:rsidRDefault="00682250" w:rsidP="006C7AEA">
      <w:pPr>
        <w:pStyle w:val="NormalWeb"/>
        <w:numPr>
          <w:ilvl w:val="0"/>
          <w:numId w:val="9"/>
        </w:numPr>
        <w:rPr>
          <w:rFonts w:asciiTheme="minorHAnsi" w:hAnsiTheme="minorHAnsi"/>
          <w:sz w:val="22"/>
          <w:szCs w:val="22"/>
        </w:rPr>
      </w:pPr>
      <w:r w:rsidRPr="00B91A4B">
        <w:rPr>
          <w:rFonts w:asciiTheme="minorHAnsi" w:hAnsiTheme="minorHAnsi"/>
          <w:sz w:val="22"/>
          <w:szCs w:val="22"/>
        </w:rPr>
        <w:t>A type of average is then calculated from the different figures to give us the minimum that each adult in the household needs to earn per hour to cover the basic standard of living.</w:t>
      </w:r>
    </w:p>
    <w:p w:rsidR="00682250" w:rsidRPr="00B91A4B" w:rsidRDefault="00682250" w:rsidP="006C7AEA">
      <w:pPr>
        <w:pStyle w:val="NormalWeb"/>
        <w:numPr>
          <w:ilvl w:val="0"/>
          <w:numId w:val="9"/>
        </w:numPr>
        <w:rPr>
          <w:rFonts w:asciiTheme="minorHAnsi" w:hAnsiTheme="minorHAnsi"/>
          <w:sz w:val="22"/>
          <w:szCs w:val="22"/>
        </w:rPr>
      </w:pPr>
      <w:r w:rsidRPr="00B91A4B">
        <w:rPr>
          <w:rFonts w:asciiTheme="minorHAnsi" w:hAnsiTheme="minorHAnsi"/>
          <w:sz w:val="22"/>
          <w:szCs w:val="22"/>
        </w:rPr>
        <w:t>JRF have produced a video about the Minimum Income Standard and low-pay, which clearly shows the problems that arise when wages to do not increase with inflation. When we see that wages have only increased on average by 8% over the past 6 years, but rent has increased by 32% and energy by 45%, no one needs to get the calculator out to see that something isn't going to add up.</w:t>
      </w:r>
    </w:p>
    <w:p w:rsidR="00EA5514" w:rsidRPr="00024B75" w:rsidRDefault="00EA5514"/>
    <w:sectPr w:rsidR="00EA5514" w:rsidRPr="00024B75" w:rsidSect="00EA5514">
      <w:headerReference w:type="default" r:id="rId24"/>
      <w:footerReference w:type="defaul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553B" w:rsidRDefault="002A553B" w:rsidP="000C5C37">
      <w:pPr>
        <w:spacing w:after="0" w:line="240" w:lineRule="auto"/>
      </w:pPr>
      <w:r>
        <w:separator/>
      </w:r>
    </w:p>
  </w:endnote>
  <w:endnote w:type="continuationSeparator" w:id="0">
    <w:p w:rsidR="002A553B" w:rsidRDefault="002A553B" w:rsidP="000C5C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12089"/>
      <w:docPartObj>
        <w:docPartGallery w:val="Page Numbers (Bottom of Page)"/>
        <w:docPartUnique/>
      </w:docPartObj>
    </w:sdtPr>
    <w:sdtEndPr/>
    <w:sdtContent>
      <w:p w:rsidR="00FB45DF" w:rsidRDefault="0031768B">
        <w:pPr>
          <w:pStyle w:val="Footer"/>
          <w:jc w:val="center"/>
        </w:pPr>
        <w:r>
          <w:fldChar w:fldCharType="begin"/>
        </w:r>
        <w:r>
          <w:instrText xml:space="preserve"> PAGE   \* MERGEFORMAT </w:instrText>
        </w:r>
        <w:r>
          <w:fldChar w:fldCharType="separate"/>
        </w:r>
        <w:r w:rsidR="00AA0B80">
          <w:rPr>
            <w:noProof/>
          </w:rPr>
          <w:t>1</w:t>
        </w:r>
        <w:r>
          <w:rPr>
            <w:noProof/>
          </w:rPr>
          <w:fldChar w:fldCharType="end"/>
        </w:r>
      </w:p>
    </w:sdtContent>
  </w:sdt>
  <w:p w:rsidR="00FB45DF" w:rsidRDefault="00FB45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553B" w:rsidRDefault="002A553B" w:rsidP="000C5C37">
      <w:pPr>
        <w:spacing w:after="0" w:line="240" w:lineRule="auto"/>
      </w:pPr>
      <w:r>
        <w:separator/>
      </w:r>
    </w:p>
  </w:footnote>
  <w:footnote w:type="continuationSeparator" w:id="0">
    <w:p w:rsidR="002A553B" w:rsidRDefault="002A553B" w:rsidP="000C5C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5DF" w:rsidRDefault="00FB45DF">
    <w:pPr>
      <w:pStyle w:val="Header"/>
    </w:pPr>
    <w:r w:rsidRPr="000D5718">
      <w:rPr>
        <w:b/>
        <w:sz w:val="28"/>
        <w:szCs w:val="28"/>
      </w:rPr>
      <w:t>Response by EUISG member Katherine Duffy</w:t>
    </w:r>
  </w:p>
  <w:p w:rsidR="00FB45DF" w:rsidRDefault="00FB45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126F0"/>
    <w:multiLevelType w:val="hybridMultilevel"/>
    <w:tmpl w:val="E0B4D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281666"/>
    <w:multiLevelType w:val="hybridMultilevel"/>
    <w:tmpl w:val="03261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D138B8"/>
    <w:multiLevelType w:val="hybridMultilevel"/>
    <w:tmpl w:val="4D4259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96E5F87"/>
    <w:multiLevelType w:val="hybridMultilevel"/>
    <w:tmpl w:val="318056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81C1D34"/>
    <w:multiLevelType w:val="hybridMultilevel"/>
    <w:tmpl w:val="19CC0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9C8411E"/>
    <w:multiLevelType w:val="hybridMultilevel"/>
    <w:tmpl w:val="D7A443C2"/>
    <w:lvl w:ilvl="0" w:tplc="C61EE6BE">
      <w:start w:val="1"/>
      <w:numFmt w:val="bullet"/>
      <w:lvlText w:val="•"/>
      <w:lvlJc w:val="left"/>
      <w:pPr>
        <w:tabs>
          <w:tab w:val="num" w:pos="720"/>
        </w:tabs>
        <w:ind w:left="720" w:hanging="360"/>
      </w:pPr>
      <w:rPr>
        <w:rFonts w:ascii="Arial" w:hAnsi="Arial" w:hint="default"/>
      </w:rPr>
    </w:lvl>
    <w:lvl w:ilvl="1" w:tplc="C3AE7520" w:tentative="1">
      <w:start w:val="1"/>
      <w:numFmt w:val="bullet"/>
      <w:lvlText w:val="•"/>
      <w:lvlJc w:val="left"/>
      <w:pPr>
        <w:tabs>
          <w:tab w:val="num" w:pos="1440"/>
        </w:tabs>
        <w:ind w:left="1440" w:hanging="360"/>
      </w:pPr>
      <w:rPr>
        <w:rFonts w:ascii="Arial" w:hAnsi="Arial" w:hint="default"/>
      </w:rPr>
    </w:lvl>
    <w:lvl w:ilvl="2" w:tplc="B3A8D23A" w:tentative="1">
      <w:start w:val="1"/>
      <w:numFmt w:val="bullet"/>
      <w:lvlText w:val="•"/>
      <w:lvlJc w:val="left"/>
      <w:pPr>
        <w:tabs>
          <w:tab w:val="num" w:pos="2160"/>
        </w:tabs>
        <w:ind w:left="2160" w:hanging="360"/>
      </w:pPr>
      <w:rPr>
        <w:rFonts w:ascii="Arial" w:hAnsi="Arial" w:hint="default"/>
      </w:rPr>
    </w:lvl>
    <w:lvl w:ilvl="3" w:tplc="901AD07A" w:tentative="1">
      <w:start w:val="1"/>
      <w:numFmt w:val="bullet"/>
      <w:lvlText w:val="•"/>
      <w:lvlJc w:val="left"/>
      <w:pPr>
        <w:tabs>
          <w:tab w:val="num" w:pos="2880"/>
        </w:tabs>
        <w:ind w:left="2880" w:hanging="360"/>
      </w:pPr>
      <w:rPr>
        <w:rFonts w:ascii="Arial" w:hAnsi="Arial" w:hint="default"/>
      </w:rPr>
    </w:lvl>
    <w:lvl w:ilvl="4" w:tplc="79B0C9A8" w:tentative="1">
      <w:start w:val="1"/>
      <w:numFmt w:val="bullet"/>
      <w:lvlText w:val="•"/>
      <w:lvlJc w:val="left"/>
      <w:pPr>
        <w:tabs>
          <w:tab w:val="num" w:pos="3600"/>
        </w:tabs>
        <w:ind w:left="3600" w:hanging="360"/>
      </w:pPr>
      <w:rPr>
        <w:rFonts w:ascii="Arial" w:hAnsi="Arial" w:hint="default"/>
      </w:rPr>
    </w:lvl>
    <w:lvl w:ilvl="5" w:tplc="E7BE04BC" w:tentative="1">
      <w:start w:val="1"/>
      <w:numFmt w:val="bullet"/>
      <w:lvlText w:val="•"/>
      <w:lvlJc w:val="left"/>
      <w:pPr>
        <w:tabs>
          <w:tab w:val="num" w:pos="4320"/>
        </w:tabs>
        <w:ind w:left="4320" w:hanging="360"/>
      </w:pPr>
      <w:rPr>
        <w:rFonts w:ascii="Arial" w:hAnsi="Arial" w:hint="default"/>
      </w:rPr>
    </w:lvl>
    <w:lvl w:ilvl="6" w:tplc="1DE89C1E" w:tentative="1">
      <w:start w:val="1"/>
      <w:numFmt w:val="bullet"/>
      <w:lvlText w:val="•"/>
      <w:lvlJc w:val="left"/>
      <w:pPr>
        <w:tabs>
          <w:tab w:val="num" w:pos="5040"/>
        </w:tabs>
        <w:ind w:left="5040" w:hanging="360"/>
      </w:pPr>
      <w:rPr>
        <w:rFonts w:ascii="Arial" w:hAnsi="Arial" w:hint="default"/>
      </w:rPr>
    </w:lvl>
    <w:lvl w:ilvl="7" w:tplc="9C2A8CEA" w:tentative="1">
      <w:start w:val="1"/>
      <w:numFmt w:val="bullet"/>
      <w:lvlText w:val="•"/>
      <w:lvlJc w:val="left"/>
      <w:pPr>
        <w:tabs>
          <w:tab w:val="num" w:pos="5760"/>
        </w:tabs>
        <w:ind w:left="5760" w:hanging="360"/>
      </w:pPr>
      <w:rPr>
        <w:rFonts w:ascii="Arial" w:hAnsi="Arial" w:hint="default"/>
      </w:rPr>
    </w:lvl>
    <w:lvl w:ilvl="8" w:tplc="531CE64A" w:tentative="1">
      <w:start w:val="1"/>
      <w:numFmt w:val="bullet"/>
      <w:lvlText w:val="•"/>
      <w:lvlJc w:val="left"/>
      <w:pPr>
        <w:tabs>
          <w:tab w:val="num" w:pos="6480"/>
        </w:tabs>
        <w:ind w:left="6480" w:hanging="360"/>
      </w:pPr>
      <w:rPr>
        <w:rFonts w:ascii="Arial" w:hAnsi="Arial" w:hint="default"/>
      </w:rPr>
    </w:lvl>
  </w:abstractNum>
  <w:abstractNum w:abstractNumId="6">
    <w:nsid w:val="1CC86871"/>
    <w:multiLevelType w:val="hybridMultilevel"/>
    <w:tmpl w:val="12EA1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08C583E"/>
    <w:multiLevelType w:val="hybridMultilevel"/>
    <w:tmpl w:val="17C8C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20A0FD5"/>
    <w:multiLevelType w:val="hybridMultilevel"/>
    <w:tmpl w:val="0C488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EF0747B"/>
    <w:multiLevelType w:val="hybridMultilevel"/>
    <w:tmpl w:val="48728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3B0359B"/>
    <w:multiLevelType w:val="hybridMultilevel"/>
    <w:tmpl w:val="79C63CDA"/>
    <w:lvl w:ilvl="0" w:tplc="09C87E24">
      <w:start w:val="1"/>
      <w:numFmt w:val="bullet"/>
      <w:lvlText w:val="•"/>
      <w:lvlJc w:val="left"/>
      <w:pPr>
        <w:tabs>
          <w:tab w:val="num" w:pos="720"/>
        </w:tabs>
        <w:ind w:left="720" w:hanging="360"/>
      </w:pPr>
      <w:rPr>
        <w:rFonts w:ascii="Arial" w:hAnsi="Arial" w:hint="default"/>
      </w:rPr>
    </w:lvl>
    <w:lvl w:ilvl="1" w:tplc="BB10D718" w:tentative="1">
      <w:start w:val="1"/>
      <w:numFmt w:val="bullet"/>
      <w:lvlText w:val="•"/>
      <w:lvlJc w:val="left"/>
      <w:pPr>
        <w:tabs>
          <w:tab w:val="num" w:pos="1440"/>
        </w:tabs>
        <w:ind w:left="1440" w:hanging="360"/>
      </w:pPr>
      <w:rPr>
        <w:rFonts w:ascii="Arial" w:hAnsi="Arial" w:hint="default"/>
      </w:rPr>
    </w:lvl>
    <w:lvl w:ilvl="2" w:tplc="45BA42AC" w:tentative="1">
      <w:start w:val="1"/>
      <w:numFmt w:val="bullet"/>
      <w:lvlText w:val="•"/>
      <w:lvlJc w:val="left"/>
      <w:pPr>
        <w:tabs>
          <w:tab w:val="num" w:pos="2160"/>
        </w:tabs>
        <w:ind w:left="2160" w:hanging="360"/>
      </w:pPr>
      <w:rPr>
        <w:rFonts w:ascii="Arial" w:hAnsi="Arial" w:hint="default"/>
      </w:rPr>
    </w:lvl>
    <w:lvl w:ilvl="3" w:tplc="43462ACA" w:tentative="1">
      <w:start w:val="1"/>
      <w:numFmt w:val="bullet"/>
      <w:lvlText w:val="•"/>
      <w:lvlJc w:val="left"/>
      <w:pPr>
        <w:tabs>
          <w:tab w:val="num" w:pos="2880"/>
        </w:tabs>
        <w:ind w:left="2880" w:hanging="360"/>
      </w:pPr>
      <w:rPr>
        <w:rFonts w:ascii="Arial" w:hAnsi="Arial" w:hint="default"/>
      </w:rPr>
    </w:lvl>
    <w:lvl w:ilvl="4" w:tplc="EEBE7B0C" w:tentative="1">
      <w:start w:val="1"/>
      <w:numFmt w:val="bullet"/>
      <w:lvlText w:val="•"/>
      <w:lvlJc w:val="left"/>
      <w:pPr>
        <w:tabs>
          <w:tab w:val="num" w:pos="3600"/>
        </w:tabs>
        <w:ind w:left="3600" w:hanging="360"/>
      </w:pPr>
      <w:rPr>
        <w:rFonts w:ascii="Arial" w:hAnsi="Arial" w:hint="default"/>
      </w:rPr>
    </w:lvl>
    <w:lvl w:ilvl="5" w:tplc="0A08148A" w:tentative="1">
      <w:start w:val="1"/>
      <w:numFmt w:val="bullet"/>
      <w:lvlText w:val="•"/>
      <w:lvlJc w:val="left"/>
      <w:pPr>
        <w:tabs>
          <w:tab w:val="num" w:pos="4320"/>
        </w:tabs>
        <w:ind w:left="4320" w:hanging="360"/>
      </w:pPr>
      <w:rPr>
        <w:rFonts w:ascii="Arial" w:hAnsi="Arial" w:hint="default"/>
      </w:rPr>
    </w:lvl>
    <w:lvl w:ilvl="6" w:tplc="3E72F9B2" w:tentative="1">
      <w:start w:val="1"/>
      <w:numFmt w:val="bullet"/>
      <w:lvlText w:val="•"/>
      <w:lvlJc w:val="left"/>
      <w:pPr>
        <w:tabs>
          <w:tab w:val="num" w:pos="5040"/>
        </w:tabs>
        <w:ind w:left="5040" w:hanging="360"/>
      </w:pPr>
      <w:rPr>
        <w:rFonts w:ascii="Arial" w:hAnsi="Arial" w:hint="default"/>
      </w:rPr>
    </w:lvl>
    <w:lvl w:ilvl="7" w:tplc="EDAEC7B0" w:tentative="1">
      <w:start w:val="1"/>
      <w:numFmt w:val="bullet"/>
      <w:lvlText w:val="•"/>
      <w:lvlJc w:val="left"/>
      <w:pPr>
        <w:tabs>
          <w:tab w:val="num" w:pos="5760"/>
        </w:tabs>
        <w:ind w:left="5760" w:hanging="360"/>
      </w:pPr>
      <w:rPr>
        <w:rFonts w:ascii="Arial" w:hAnsi="Arial" w:hint="default"/>
      </w:rPr>
    </w:lvl>
    <w:lvl w:ilvl="8" w:tplc="3DC04C28" w:tentative="1">
      <w:start w:val="1"/>
      <w:numFmt w:val="bullet"/>
      <w:lvlText w:val="•"/>
      <w:lvlJc w:val="left"/>
      <w:pPr>
        <w:tabs>
          <w:tab w:val="num" w:pos="6480"/>
        </w:tabs>
        <w:ind w:left="6480" w:hanging="360"/>
      </w:pPr>
      <w:rPr>
        <w:rFonts w:ascii="Arial" w:hAnsi="Arial" w:hint="default"/>
      </w:rPr>
    </w:lvl>
  </w:abstractNum>
  <w:abstractNum w:abstractNumId="11">
    <w:nsid w:val="3B35142C"/>
    <w:multiLevelType w:val="hybridMultilevel"/>
    <w:tmpl w:val="157A3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84120F4"/>
    <w:multiLevelType w:val="hybridMultilevel"/>
    <w:tmpl w:val="DBA6F21A"/>
    <w:lvl w:ilvl="0" w:tplc="8CFAE68C">
      <w:start w:val="1"/>
      <w:numFmt w:val="bullet"/>
      <w:lvlText w:val="•"/>
      <w:lvlJc w:val="left"/>
      <w:pPr>
        <w:tabs>
          <w:tab w:val="num" w:pos="720"/>
        </w:tabs>
        <w:ind w:left="720" w:hanging="360"/>
      </w:pPr>
      <w:rPr>
        <w:rFonts w:ascii="Arial" w:hAnsi="Arial" w:hint="default"/>
      </w:rPr>
    </w:lvl>
    <w:lvl w:ilvl="1" w:tplc="3BDCFB04" w:tentative="1">
      <w:start w:val="1"/>
      <w:numFmt w:val="bullet"/>
      <w:lvlText w:val="•"/>
      <w:lvlJc w:val="left"/>
      <w:pPr>
        <w:tabs>
          <w:tab w:val="num" w:pos="1440"/>
        </w:tabs>
        <w:ind w:left="1440" w:hanging="360"/>
      </w:pPr>
      <w:rPr>
        <w:rFonts w:ascii="Arial" w:hAnsi="Arial" w:hint="default"/>
      </w:rPr>
    </w:lvl>
    <w:lvl w:ilvl="2" w:tplc="68E6D726" w:tentative="1">
      <w:start w:val="1"/>
      <w:numFmt w:val="bullet"/>
      <w:lvlText w:val="•"/>
      <w:lvlJc w:val="left"/>
      <w:pPr>
        <w:tabs>
          <w:tab w:val="num" w:pos="2160"/>
        </w:tabs>
        <w:ind w:left="2160" w:hanging="360"/>
      </w:pPr>
      <w:rPr>
        <w:rFonts w:ascii="Arial" w:hAnsi="Arial" w:hint="default"/>
      </w:rPr>
    </w:lvl>
    <w:lvl w:ilvl="3" w:tplc="66680DF8" w:tentative="1">
      <w:start w:val="1"/>
      <w:numFmt w:val="bullet"/>
      <w:lvlText w:val="•"/>
      <w:lvlJc w:val="left"/>
      <w:pPr>
        <w:tabs>
          <w:tab w:val="num" w:pos="2880"/>
        </w:tabs>
        <w:ind w:left="2880" w:hanging="360"/>
      </w:pPr>
      <w:rPr>
        <w:rFonts w:ascii="Arial" w:hAnsi="Arial" w:hint="default"/>
      </w:rPr>
    </w:lvl>
    <w:lvl w:ilvl="4" w:tplc="55D40566" w:tentative="1">
      <w:start w:val="1"/>
      <w:numFmt w:val="bullet"/>
      <w:lvlText w:val="•"/>
      <w:lvlJc w:val="left"/>
      <w:pPr>
        <w:tabs>
          <w:tab w:val="num" w:pos="3600"/>
        </w:tabs>
        <w:ind w:left="3600" w:hanging="360"/>
      </w:pPr>
      <w:rPr>
        <w:rFonts w:ascii="Arial" w:hAnsi="Arial" w:hint="default"/>
      </w:rPr>
    </w:lvl>
    <w:lvl w:ilvl="5" w:tplc="6BBC947E" w:tentative="1">
      <w:start w:val="1"/>
      <w:numFmt w:val="bullet"/>
      <w:lvlText w:val="•"/>
      <w:lvlJc w:val="left"/>
      <w:pPr>
        <w:tabs>
          <w:tab w:val="num" w:pos="4320"/>
        </w:tabs>
        <w:ind w:left="4320" w:hanging="360"/>
      </w:pPr>
      <w:rPr>
        <w:rFonts w:ascii="Arial" w:hAnsi="Arial" w:hint="default"/>
      </w:rPr>
    </w:lvl>
    <w:lvl w:ilvl="6" w:tplc="1D7A30E8" w:tentative="1">
      <w:start w:val="1"/>
      <w:numFmt w:val="bullet"/>
      <w:lvlText w:val="•"/>
      <w:lvlJc w:val="left"/>
      <w:pPr>
        <w:tabs>
          <w:tab w:val="num" w:pos="5040"/>
        </w:tabs>
        <w:ind w:left="5040" w:hanging="360"/>
      </w:pPr>
      <w:rPr>
        <w:rFonts w:ascii="Arial" w:hAnsi="Arial" w:hint="default"/>
      </w:rPr>
    </w:lvl>
    <w:lvl w:ilvl="7" w:tplc="A3AED996" w:tentative="1">
      <w:start w:val="1"/>
      <w:numFmt w:val="bullet"/>
      <w:lvlText w:val="•"/>
      <w:lvlJc w:val="left"/>
      <w:pPr>
        <w:tabs>
          <w:tab w:val="num" w:pos="5760"/>
        </w:tabs>
        <w:ind w:left="5760" w:hanging="360"/>
      </w:pPr>
      <w:rPr>
        <w:rFonts w:ascii="Arial" w:hAnsi="Arial" w:hint="default"/>
      </w:rPr>
    </w:lvl>
    <w:lvl w:ilvl="8" w:tplc="DE3070FC" w:tentative="1">
      <w:start w:val="1"/>
      <w:numFmt w:val="bullet"/>
      <w:lvlText w:val="•"/>
      <w:lvlJc w:val="left"/>
      <w:pPr>
        <w:tabs>
          <w:tab w:val="num" w:pos="6480"/>
        </w:tabs>
        <w:ind w:left="6480" w:hanging="360"/>
      </w:pPr>
      <w:rPr>
        <w:rFonts w:ascii="Arial" w:hAnsi="Arial" w:hint="default"/>
      </w:rPr>
    </w:lvl>
  </w:abstractNum>
  <w:abstractNum w:abstractNumId="13">
    <w:nsid w:val="66E24964"/>
    <w:multiLevelType w:val="hybridMultilevel"/>
    <w:tmpl w:val="6DE0A0F0"/>
    <w:lvl w:ilvl="0" w:tplc="B66E17D0">
      <w:start w:val="1"/>
      <w:numFmt w:val="bullet"/>
      <w:lvlText w:val="•"/>
      <w:lvlJc w:val="left"/>
      <w:pPr>
        <w:tabs>
          <w:tab w:val="num" w:pos="720"/>
        </w:tabs>
        <w:ind w:left="720" w:hanging="360"/>
      </w:pPr>
      <w:rPr>
        <w:rFonts w:ascii="Arial" w:hAnsi="Arial" w:hint="default"/>
      </w:rPr>
    </w:lvl>
    <w:lvl w:ilvl="1" w:tplc="E7240BC4" w:tentative="1">
      <w:start w:val="1"/>
      <w:numFmt w:val="bullet"/>
      <w:lvlText w:val="•"/>
      <w:lvlJc w:val="left"/>
      <w:pPr>
        <w:tabs>
          <w:tab w:val="num" w:pos="1440"/>
        </w:tabs>
        <w:ind w:left="1440" w:hanging="360"/>
      </w:pPr>
      <w:rPr>
        <w:rFonts w:ascii="Arial" w:hAnsi="Arial" w:hint="default"/>
      </w:rPr>
    </w:lvl>
    <w:lvl w:ilvl="2" w:tplc="9D9A9E96" w:tentative="1">
      <w:start w:val="1"/>
      <w:numFmt w:val="bullet"/>
      <w:lvlText w:val="•"/>
      <w:lvlJc w:val="left"/>
      <w:pPr>
        <w:tabs>
          <w:tab w:val="num" w:pos="2160"/>
        </w:tabs>
        <w:ind w:left="2160" w:hanging="360"/>
      </w:pPr>
      <w:rPr>
        <w:rFonts w:ascii="Arial" w:hAnsi="Arial" w:hint="default"/>
      </w:rPr>
    </w:lvl>
    <w:lvl w:ilvl="3" w:tplc="88102D14" w:tentative="1">
      <w:start w:val="1"/>
      <w:numFmt w:val="bullet"/>
      <w:lvlText w:val="•"/>
      <w:lvlJc w:val="left"/>
      <w:pPr>
        <w:tabs>
          <w:tab w:val="num" w:pos="2880"/>
        </w:tabs>
        <w:ind w:left="2880" w:hanging="360"/>
      </w:pPr>
      <w:rPr>
        <w:rFonts w:ascii="Arial" w:hAnsi="Arial" w:hint="default"/>
      </w:rPr>
    </w:lvl>
    <w:lvl w:ilvl="4" w:tplc="BAEC8322" w:tentative="1">
      <w:start w:val="1"/>
      <w:numFmt w:val="bullet"/>
      <w:lvlText w:val="•"/>
      <w:lvlJc w:val="left"/>
      <w:pPr>
        <w:tabs>
          <w:tab w:val="num" w:pos="3600"/>
        </w:tabs>
        <w:ind w:left="3600" w:hanging="360"/>
      </w:pPr>
      <w:rPr>
        <w:rFonts w:ascii="Arial" w:hAnsi="Arial" w:hint="default"/>
      </w:rPr>
    </w:lvl>
    <w:lvl w:ilvl="5" w:tplc="3EA80772" w:tentative="1">
      <w:start w:val="1"/>
      <w:numFmt w:val="bullet"/>
      <w:lvlText w:val="•"/>
      <w:lvlJc w:val="left"/>
      <w:pPr>
        <w:tabs>
          <w:tab w:val="num" w:pos="4320"/>
        </w:tabs>
        <w:ind w:left="4320" w:hanging="360"/>
      </w:pPr>
      <w:rPr>
        <w:rFonts w:ascii="Arial" w:hAnsi="Arial" w:hint="default"/>
      </w:rPr>
    </w:lvl>
    <w:lvl w:ilvl="6" w:tplc="EAF2FBD8" w:tentative="1">
      <w:start w:val="1"/>
      <w:numFmt w:val="bullet"/>
      <w:lvlText w:val="•"/>
      <w:lvlJc w:val="left"/>
      <w:pPr>
        <w:tabs>
          <w:tab w:val="num" w:pos="5040"/>
        </w:tabs>
        <w:ind w:left="5040" w:hanging="360"/>
      </w:pPr>
      <w:rPr>
        <w:rFonts w:ascii="Arial" w:hAnsi="Arial" w:hint="default"/>
      </w:rPr>
    </w:lvl>
    <w:lvl w:ilvl="7" w:tplc="4A8C5D1E" w:tentative="1">
      <w:start w:val="1"/>
      <w:numFmt w:val="bullet"/>
      <w:lvlText w:val="•"/>
      <w:lvlJc w:val="left"/>
      <w:pPr>
        <w:tabs>
          <w:tab w:val="num" w:pos="5760"/>
        </w:tabs>
        <w:ind w:left="5760" w:hanging="360"/>
      </w:pPr>
      <w:rPr>
        <w:rFonts w:ascii="Arial" w:hAnsi="Arial" w:hint="default"/>
      </w:rPr>
    </w:lvl>
    <w:lvl w:ilvl="8" w:tplc="C4DE17EE" w:tentative="1">
      <w:start w:val="1"/>
      <w:numFmt w:val="bullet"/>
      <w:lvlText w:val="•"/>
      <w:lvlJc w:val="left"/>
      <w:pPr>
        <w:tabs>
          <w:tab w:val="num" w:pos="6480"/>
        </w:tabs>
        <w:ind w:left="6480" w:hanging="360"/>
      </w:pPr>
      <w:rPr>
        <w:rFonts w:ascii="Arial" w:hAnsi="Arial" w:hint="default"/>
      </w:rPr>
    </w:lvl>
  </w:abstractNum>
  <w:abstractNum w:abstractNumId="14">
    <w:nsid w:val="6716742B"/>
    <w:multiLevelType w:val="multilevel"/>
    <w:tmpl w:val="DD86E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A9F2CEF"/>
    <w:multiLevelType w:val="hybridMultilevel"/>
    <w:tmpl w:val="25DCE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E1279B9"/>
    <w:multiLevelType w:val="hybridMultilevel"/>
    <w:tmpl w:val="1708E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7"/>
  </w:num>
  <w:num w:numId="4">
    <w:abstractNumId w:val="4"/>
  </w:num>
  <w:num w:numId="5">
    <w:abstractNumId w:val="9"/>
  </w:num>
  <w:num w:numId="6">
    <w:abstractNumId w:val="14"/>
  </w:num>
  <w:num w:numId="7">
    <w:abstractNumId w:val="11"/>
  </w:num>
  <w:num w:numId="8">
    <w:abstractNumId w:val="16"/>
  </w:num>
  <w:num w:numId="9">
    <w:abstractNumId w:val="8"/>
  </w:num>
  <w:num w:numId="10">
    <w:abstractNumId w:val="5"/>
  </w:num>
  <w:num w:numId="11">
    <w:abstractNumId w:val="12"/>
  </w:num>
  <w:num w:numId="12">
    <w:abstractNumId w:val="13"/>
  </w:num>
  <w:num w:numId="13">
    <w:abstractNumId w:val="10"/>
  </w:num>
  <w:num w:numId="14">
    <w:abstractNumId w:val="3"/>
  </w:num>
  <w:num w:numId="15">
    <w:abstractNumId w:val="15"/>
  </w:num>
  <w:num w:numId="16">
    <w:abstractNumId w:val="6"/>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24B75"/>
    <w:rsid w:val="000125F7"/>
    <w:rsid w:val="00024B75"/>
    <w:rsid w:val="00062E16"/>
    <w:rsid w:val="000C5C37"/>
    <w:rsid w:val="000D5718"/>
    <w:rsid w:val="00113AF7"/>
    <w:rsid w:val="0018047B"/>
    <w:rsid w:val="001D66DC"/>
    <w:rsid w:val="002A553B"/>
    <w:rsid w:val="002C53DC"/>
    <w:rsid w:val="0031768B"/>
    <w:rsid w:val="003564F4"/>
    <w:rsid w:val="00426077"/>
    <w:rsid w:val="004E5787"/>
    <w:rsid w:val="0053308B"/>
    <w:rsid w:val="005D0D17"/>
    <w:rsid w:val="005E7CC3"/>
    <w:rsid w:val="00682250"/>
    <w:rsid w:val="006A5838"/>
    <w:rsid w:val="006A623E"/>
    <w:rsid w:val="006C7AEA"/>
    <w:rsid w:val="00745F9D"/>
    <w:rsid w:val="0082786E"/>
    <w:rsid w:val="008644FE"/>
    <w:rsid w:val="00881BA4"/>
    <w:rsid w:val="00920653"/>
    <w:rsid w:val="009B5091"/>
    <w:rsid w:val="00A31124"/>
    <w:rsid w:val="00A50961"/>
    <w:rsid w:val="00AA0B80"/>
    <w:rsid w:val="00B5456C"/>
    <w:rsid w:val="00B81879"/>
    <w:rsid w:val="00B91A4B"/>
    <w:rsid w:val="00BF3A69"/>
    <w:rsid w:val="00C057C9"/>
    <w:rsid w:val="00C20746"/>
    <w:rsid w:val="00D20A07"/>
    <w:rsid w:val="00DA1EC4"/>
    <w:rsid w:val="00DB2F39"/>
    <w:rsid w:val="00DC0974"/>
    <w:rsid w:val="00E2232F"/>
    <w:rsid w:val="00EA5514"/>
    <w:rsid w:val="00F40BC6"/>
    <w:rsid w:val="00F52091"/>
    <w:rsid w:val="00FB45DF"/>
    <w:rsid w:val="00FE75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041AD2-C5E4-4615-B56A-30D5841F0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55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024B7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024B75"/>
    <w:rPr>
      <w:rFonts w:ascii="Consolas" w:hAnsi="Consolas"/>
      <w:sz w:val="21"/>
      <w:szCs w:val="21"/>
    </w:rPr>
  </w:style>
  <w:style w:type="paragraph" w:styleId="ListParagraph">
    <w:name w:val="List Paragraph"/>
    <w:basedOn w:val="Normal"/>
    <w:uiPriority w:val="34"/>
    <w:qFormat/>
    <w:rsid w:val="006A5838"/>
    <w:pPr>
      <w:ind w:left="720"/>
      <w:contextualSpacing/>
    </w:pPr>
  </w:style>
  <w:style w:type="paragraph" w:styleId="Header">
    <w:name w:val="header"/>
    <w:basedOn w:val="Normal"/>
    <w:link w:val="HeaderChar"/>
    <w:uiPriority w:val="99"/>
    <w:unhideWhenUsed/>
    <w:rsid w:val="000C5C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5C37"/>
  </w:style>
  <w:style w:type="paragraph" w:styleId="Footer">
    <w:name w:val="footer"/>
    <w:basedOn w:val="Normal"/>
    <w:link w:val="FooterChar"/>
    <w:uiPriority w:val="99"/>
    <w:unhideWhenUsed/>
    <w:rsid w:val="000C5C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5C37"/>
  </w:style>
  <w:style w:type="character" w:styleId="Hyperlink">
    <w:name w:val="Hyperlink"/>
    <w:basedOn w:val="DefaultParagraphFont"/>
    <w:uiPriority w:val="99"/>
    <w:unhideWhenUsed/>
    <w:rsid w:val="00E2232F"/>
    <w:rPr>
      <w:color w:val="0000FF" w:themeColor="hyperlink"/>
      <w:u w:val="single"/>
    </w:rPr>
  </w:style>
  <w:style w:type="paragraph" w:styleId="NormalWeb">
    <w:name w:val="Normal (Web)"/>
    <w:basedOn w:val="Normal"/>
    <w:uiPriority w:val="99"/>
    <w:semiHidden/>
    <w:unhideWhenUsed/>
    <w:rsid w:val="00E2232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B91A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1A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284795">
      <w:bodyDiv w:val="1"/>
      <w:marLeft w:val="0"/>
      <w:marRight w:val="0"/>
      <w:marTop w:val="0"/>
      <w:marBottom w:val="0"/>
      <w:divBdr>
        <w:top w:val="none" w:sz="0" w:space="0" w:color="auto"/>
        <w:left w:val="none" w:sz="0" w:space="0" w:color="auto"/>
        <w:bottom w:val="none" w:sz="0" w:space="0" w:color="auto"/>
        <w:right w:val="none" w:sz="0" w:space="0" w:color="auto"/>
      </w:divBdr>
    </w:div>
    <w:div w:id="222956568">
      <w:bodyDiv w:val="1"/>
      <w:marLeft w:val="0"/>
      <w:marRight w:val="0"/>
      <w:marTop w:val="0"/>
      <w:marBottom w:val="0"/>
      <w:divBdr>
        <w:top w:val="none" w:sz="0" w:space="0" w:color="auto"/>
        <w:left w:val="none" w:sz="0" w:space="0" w:color="auto"/>
        <w:bottom w:val="none" w:sz="0" w:space="0" w:color="auto"/>
        <w:right w:val="none" w:sz="0" w:space="0" w:color="auto"/>
      </w:divBdr>
      <w:divsChild>
        <w:div w:id="1948855429">
          <w:marLeft w:val="0"/>
          <w:marRight w:val="0"/>
          <w:marTop w:val="0"/>
          <w:marBottom w:val="0"/>
          <w:divBdr>
            <w:top w:val="none" w:sz="0" w:space="0" w:color="auto"/>
            <w:left w:val="none" w:sz="0" w:space="0" w:color="auto"/>
            <w:bottom w:val="none" w:sz="0" w:space="0" w:color="auto"/>
            <w:right w:val="none" w:sz="0" w:space="0" w:color="auto"/>
          </w:divBdr>
          <w:divsChild>
            <w:div w:id="412436982">
              <w:marLeft w:val="0"/>
              <w:marRight w:val="0"/>
              <w:marTop w:val="0"/>
              <w:marBottom w:val="0"/>
              <w:divBdr>
                <w:top w:val="none" w:sz="0" w:space="0" w:color="auto"/>
                <w:left w:val="none" w:sz="0" w:space="0" w:color="auto"/>
                <w:bottom w:val="none" w:sz="0" w:space="0" w:color="auto"/>
                <w:right w:val="none" w:sz="0" w:space="0" w:color="auto"/>
              </w:divBdr>
              <w:divsChild>
                <w:div w:id="763309653">
                  <w:marLeft w:val="0"/>
                  <w:marRight w:val="0"/>
                  <w:marTop w:val="0"/>
                  <w:marBottom w:val="0"/>
                  <w:divBdr>
                    <w:top w:val="none" w:sz="0" w:space="0" w:color="auto"/>
                    <w:left w:val="none" w:sz="0" w:space="0" w:color="auto"/>
                    <w:bottom w:val="none" w:sz="0" w:space="0" w:color="auto"/>
                    <w:right w:val="none" w:sz="0" w:space="0" w:color="auto"/>
                  </w:divBdr>
                  <w:divsChild>
                    <w:div w:id="131599248">
                      <w:marLeft w:val="0"/>
                      <w:marRight w:val="0"/>
                      <w:marTop w:val="0"/>
                      <w:marBottom w:val="0"/>
                      <w:divBdr>
                        <w:top w:val="none" w:sz="0" w:space="0" w:color="auto"/>
                        <w:left w:val="none" w:sz="0" w:space="0" w:color="auto"/>
                        <w:bottom w:val="none" w:sz="0" w:space="0" w:color="auto"/>
                        <w:right w:val="none" w:sz="0" w:space="0" w:color="auto"/>
                      </w:divBdr>
                      <w:divsChild>
                        <w:div w:id="642734677">
                          <w:marLeft w:val="0"/>
                          <w:marRight w:val="0"/>
                          <w:marTop w:val="0"/>
                          <w:marBottom w:val="0"/>
                          <w:divBdr>
                            <w:top w:val="none" w:sz="0" w:space="0" w:color="auto"/>
                            <w:left w:val="none" w:sz="0" w:space="0" w:color="auto"/>
                            <w:bottom w:val="none" w:sz="0" w:space="0" w:color="auto"/>
                            <w:right w:val="none" w:sz="0" w:space="0" w:color="auto"/>
                          </w:divBdr>
                          <w:divsChild>
                            <w:div w:id="1054156166">
                              <w:marLeft w:val="0"/>
                              <w:marRight w:val="0"/>
                              <w:marTop w:val="0"/>
                              <w:marBottom w:val="0"/>
                              <w:divBdr>
                                <w:top w:val="none" w:sz="0" w:space="0" w:color="auto"/>
                                <w:left w:val="none" w:sz="0" w:space="0" w:color="auto"/>
                                <w:bottom w:val="none" w:sz="0" w:space="0" w:color="auto"/>
                                <w:right w:val="none" w:sz="0" w:space="0" w:color="auto"/>
                              </w:divBdr>
                              <w:divsChild>
                                <w:div w:id="1417434283">
                                  <w:marLeft w:val="0"/>
                                  <w:marRight w:val="0"/>
                                  <w:marTop w:val="0"/>
                                  <w:marBottom w:val="0"/>
                                  <w:divBdr>
                                    <w:top w:val="none" w:sz="0" w:space="0" w:color="auto"/>
                                    <w:left w:val="none" w:sz="0" w:space="0" w:color="auto"/>
                                    <w:bottom w:val="none" w:sz="0" w:space="0" w:color="auto"/>
                                    <w:right w:val="none" w:sz="0" w:space="0" w:color="auto"/>
                                  </w:divBdr>
                                  <w:divsChild>
                                    <w:div w:id="756825768">
                                      <w:marLeft w:val="0"/>
                                      <w:marRight w:val="0"/>
                                      <w:marTop w:val="0"/>
                                      <w:marBottom w:val="0"/>
                                      <w:divBdr>
                                        <w:top w:val="none" w:sz="0" w:space="0" w:color="auto"/>
                                        <w:left w:val="none" w:sz="0" w:space="0" w:color="auto"/>
                                        <w:bottom w:val="none" w:sz="0" w:space="0" w:color="auto"/>
                                        <w:right w:val="none" w:sz="0" w:space="0" w:color="auto"/>
                                      </w:divBdr>
                                      <w:divsChild>
                                        <w:div w:id="146674640">
                                          <w:marLeft w:val="0"/>
                                          <w:marRight w:val="0"/>
                                          <w:marTop w:val="0"/>
                                          <w:marBottom w:val="0"/>
                                          <w:divBdr>
                                            <w:top w:val="none" w:sz="0" w:space="0" w:color="auto"/>
                                            <w:left w:val="none" w:sz="0" w:space="0" w:color="auto"/>
                                            <w:bottom w:val="none" w:sz="0" w:space="0" w:color="auto"/>
                                            <w:right w:val="none" w:sz="0" w:space="0" w:color="auto"/>
                                          </w:divBdr>
                                          <w:divsChild>
                                            <w:div w:id="1065107834">
                                              <w:marLeft w:val="0"/>
                                              <w:marRight w:val="0"/>
                                              <w:marTop w:val="0"/>
                                              <w:marBottom w:val="0"/>
                                              <w:divBdr>
                                                <w:top w:val="none" w:sz="0" w:space="0" w:color="auto"/>
                                                <w:left w:val="none" w:sz="0" w:space="0" w:color="auto"/>
                                                <w:bottom w:val="none" w:sz="0" w:space="0" w:color="auto"/>
                                                <w:right w:val="none" w:sz="0" w:space="0" w:color="auto"/>
                                              </w:divBdr>
                                              <w:divsChild>
                                                <w:div w:id="211531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1201486">
      <w:bodyDiv w:val="1"/>
      <w:marLeft w:val="0"/>
      <w:marRight w:val="0"/>
      <w:marTop w:val="0"/>
      <w:marBottom w:val="0"/>
      <w:divBdr>
        <w:top w:val="none" w:sz="0" w:space="0" w:color="auto"/>
        <w:left w:val="none" w:sz="0" w:space="0" w:color="auto"/>
        <w:bottom w:val="none" w:sz="0" w:space="0" w:color="auto"/>
        <w:right w:val="none" w:sz="0" w:space="0" w:color="auto"/>
      </w:divBdr>
    </w:div>
    <w:div w:id="467405450">
      <w:bodyDiv w:val="1"/>
      <w:marLeft w:val="0"/>
      <w:marRight w:val="0"/>
      <w:marTop w:val="0"/>
      <w:marBottom w:val="0"/>
      <w:divBdr>
        <w:top w:val="none" w:sz="0" w:space="0" w:color="auto"/>
        <w:left w:val="none" w:sz="0" w:space="0" w:color="auto"/>
        <w:bottom w:val="none" w:sz="0" w:space="0" w:color="auto"/>
        <w:right w:val="none" w:sz="0" w:space="0" w:color="auto"/>
      </w:divBdr>
    </w:div>
    <w:div w:id="600181305">
      <w:bodyDiv w:val="1"/>
      <w:marLeft w:val="0"/>
      <w:marRight w:val="0"/>
      <w:marTop w:val="0"/>
      <w:marBottom w:val="0"/>
      <w:divBdr>
        <w:top w:val="none" w:sz="0" w:space="0" w:color="auto"/>
        <w:left w:val="none" w:sz="0" w:space="0" w:color="auto"/>
        <w:bottom w:val="none" w:sz="0" w:space="0" w:color="auto"/>
        <w:right w:val="none" w:sz="0" w:space="0" w:color="auto"/>
      </w:divBdr>
    </w:div>
    <w:div w:id="895630856">
      <w:bodyDiv w:val="1"/>
      <w:marLeft w:val="0"/>
      <w:marRight w:val="0"/>
      <w:marTop w:val="0"/>
      <w:marBottom w:val="0"/>
      <w:divBdr>
        <w:top w:val="none" w:sz="0" w:space="0" w:color="auto"/>
        <w:left w:val="none" w:sz="0" w:space="0" w:color="auto"/>
        <w:bottom w:val="none" w:sz="0" w:space="0" w:color="auto"/>
        <w:right w:val="none" w:sz="0" w:space="0" w:color="auto"/>
      </w:divBdr>
      <w:divsChild>
        <w:div w:id="342783700">
          <w:marLeft w:val="547"/>
          <w:marRight w:val="0"/>
          <w:marTop w:val="96"/>
          <w:marBottom w:val="0"/>
          <w:divBdr>
            <w:top w:val="none" w:sz="0" w:space="0" w:color="auto"/>
            <w:left w:val="none" w:sz="0" w:space="0" w:color="auto"/>
            <w:bottom w:val="none" w:sz="0" w:space="0" w:color="auto"/>
            <w:right w:val="none" w:sz="0" w:space="0" w:color="auto"/>
          </w:divBdr>
        </w:div>
        <w:div w:id="137455763">
          <w:marLeft w:val="547"/>
          <w:marRight w:val="0"/>
          <w:marTop w:val="96"/>
          <w:marBottom w:val="0"/>
          <w:divBdr>
            <w:top w:val="none" w:sz="0" w:space="0" w:color="auto"/>
            <w:left w:val="none" w:sz="0" w:space="0" w:color="auto"/>
            <w:bottom w:val="none" w:sz="0" w:space="0" w:color="auto"/>
            <w:right w:val="none" w:sz="0" w:space="0" w:color="auto"/>
          </w:divBdr>
        </w:div>
        <w:div w:id="1058362662">
          <w:marLeft w:val="547"/>
          <w:marRight w:val="0"/>
          <w:marTop w:val="96"/>
          <w:marBottom w:val="0"/>
          <w:divBdr>
            <w:top w:val="none" w:sz="0" w:space="0" w:color="auto"/>
            <w:left w:val="none" w:sz="0" w:space="0" w:color="auto"/>
            <w:bottom w:val="none" w:sz="0" w:space="0" w:color="auto"/>
            <w:right w:val="none" w:sz="0" w:space="0" w:color="auto"/>
          </w:divBdr>
        </w:div>
        <w:div w:id="1970354121">
          <w:marLeft w:val="547"/>
          <w:marRight w:val="0"/>
          <w:marTop w:val="96"/>
          <w:marBottom w:val="0"/>
          <w:divBdr>
            <w:top w:val="none" w:sz="0" w:space="0" w:color="auto"/>
            <w:left w:val="none" w:sz="0" w:space="0" w:color="auto"/>
            <w:bottom w:val="none" w:sz="0" w:space="0" w:color="auto"/>
            <w:right w:val="none" w:sz="0" w:space="0" w:color="auto"/>
          </w:divBdr>
        </w:div>
      </w:divsChild>
    </w:div>
    <w:div w:id="1422024127">
      <w:bodyDiv w:val="1"/>
      <w:marLeft w:val="0"/>
      <w:marRight w:val="0"/>
      <w:marTop w:val="0"/>
      <w:marBottom w:val="0"/>
      <w:divBdr>
        <w:top w:val="none" w:sz="0" w:space="0" w:color="auto"/>
        <w:left w:val="none" w:sz="0" w:space="0" w:color="auto"/>
        <w:bottom w:val="none" w:sz="0" w:space="0" w:color="auto"/>
        <w:right w:val="none" w:sz="0" w:space="0" w:color="auto"/>
      </w:divBdr>
    </w:div>
    <w:div w:id="1885293087">
      <w:bodyDiv w:val="1"/>
      <w:marLeft w:val="0"/>
      <w:marRight w:val="0"/>
      <w:marTop w:val="0"/>
      <w:marBottom w:val="0"/>
      <w:divBdr>
        <w:top w:val="none" w:sz="0" w:space="0" w:color="auto"/>
        <w:left w:val="none" w:sz="0" w:space="0" w:color="auto"/>
        <w:bottom w:val="none" w:sz="0" w:space="0" w:color="auto"/>
        <w:right w:val="none" w:sz="0" w:space="0" w:color="auto"/>
      </w:divBdr>
      <w:divsChild>
        <w:div w:id="1061364436">
          <w:marLeft w:val="0"/>
          <w:marRight w:val="0"/>
          <w:marTop w:val="0"/>
          <w:marBottom w:val="0"/>
          <w:divBdr>
            <w:top w:val="none" w:sz="0" w:space="0" w:color="auto"/>
            <w:left w:val="none" w:sz="0" w:space="0" w:color="auto"/>
            <w:bottom w:val="none" w:sz="0" w:space="0" w:color="auto"/>
            <w:right w:val="none" w:sz="0" w:space="0" w:color="auto"/>
          </w:divBdr>
        </w:div>
        <w:div w:id="743457271">
          <w:marLeft w:val="0"/>
          <w:marRight w:val="0"/>
          <w:marTop w:val="0"/>
          <w:marBottom w:val="0"/>
          <w:divBdr>
            <w:top w:val="none" w:sz="0" w:space="0" w:color="auto"/>
            <w:left w:val="none" w:sz="0" w:space="0" w:color="auto"/>
            <w:bottom w:val="none" w:sz="0" w:space="0" w:color="auto"/>
            <w:right w:val="none" w:sz="0" w:space="0" w:color="auto"/>
          </w:divBdr>
        </w:div>
        <w:div w:id="941456704">
          <w:marLeft w:val="0"/>
          <w:marRight w:val="0"/>
          <w:marTop w:val="0"/>
          <w:marBottom w:val="0"/>
          <w:divBdr>
            <w:top w:val="none" w:sz="0" w:space="0" w:color="auto"/>
            <w:left w:val="none" w:sz="0" w:space="0" w:color="auto"/>
            <w:bottom w:val="none" w:sz="0" w:space="0" w:color="auto"/>
            <w:right w:val="none" w:sz="0" w:space="0" w:color="auto"/>
          </w:divBdr>
        </w:div>
        <w:div w:id="1077745667">
          <w:marLeft w:val="0"/>
          <w:marRight w:val="0"/>
          <w:marTop w:val="0"/>
          <w:marBottom w:val="0"/>
          <w:divBdr>
            <w:top w:val="none" w:sz="0" w:space="0" w:color="auto"/>
            <w:left w:val="none" w:sz="0" w:space="0" w:color="auto"/>
            <w:bottom w:val="none" w:sz="0" w:space="0" w:color="auto"/>
            <w:right w:val="none" w:sz="0" w:space="0" w:color="auto"/>
          </w:divBdr>
        </w:div>
        <w:div w:id="1248081378">
          <w:marLeft w:val="0"/>
          <w:marRight w:val="0"/>
          <w:marTop w:val="0"/>
          <w:marBottom w:val="0"/>
          <w:divBdr>
            <w:top w:val="none" w:sz="0" w:space="0" w:color="auto"/>
            <w:left w:val="none" w:sz="0" w:space="0" w:color="auto"/>
            <w:bottom w:val="none" w:sz="0" w:space="0" w:color="auto"/>
            <w:right w:val="none" w:sz="0" w:space="0" w:color="auto"/>
          </w:divBdr>
        </w:div>
        <w:div w:id="1061095806">
          <w:marLeft w:val="0"/>
          <w:marRight w:val="0"/>
          <w:marTop w:val="0"/>
          <w:marBottom w:val="0"/>
          <w:divBdr>
            <w:top w:val="none" w:sz="0" w:space="0" w:color="auto"/>
            <w:left w:val="none" w:sz="0" w:space="0" w:color="auto"/>
            <w:bottom w:val="none" w:sz="0" w:space="0" w:color="auto"/>
            <w:right w:val="none" w:sz="0" w:space="0" w:color="auto"/>
          </w:divBdr>
        </w:div>
        <w:div w:id="843861718">
          <w:marLeft w:val="0"/>
          <w:marRight w:val="0"/>
          <w:marTop w:val="0"/>
          <w:marBottom w:val="0"/>
          <w:divBdr>
            <w:top w:val="none" w:sz="0" w:space="0" w:color="auto"/>
            <w:left w:val="none" w:sz="0" w:space="0" w:color="auto"/>
            <w:bottom w:val="none" w:sz="0" w:space="0" w:color="auto"/>
            <w:right w:val="none" w:sz="0" w:space="0" w:color="auto"/>
          </w:divBdr>
        </w:div>
        <w:div w:id="273173598">
          <w:marLeft w:val="0"/>
          <w:marRight w:val="0"/>
          <w:marTop w:val="0"/>
          <w:marBottom w:val="0"/>
          <w:divBdr>
            <w:top w:val="none" w:sz="0" w:space="0" w:color="auto"/>
            <w:left w:val="none" w:sz="0" w:space="0" w:color="auto"/>
            <w:bottom w:val="none" w:sz="0" w:space="0" w:color="auto"/>
            <w:right w:val="none" w:sz="0" w:space="0" w:color="auto"/>
          </w:divBdr>
        </w:div>
        <w:div w:id="1349218063">
          <w:marLeft w:val="0"/>
          <w:marRight w:val="0"/>
          <w:marTop w:val="0"/>
          <w:marBottom w:val="0"/>
          <w:divBdr>
            <w:top w:val="none" w:sz="0" w:space="0" w:color="auto"/>
            <w:left w:val="none" w:sz="0" w:space="0" w:color="auto"/>
            <w:bottom w:val="none" w:sz="0" w:space="0" w:color="auto"/>
            <w:right w:val="none" w:sz="0" w:space="0" w:color="auto"/>
          </w:divBdr>
        </w:div>
        <w:div w:id="1314875562">
          <w:marLeft w:val="0"/>
          <w:marRight w:val="0"/>
          <w:marTop w:val="0"/>
          <w:marBottom w:val="0"/>
          <w:divBdr>
            <w:top w:val="none" w:sz="0" w:space="0" w:color="auto"/>
            <w:left w:val="none" w:sz="0" w:space="0" w:color="auto"/>
            <w:bottom w:val="none" w:sz="0" w:space="0" w:color="auto"/>
            <w:right w:val="none" w:sz="0" w:space="0" w:color="auto"/>
          </w:divBdr>
        </w:div>
        <w:div w:id="1929149105">
          <w:marLeft w:val="0"/>
          <w:marRight w:val="0"/>
          <w:marTop w:val="0"/>
          <w:marBottom w:val="0"/>
          <w:divBdr>
            <w:top w:val="none" w:sz="0" w:space="0" w:color="auto"/>
            <w:left w:val="none" w:sz="0" w:space="0" w:color="auto"/>
            <w:bottom w:val="none" w:sz="0" w:space="0" w:color="auto"/>
            <w:right w:val="none" w:sz="0" w:space="0" w:color="auto"/>
          </w:divBdr>
        </w:div>
        <w:div w:id="115176362">
          <w:marLeft w:val="0"/>
          <w:marRight w:val="0"/>
          <w:marTop w:val="0"/>
          <w:marBottom w:val="0"/>
          <w:divBdr>
            <w:top w:val="none" w:sz="0" w:space="0" w:color="auto"/>
            <w:left w:val="none" w:sz="0" w:space="0" w:color="auto"/>
            <w:bottom w:val="none" w:sz="0" w:space="0" w:color="auto"/>
            <w:right w:val="none" w:sz="0" w:space="0" w:color="auto"/>
          </w:divBdr>
        </w:div>
        <w:div w:id="1515727506">
          <w:marLeft w:val="0"/>
          <w:marRight w:val="0"/>
          <w:marTop w:val="0"/>
          <w:marBottom w:val="0"/>
          <w:divBdr>
            <w:top w:val="none" w:sz="0" w:space="0" w:color="auto"/>
            <w:left w:val="none" w:sz="0" w:space="0" w:color="auto"/>
            <w:bottom w:val="none" w:sz="0" w:space="0" w:color="auto"/>
            <w:right w:val="none" w:sz="0" w:space="0" w:color="auto"/>
          </w:divBdr>
        </w:div>
        <w:div w:id="1161848857">
          <w:marLeft w:val="0"/>
          <w:marRight w:val="0"/>
          <w:marTop w:val="0"/>
          <w:marBottom w:val="0"/>
          <w:divBdr>
            <w:top w:val="none" w:sz="0" w:space="0" w:color="auto"/>
            <w:left w:val="none" w:sz="0" w:space="0" w:color="auto"/>
            <w:bottom w:val="none" w:sz="0" w:space="0" w:color="auto"/>
            <w:right w:val="none" w:sz="0" w:space="0" w:color="auto"/>
          </w:divBdr>
        </w:div>
        <w:div w:id="786923210">
          <w:marLeft w:val="0"/>
          <w:marRight w:val="0"/>
          <w:marTop w:val="0"/>
          <w:marBottom w:val="0"/>
          <w:divBdr>
            <w:top w:val="none" w:sz="0" w:space="0" w:color="auto"/>
            <w:left w:val="none" w:sz="0" w:space="0" w:color="auto"/>
            <w:bottom w:val="none" w:sz="0" w:space="0" w:color="auto"/>
            <w:right w:val="none" w:sz="0" w:space="0" w:color="auto"/>
          </w:divBdr>
        </w:div>
        <w:div w:id="964887502">
          <w:marLeft w:val="0"/>
          <w:marRight w:val="0"/>
          <w:marTop w:val="0"/>
          <w:marBottom w:val="0"/>
          <w:divBdr>
            <w:top w:val="none" w:sz="0" w:space="0" w:color="auto"/>
            <w:left w:val="none" w:sz="0" w:space="0" w:color="auto"/>
            <w:bottom w:val="none" w:sz="0" w:space="0" w:color="auto"/>
            <w:right w:val="none" w:sz="0" w:space="0" w:color="auto"/>
          </w:divBdr>
        </w:div>
        <w:div w:id="64575075">
          <w:marLeft w:val="0"/>
          <w:marRight w:val="0"/>
          <w:marTop w:val="0"/>
          <w:marBottom w:val="0"/>
          <w:divBdr>
            <w:top w:val="none" w:sz="0" w:space="0" w:color="auto"/>
            <w:left w:val="none" w:sz="0" w:space="0" w:color="auto"/>
            <w:bottom w:val="none" w:sz="0" w:space="0" w:color="auto"/>
            <w:right w:val="none" w:sz="0" w:space="0" w:color="auto"/>
          </w:divBdr>
        </w:div>
        <w:div w:id="591091988">
          <w:marLeft w:val="0"/>
          <w:marRight w:val="0"/>
          <w:marTop w:val="0"/>
          <w:marBottom w:val="0"/>
          <w:divBdr>
            <w:top w:val="none" w:sz="0" w:space="0" w:color="auto"/>
            <w:left w:val="none" w:sz="0" w:space="0" w:color="auto"/>
            <w:bottom w:val="none" w:sz="0" w:space="0" w:color="auto"/>
            <w:right w:val="none" w:sz="0" w:space="0" w:color="auto"/>
          </w:divBdr>
        </w:div>
        <w:div w:id="154078847">
          <w:marLeft w:val="0"/>
          <w:marRight w:val="0"/>
          <w:marTop w:val="0"/>
          <w:marBottom w:val="0"/>
          <w:divBdr>
            <w:top w:val="none" w:sz="0" w:space="0" w:color="auto"/>
            <w:left w:val="none" w:sz="0" w:space="0" w:color="auto"/>
            <w:bottom w:val="none" w:sz="0" w:space="0" w:color="auto"/>
            <w:right w:val="none" w:sz="0" w:space="0" w:color="auto"/>
          </w:divBdr>
        </w:div>
        <w:div w:id="1027296536">
          <w:marLeft w:val="0"/>
          <w:marRight w:val="0"/>
          <w:marTop w:val="0"/>
          <w:marBottom w:val="0"/>
          <w:divBdr>
            <w:top w:val="none" w:sz="0" w:space="0" w:color="auto"/>
            <w:left w:val="none" w:sz="0" w:space="0" w:color="auto"/>
            <w:bottom w:val="none" w:sz="0" w:space="0" w:color="auto"/>
            <w:right w:val="none" w:sz="0" w:space="0" w:color="auto"/>
          </w:divBdr>
        </w:div>
        <w:div w:id="976766423">
          <w:marLeft w:val="0"/>
          <w:marRight w:val="0"/>
          <w:marTop w:val="0"/>
          <w:marBottom w:val="0"/>
          <w:divBdr>
            <w:top w:val="none" w:sz="0" w:space="0" w:color="auto"/>
            <w:left w:val="none" w:sz="0" w:space="0" w:color="auto"/>
            <w:bottom w:val="none" w:sz="0" w:space="0" w:color="auto"/>
            <w:right w:val="none" w:sz="0" w:space="0" w:color="auto"/>
          </w:divBdr>
        </w:div>
        <w:div w:id="1536458634">
          <w:marLeft w:val="0"/>
          <w:marRight w:val="0"/>
          <w:marTop w:val="0"/>
          <w:marBottom w:val="0"/>
          <w:divBdr>
            <w:top w:val="none" w:sz="0" w:space="0" w:color="auto"/>
            <w:left w:val="none" w:sz="0" w:space="0" w:color="auto"/>
            <w:bottom w:val="none" w:sz="0" w:space="0" w:color="auto"/>
            <w:right w:val="none" w:sz="0" w:space="0" w:color="auto"/>
          </w:divBdr>
        </w:div>
        <w:div w:id="302345984">
          <w:marLeft w:val="0"/>
          <w:marRight w:val="0"/>
          <w:marTop w:val="0"/>
          <w:marBottom w:val="0"/>
          <w:divBdr>
            <w:top w:val="none" w:sz="0" w:space="0" w:color="auto"/>
            <w:left w:val="none" w:sz="0" w:space="0" w:color="auto"/>
            <w:bottom w:val="none" w:sz="0" w:space="0" w:color="auto"/>
            <w:right w:val="none" w:sz="0" w:space="0" w:color="auto"/>
          </w:divBdr>
        </w:div>
        <w:div w:id="208494689">
          <w:marLeft w:val="0"/>
          <w:marRight w:val="0"/>
          <w:marTop w:val="0"/>
          <w:marBottom w:val="0"/>
          <w:divBdr>
            <w:top w:val="none" w:sz="0" w:space="0" w:color="auto"/>
            <w:left w:val="none" w:sz="0" w:space="0" w:color="auto"/>
            <w:bottom w:val="none" w:sz="0" w:space="0" w:color="auto"/>
            <w:right w:val="none" w:sz="0" w:space="0" w:color="auto"/>
          </w:divBdr>
        </w:div>
        <w:div w:id="400909103">
          <w:marLeft w:val="0"/>
          <w:marRight w:val="0"/>
          <w:marTop w:val="0"/>
          <w:marBottom w:val="0"/>
          <w:divBdr>
            <w:top w:val="none" w:sz="0" w:space="0" w:color="auto"/>
            <w:left w:val="none" w:sz="0" w:space="0" w:color="auto"/>
            <w:bottom w:val="none" w:sz="0" w:space="0" w:color="auto"/>
            <w:right w:val="none" w:sz="0" w:space="0" w:color="auto"/>
          </w:divBdr>
        </w:div>
        <w:div w:id="623927845">
          <w:marLeft w:val="0"/>
          <w:marRight w:val="0"/>
          <w:marTop w:val="0"/>
          <w:marBottom w:val="0"/>
          <w:divBdr>
            <w:top w:val="none" w:sz="0" w:space="0" w:color="auto"/>
            <w:left w:val="none" w:sz="0" w:space="0" w:color="auto"/>
            <w:bottom w:val="none" w:sz="0" w:space="0" w:color="auto"/>
            <w:right w:val="none" w:sz="0" w:space="0" w:color="auto"/>
          </w:divBdr>
        </w:div>
        <w:div w:id="1007556121">
          <w:marLeft w:val="0"/>
          <w:marRight w:val="0"/>
          <w:marTop w:val="0"/>
          <w:marBottom w:val="0"/>
          <w:divBdr>
            <w:top w:val="none" w:sz="0" w:space="0" w:color="auto"/>
            <w:left w:val="none" w:sz="0" w:space="0" w:color="auto"/>
            <w:bottom w:val="none" w:sz="0" w:space="0" w:color="auto"/>
            <w:right w:val="none" w:sz="0" w:space="0" w:color="auto"/>
          </w:divBdr>
        </w:div>
        <w:div w:id="1144277120">
          <w:marLeft w:val="0"/>
          <w:marRight w:val="0"/>
          <w:marTop w:val="0"/>
          <w:marBottom w:val="0"/>
          <w:divBdr>
            <w:top w:val="none" w:sz="0" w:space="0" w:color="auto"/>
            <w:left w:val="none" w:sz="0" w:space="0" w:color="auto"/>
            <w:bottom w:val="none" w:sz="0" w:space="0" w:color="auto"/>
            <w:right w:val="none" w:sz="0" w:space="0" w:color="auto"/>
          </w:divBdr>
        </w:div>
        <w:div w:id="28652669">
          <w:marLeft w:val="0"/>
          <w:marRight w:val="0"/>
          <w:marTop w:val="0"/>
          <w:marBottom w:val="0"/>
          <w:divBdr>
            <w:top w:val="none" w:sz="0" w:space="0" w:color="auto"/>
            <w:left w:val="none" w:sz="0" w:space="0" w:color="auto"/>
            <w:bottom w:val="none" w:sz="0" w:space="0" w:color="auto"/>
            <w:right w:val="none" w:sz="0" w:space="0" w:color="auto"/>
          </w:divBdr>
        </w:div>
        <w:div w:id="1129279075">
          <w:marLeft w:val="0"/>
          <w:marRight w:val="0"/>
          <w:marTop w:val="0"/>
          <w:marBottom w:val="0"/>
          <w:divBdr>
            <w:top w:val="none" w:sz="0" w:space="0" w:color="auto"/>
            <w:left w:val="none" w:sz="0" w:space="0" w:color="auto"/>
            <w:bottom w:val="none" w:sz="0" w:space="0" w:color="auto"/>
            <w:right w:val="none" w:sz="0" w:space="0" w:color="auto"/>
          </w:divBdr>
        </w:div>
        <w:div w:id="1731466400">
          <w:marLeft w:val="0"/>
          <w:marRight w:val="0"/>
          <w:marTop w:val="0"/>
          <w:marBottom w:val="0"/>
          <w:divBdr>
            <w:top w:val="none" w:sz="0" w:space="0" w:color="auto"/>
            <w:left w:val="none" w:sz="0" w:space="0" w:color="auto"/>
            <w:bottom w:val="none" w:sz="0" w:space="0" w:color="auto"/>
            <w:right w:val="none" w:sz="0" w:space="0" w:color="auto"/>
          </w:divBdr>
        </w:div>
        <w:div w:id="1476947942">
          <w:marLeft w:val="0"/>
          <w:marRight w:val="0"/>
          <w:marTop w:val="0"/>
          <w:marBottom w:val="0"/>
          <w:divBdr>
            <w:top w:val="none" w:sz="0" w:space="0" w:color="auto"/>
            <w:left w:val="none" w:sz="0" w:space="0" w:color="auto"/>
            <w:bottom w:val="none" w:sz="0" w:space="0" w:color="auto"/>
            <w:right w:val="none" w:sz="0" w:space="0" w:color="auto"/>
          </w:divBdr>
        </w:div>
        <w:div w:id="83232487">
          <w:marLeft w:val="0"/>
          <w:marRight w:val="0"/>
          <w:marTop w:val="0"/>
          <w:marBottom w:val="0"/>
          <w:divBdr>
            <w:top w:val="none" w:sz="0" w:space="0" w:color="auto"/>
            <w:left w:val="none" w:sz="0" w:space="0" w:color="auto"/>
            <w:bottom w:val="none" w:sz="0" w:space="0" w:color="auto"/>
            <w:right w:val="none" w:sz="0" w:space="0" w:color="auto"/>
          </w:divBdr>
        </w:div>
        <w:div w:id="1716198351">
          <w:marLeft w:val="0"/>
          <w:marRight w:val="0"/>
          <w:marTop w:val="0"/>
          <w:marBottom w:val="0"/>
          <w:divBdr>
            <w:top w:val="none" w:sz="0" w:space="0" w:color="auto"/>
            <w:left w:val="none" w:sz="0" w:space="0" w:color="auto"/>
            <w:bottom w:val="none" w:sz="0" w:space="0" w:color="auto"/>
            <w:right w:val="none" w:sz="0" w:space="0" w:color="auto"/>
          </w:divBdr>
        </w:div>
        <w:div w:id="1498032904">
          <w:marLeft w:val="0"/>
          <w:marRight w:val="0"/>
          <w:marTop w:val="0"/>
          <w:marBottom w:val="0"/>
          <w:divBdr>
            <w:top w:val="none" w:sz="0" w:space="0" w:color="auto"/>
            <w:left w:val="none" w:sz="0" w:space="0" w:color="auto"/>
            <w:bottom w:val="none" w:sz="0" w:space="0" w:color="auto"/>
            <w:right w:val="none" w:sz="0" w:space="0" w:color="auto"/>
          </w:divBdr>
        </w:div>
        <w:div w:id="1769693794">
          <w:marLeft w:val="0"/>
          <w:marRight w:val="0"/>
          <w:marTop w:val="0"/>
          <w:marBottom w:val="0"/>
          <w:divBdr>
            <w:top w:val="none" w:sz="0" w:space="0" w:color="auto"/>
            <w:left w:val="none" w:sz="0" w:space="0" w:color="auto"/>
            <w:bottom w:val="none" w:sz="0" w:space="0" w:color="auto"/>
            <w:right w:val="none" w:sz="0" w:space="0" w:color="auto"/>
          </w:divBdr>
        </w:div>
        <w:div w:id="2042515013">
          <w:marLeft w:val="0"/>
          <w:marRight w:val="0"/>
          <w:marTop w:val="0"/>
          <w:marBottom w:val="0"/>
          <w:divBdr>
            <w:top w:val="none" w:sz="0" w:space="0" w:color="auto"/>
            <w:left w:val="none" w:sz="0" w:space="0" w:color="auto"/>
            <w:bottom w:val="none" w:sz="0" w:space="0" w:color="auto"/>
            <w:right w:val="none" w:sz="0" w:space="0" w:color="auto"/>
          </w:divBdr>
        </w:div>
        <w:div w:id="1033575742">
          <w:marLeft w:val="0"/>
          <w:marRight w:val="0"/>
          <w:marTop w:val="0"/>
          <w:marBottom w:val="0"/>
          <w:divBdr>
            <w:top w:val="none" w:sz="0" w:space="0" w:color="auto"/>
            <w:left w:val="none" w:sz="0" w:space="0" w:color="auto"/>
            <w:bottom w:val="none" w:sz="0" w:space="0" w:color="auto"/>
            <w:right w:val="none" w:sz="0" w:space="0" w:color="auto"/>
          </w:divBdr>
        </w:div>
        <w:div w:id="1454056231">
          <w:marLeft w:val="0"/>
          <w:marRight w:val="0"/>
          <w:marTop w:val="0"/>
          <w:marBottom w:val="0"/>
          <w:divBdr>
            <w:top w:val="none" w:sz="0" w:space="0" w:color="auto"/>
            <w:left w:val="none" w:sz="0" w:space="0" w:color="auto"/>
            <w:bottom w:val="none" w:sz="0" w:space="0" w:color="auto"/>
            <w:right w:val="none" w:sz="0" w:space="0" w:color="auto"/>
          </w:divBdr>
        </w:div>
        <w:div w:id="7503956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vingwage.org.uk/what-living-wage" TargetMode="External"/><Relationship Id="rId13" Type="http://schemas.openxmlformats.org/officeDocument/2006/relationships/hyperlink" Target="http://www.livingwage.org.uk/what-living-wage" TargetMode="External"/><Relationship Id="rId18" Type="http://schemas.openxmlformats.org/officeDocument/2006/relationships/hyperlink" Target="http://www.jrf.org.uk/"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minimumincomestandard.org/downloads/livingwage/The-Living-Wage-in-the-United-Kingdom-May-2011.pdf" TargetMode="External"/><Relationship Id="rId7" Type="http://schemas.openxmlformats.org/officeDocument/2006/relationships/endnotes" Target="endnotes.xml"/><Relationship Id="rId12" Type="http://schemas.openxmlformats.org/officeDocument/2006/relationships/hyperlink" Target="http://www.trustforlondon.org.uk/special-initiatives/london-living-wage/" TargetMode="External"/><Relationship Id="rId17" Type="http://schemas.openxmlformats.org/officeDocument/2006/relationships/hyperlink" Target="http://www.crsp.ac.uk/"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lw.povertyalliance.org/" TargetMode="External"/><Relationship Id="rId20" Type="http://schemas.openxmlformats.org/officeDocument/2006/relationships/hyperlink" Target="http://www.povertyalliance.org.uk/slw-home.as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eog.qmul.ac.uk/livingwage/chronology.html"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london.gov.uk/sites/default/files/living-wage-2013.pdf" TargetMode="External"/><Relationship Id="rId23" Type="http://schemas.openxmlformats.org/officeDocument/2006/relationships/image" Target="media/image1.jpeg"/><Relationship Id="rId10" Type="http://schemas.openxmlformats.org/officeDocument/2006/relationships/hyperlink" Target="http://www.citizensuk.org/chapters/telco/" TargetMode="External"/><Relationship Id="rId19" Type="http://schemas.openxmlformats.org/officeDocument/2006/relationships/hyperlink" Target="http://www.minimumincomestandard.org/index.htm" TargetMode="External"/><Relationship Id="rId4" Type="http://schemas.openxmlformats.org/officeDocument/2006/relationships/settings" Target="settings.xml"/><Relationship Id="rId9" Type="http://schemas.openxmlformats.org/officeDocument/2006/relationships/hyperlink" Target="http://www.livingwage.org.uk/history" TargetMode="External"/><Relationship Id="rId14" Type="http://schemas.openxmlformats.org/officeDocument/2006/relationships/hyperlink" Target="http://www.ons.gov.uk/ons/guide-method/geography/beginner-s-guide/administrative/england/greater-london-and-the-london-boroughs/index.html" TargetMode="External"/><Relationship Id="rId22" Type="http://schemas.openxmlformats.org/officeDocument/2006/relationships/hyperlink" Target="http://slw.povertyalliance.org/about/how_is_it_worked_out"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E9FE07A-637F-4EDB-9A7C-622D75892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3408</Words>
  <Characters>18746</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dc:creator>
  <cp:lastModifiedBy>Rebecca Lee</cp:lastModifiedBy>
  <cp:revision>3</cp:revision>
  <cp:lastPrinted>2014-11-02T20:51:00Z</cp:lastPrinted>
  <dcterms:created xsi:type="dcterms:W3CDTF">2015-01-22T07:23:00Z</dcterms:created>
  <dcterms:modified xsi:type="dcterms:W3CDTF">2015-01-22T15:35:00Z</dcterms:modified>
</cp:coreProperties>
</file>