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4D" w:rsidRDefault="00230E5A">
      <w:pPr>
        <w:jc w:val="center"/>
        <w:rPr>
          <w:rFonts w:cs="Calibri"/>
          <w:b/>
          <w:color w:val="002060"/>
          <w:sz w:val="24"/>
          <w:szCs w:val="24"/>
          <w:lang w:val="en-US"/>
        </w:rPr>
      </w:pPr>
      <w:bookmarkStart w:id="0" w:name="_GoBack"/>
      <w:bookmarkEnd w:id="0"/>
      <w:r>
        <w:rPr>
          <w:rFonts w:cs="Calibri"/>
          <w:b/>
          <w:color w:val="002060"/>
          <w:sz w:val="24"/>
          <w:szCs w:val="24"/>
          <w:lang w:val="en-US"/>
        </w:rPr>
        <w:t xml:space="preserve">Task Force on Training and Capacity Building in EAPN </w:t>
      </w:r>
    </w:p>
    <w:p w:rsidR="0045054D" w:rsidRPr="00230E5A" w:rsidRDefault="00230E5A">
      <w:pPr>
        <w:jc w:val="center"/>
        <w:rPr>
          <w:lang w:val="en-US"/>
        </w:rPr>
      </w:pPr>
      <w:r>
        <w:rPr>
          <w:rFonts w:cs="Calibri"/>
          <w:b/>
          <w:color w:val="002060"/>
          <w:sz w:val="24"/>
          <w:szCs w:val="24"/>
          <w:lang w:val="en-US"/>
        </w:rPr>
        <w:t>Agenda for the 2</w:t>
      </w:r>
      <w:r>
        <w:rPr>
          <w:rFonts w:cs="Calibri"/>
          <w:b/>
          <w:color w:val="002060"/>
          <w:sz w:val="24"/>
          <w:szCs w:val="24"/>
          <w:vertAlign w:val="superscript"/>
          <w:lang w:val="en-US"/>
        </w:rPr>
        <w:t>st</w:t>
      </w:r>
      <w:r>
        <w:rPr>
          <w:rFonts w:cs="Calibri"/>
          <w:b/>
          <w:color w:val="002060"/>
          <w:sz w:val="24"/>
          <w:szCs w:val="24"/>
          <w:lang w:val="en-US"/>
        </w:rPr>
        <w:t xml:space="preserve"> Meeting</w:t>
      </w:r>
    </w:p>
    <w:p w:rsidR="0045054D" w:rsidRDefault="00230E5A">
      <w:pPr>
        <w:jc w:val="center"/>
        <w:rPr>
          <w:rFonts w:cs="Calibri"/>
          <w:b/>
          <w:color w:val="002060"/>
          <w:sz w:val="24"/>
          <w:szCs w:val="24"/>
          <w:lang w:val="en-US"/>
        </w:rPr>
      </w:pPr>
      <w:r>
        <w:rPr>
          <w:rFonts w:cs="Calibri"/>
          <w:b/>
          <w:color w:val="002060"/>
          <w:sz w:val="24"/>
          <w:szCs w:val="24"/>
          <w:lang w:val="en-US"/>
        </w:rPr>
        <w:t>Brussels, EAPN Office, 18 Square de Meeûs</w:t>
      </w:r>
    </w:p>
    <w:p w:rsidR="0045054D" w:rsidRDefault="00230E5A">
      <w:pPr>
        <w:jc w:val="center"/>
        <w:rPr>
          <w:rFonts w:cs="Calibri"/>
          <w:b/>
          <w:color w:val="002060"/>
          <w:sz w:val="24"/>
          <w:szCs w:val="24"/>
          <w:lang w:val="en-US"/>
        </w:rPr>
      </w:pPr>
      <w:r>
        <w:rPr>
          <w:rFonts w:cs="Calibri"/>
          <w:b/>
          <w:color w:val="002060"/>
          <w:sz w:val="24"/>
          <w:szCs w:val="24"/>
          <w:lang w:val="en-US"/>
        </w:rPr>
        <w:t>4 October: 8.30 – 16.00</w:t>
      </w:r>
    </w:p>
    <w:p w:rsidR="0045054D" w:rsidRDefault="0045054D">
      <w:pPr>
        <w:jc w:val="both"/>
        <w:rPr>
          <w:rFonts w:cs="Calibri"/>
          <w:b/>
          <w:color w:val="002060"/>
          <w:sz w:val="24"/>
          <w:szCs w:val="24"/>
          <w:lang w:val="en-US"/>
        </w:rPr>
      </w:pPr>
    </w:p>
    <w:p w:rsidR="0045054D" w:rsidRDefault="00230E5A">
      <w:pPr>
        <w:jc w:val="both"/>
        <w:rPr>
          <w:rFonts w:cs="Calibri"/>
          <w:b/>
          <w:color w:val="002060"/>
          <w:sz w:val="24"/>
          <w:szCs w:val="24"/>
          <w:lang w:val="en-US"/>
        </w:rPr>
      </w:pPr>
      <w:r>
        <w:rPr>
          <w:rFonts w:cs="Calibri"/>
          <w:b/>
          <w:color w:val="002060"/>
          <w:sz w:val="24"/>
          <w:szCs w:val="24"/>
          <w:lang w:val="en-US"/>
        </w:rPr>
        <w:t>Objective of the Task Force</w:t>
      </w:r>
    </w:p>
    <w:p w:rsidR="0045054D" w:rsidRDefault="00230E5A">
      <w:pPr>
        <w:jc w:val="both"/>
        <w:rPr>
          <w:rFonts w:cs="Calibri"/>
          <w:sz w:val="24"/>
          <w:szCs w:val="24"/>
          <w:lang w:val="en-US"/>
        </w:rPr>
      </w:pPr>
      <w:r>
        <w:rPr>
          <w:rFonts w:cs="Calibri"/>
          <w:sz w:val="24"/>
          <w:szCs w:val="24"/>
          <w:lang w:val="en-US"/>
        </w:rPr>
        <w:t xml:space="preserve">To map </w:t>
      </w:r>
      <w:r>
        <w:rPr>
          <w:rFonts w:cs="Calibri"/>
          <w:sz w:val="24"/>
          <w:szCs w:val="24"/>
          <w:lang w:val="en-US"/>
        </w:rPr>
        <w:t>out the capacity building needs of the members, the expertise that members can provide, the priorities that members have in terms of network development and develop an EAPN training agenda, as well as develop the framework for establishing a pool of traine</w:t>
      </w:r>
      <w:r>
        <w:rPr>
          <w:rFonts w:cs="Calibri"/>
          <w:sz w:val="24"/>
          <w:szCs w:val="24"/>
          <w:lang w:val="en-US"/>
        </w:rPr>
        <w:t>rs of EAPN within the framework of the Strategic Plan.</w:t>
      </w:r>
    </w:p>
    <w:p w:rsidR="0045054D" w:rsidRDefault="00230E5A">
      <w:pPr>
        <w:jc w:val="both"/>
        <w:rPr>
          <w:rFonts w:cs="Calibri"/>
          <w:b/>
          <w:color w:val="002060"/>
          <w:sz w:val="24"/>
          <w:szCs w:val="24"/>
          <w:lang w:val="en-US"/>
        </w:rPr>
      </w:pPr>
      <w:r>
        <w:rPr>
          <w:rFonts w:cs="Calibri"/>
          <w:b/>
          <w:color w:val="002060"/>
          <w:sz w:val="24"/>
          <w:szCs w:val="24"/>
          <w:lang w:val="en-US"/>
        </w:rPr>
        <w:t>Objective of the second meeting</w:t>
      </w:r>
    </w:p>
    <w:p w:rsidR="0045054D" w:rsidRDefault="00230E5A">
      <w:pPr>
        <w:jc w:val="both"/>
        <w:rPr>
          <w:rFonts w:cs="Calibri"/>
          <w:sz w:val="24"/>
          <w:szCs w:val="24"/>
          <w:lang w:val="en-US"/>
        </w:rPr>
      </w:pPr>
      <w:r>
        <w:rPr>
          <w:rFonts w:cs="Calibri"/>
          <w:sz w:val="24"/>
          <w:szCs w:val="24"/>
          <w:lang w:val="en-US"/>
        </w:rPr>
        <w:t>Analysing the questionnaires that members have completed on their training and capacity building needs and expertise, planning a first draft of the EAPN Training and Cap</w:t>
      </w:r>
      <w:r>
        <w:rPr>
          <w:rFonts w:cs="Calibri"/>
          <w:sz w:val="24"/>
          <w:szCs w:val="24"/>
          <w:lang w:val="en-US"/>
        </w:rPr>
        <w:t xml:space="preserve">acity Building Agenda and planning the network development seminar on the MASS for beginning of December 2013. </w:t>
      </w:r>
    </w:p>
    <w:tbl>
      <w:tblPr>
        <w:tblW w:w="9180" w:type="dxa"/>
        <w:tblInd w:w="108" w:type="dxa"/>
        <w:tblCellMar>
          <w:left w:w="10" w:type="dxa"/>
          <w:right w:w="10" w:type="dxa"/>
        </w:tblCellMar>
        <w:tblLook w:val="04A0" w:firstRow="1" w:lastRow="0" w:firstColumn="1" w:lastColumn="0" w:noHBand="0" w:noVBand="1"/>
      </w:tblPr>
      <w:tblGrid>
        <w:gridCol w:w="1548"/>
        <w:gridCol w:w="7632"/>
      </w:tblGrid>
      <w:tr w:rsidR="0045054D">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8.30-12.00</w:t>
            </w:r>
          </w:p>
        </w:tc>
        <w:tc>
          <w:tcPr>
            <w:tcW w:w="763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Welcome and update</w:t>
            </w:r>
          </w:p>
        </w:tc>
      </w:tr>
      <w:tr w:rsidR="0045054D" w:rsidRPr="00230E5A">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54D" w:rsidRDefault="0045054D">
            <w:pPr>
              <w:spacing w:after="0" w:line="240" w:lineRule="auto"/>
              <w:jc w:val="both"/>
              <w:rPr>
                <w:rFonts w:eastAsia="Times New Roman" w:cs="Calibri"/>
                <w:b/>
                <w:sz w:val="24"/>
                <w:szCs w:val="24"/>
                <w:lang w:eastAsia="fr-BE"/>
              </w:rPr>
            </w:pP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54D" w:rsidRDefault="00230E5A">
            <w:pPr>
              <w:pStyle w:val="ListParagraph"/>
              <w:numPr>
                <w:ilvl w:val="0"/>
                <w:numId w:val="1"/>
              </w:numPr>
              <w:spacing w:after="0" w:line="240" w:lineRule="auto"/>
              <w:jc w:val="both"/>
              <w:rPr>
                <w:rFonts w:eastAsia="Times New Roman" w:cs="Calibri"/>
                <w:sz w:val="24"/>
                <w:szCs w:val="24"/>
                <w:lang w:val="en-US" w:eastAsia="fr-BE"/>
              </w:rPr>
            </w:pPr>
            <w:r>
              <w:rPr>
                <w:rFonts w:eastAsia="Times New Roman" w:cs="Calibri"/>
                <w:sz w:val="24"/>
                <w:szCs w:val="24"/>
                <w:lang w:val="en-US" w:eastAsia="fr-BE"/>
              </w:rPr>
              <w:t>Update on the implementation of the MASS</w:t>
            </w:r>
          </w:p>
          <w:p w:rsidR="0045054D" w:rsidRDefault="00230E5A">
            <w:pPr>
              <w:pStyle w:val="ListParagraph"/>
              <w:numPr>
                <w:ilvl w:val="0"/>
                <w:numId w:val="1"/>
              </w:numPr>
              <w:spacing w:after="0" w:line="240" w:lineRule="auto"/>
              <w:jc w:val="both"/>
              <w:rPr>
                <w:rFonts w:eastAsia="Times New Roman" w:cs="Calibri"/>
                <w:sz w:val="24"/>
                <w:szCs w:val="24"/>
                <w:lang w:val="en-US" w:eastAsia="fr-BE"/>
              </w:rPr>
            </w:pPr>
            <w:r>
              <w:rPr>
                <w:rFonts w:eastAsia="Times New Roman" w:cs="Calibri"/>
                <w:sz w:val="24"/>
                <w:szCs w:val="24"/>
                <w:lang w:val="en-US" w:eastAsia="fr-BE"/>
              </w:rPr>
              <w:t xml:space="preserve">Update on the impact of the crisis in relation to development work in </w:t>
            </w:r>
            <w:r>
              <w:rPr>
                <w:rFonts w:eastAsia="Times New Roman" w:cs="Calibri"/>
                <w:sz w:val="24"/>
                <w:szCs w:val="24"/>
                <w:lang w:val="en-US" w:eastAsia="fr-BE"/>
              </w:rPr>
              <w:t>EAPN</w:t>
            </w:r>
          </w:p>
          <w:p w:rsidR="0045054D" w:rsidRDefault="00230E5A">
            <w:pPr>
              <w:pStyle w:val="ListParagraph"/>
              <w:numPr>
                <w:ilvl w:val="0"/>
                <w:numId w:val="1"/>
              </w:numPr>
              <w:spacing w:after="0" w:line="240" w:lineRule="auto"/>
              <w:jc w:val="both"/>
              <w:rPr>
                <w:rFonts w:eastAsia="Times New Roman" w:cs="Calibri"/>
                <w:sz w:val="24"/>
                <w:szCs w:val="24"/>
                <w:lang w:val="en-US" w:eastAsia="fr-BE"/>
              </w:rPr>
            </w:pPr>
            <w:r>
              <w:rPr>
                <w:rFonts w:eastAsia="Times New Roman" w:cs="Calibri"/>
                <w:sz w:val="24"/>
                <w:szCs w:val="24"/>
                <w:lang w:val="en-US" w:eastAsia="fr-BE"/>
              </w:rPr>
              <w:t>Analysing the questionnaires received</w:t>
            </w:r>
          </w:p>
          <w:p w:rsidR="0045054D" w:rsidRDefault="0045054D">
            <w:pPr>
              <w:spacing w:after="0" w:line="240" w:lineRule="auto"/>
              <w:jc w:val="both"/>
              <w:rPr>
                <w:rFonts w:eastAsia="Times New Roman" w:cs="Calibri"/>
                <w:sz w:val="24"/>
                <w:szCs w:val="24"/>
                <w:lang w:val="en-US" w:eastAsia="fr-BE"/>
              </w:rPr>
            </w:pPr>
          </w:p>
          <w:p w:rsidR="0045054D" w:rsidRDefault="0045054D">
            <w:pPr>
              <w:spacing w:after="0" w:line="240" w:lineRule="auto"/>
              <w:jc w:val="both"/>
              <w:rPr>
                <w:rFonts w:eastAsia="Times New Roman" w:cs="Calibri"/>
                <w:sz w:val="24"/>
                <w:szCs w:val="24"/>
                <w:lang w:val="en-US" w:eastAsia="fr-BE"/>
              </w:rPr>
            </w:pPr>
          </w:p>
          <w:p w:rsidR="0045054D" w:rsidRDefault="00230E5A">
            <w:pPr>
              <w:spacing w:after="0" w:line="240" w:lineRule="auto"/>
              <w:jc w:val="both"/>
              <w:rPr>
                <w:rFonts w:eastAsia="Times New Roman" w:cs="Calibri"/>
                <w:sz w:val="24"/>
                <w:szCs w:val="24"/>
                <w:lang w:val="en-US" w:eastAsia="fr-BE"/>
              </w:rPr>
            </w:pPr>
            <w:r>
              <w:rPr>
                <w:rFonts w:eastAsia="Times New Roman" w:cs="Calibri"/>
                <w:sz w:val="24"/>
                <w:szCs w:val="24"/>
                <w:lang w:val="en-US" w:eastAsia="fr-BE"/>
              </w:rPr>
              <w:t xml:space="preserve">Presentation &amp; discussion </w:t>
            </w:r>
          </w:p>
          <w:p w:rsidR="0045054D" w:rsidRDefault="00230E5A">
            <w:pPr>
              <w:spacing w:after="0" w:line="240" w:lineRule="auto"/>
              <w:jc w:val="both"/>
              <w:rPr>
                <w:rFonts w:eastAsia="Times New Roman" w:cs="Calibri"/>
                <w:sz w:val="24"/>
                <w:szCs w:val="24"/>
                <w:lang w:val="en-US" w:eastAsia="fr-BE"/>
              </w:rPr>
            </w:pPr>
            <w:r>
              <w:rPr>
                <w:rFonts w:eastAsia="Times New Roman" w:cs="Calibri"/>
                <w:sz w:val="24"/>
                <w:szCs w:val="24"/>
                <w:lang w:val="en-US" w:eastAsia="fr-BE"/>
              </w:rPr>
              <w:t xml:space="preserve">What we have received back from members, what is the situation of implementing the MASS and what resources we can count on in the future. </w:t>
            </w:r>
          </w:p>
          <w:p w:rsidR="0045054D" w:rsidRDefault="0045054D">
            <w:pPr>
              <w:spacing w:after="0" w:line="240" w:lineRule="auto"/>
              <w:jc w:val="both"/>
              <w:rPr>
                <w:rFonts w:eastAsia="Times New Roman" w:cs="Calibri"/>
                <w:sz w:val="24"/>
                <w:szCs w:val="24"/>
                <w:lang w:val="en-US" w:eastAsia="fr-BE"/>
              </w:rPr>
            </w:pPr>
          </w:p>
        </w:tc>
      </w:tr>
      <w:tr w:rsidR="0045054D">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10:00</w:t>
            </w:r>
          </w:p>
        </w:tc>
        <w:tc>
          <w:tcPr>
            <w:tcW w:w="763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Coffee break</w:t>
            </w:r>
          </w:p>
        </w:tc>
      </w:tr>
      <w:tr w:rsidR="0045054D">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12.00 – 13.00</w:t>
            </w:r>
          </w:p>
        </w:tc>
        <w:tc>
          <w:tcPr>
            <w:tcW w:w="763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Lunch</w:t>
            </w:r>
          </w:p>
        </w:tc>
      </w:tr>
      <w:tr w:rsidR="0045054D" w:rsidRPr="00230E5A">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13.00 – 14.30</w:t>
            </w:r>
          </w:p>
        </w:tc>
        <w:tc>
          <w:tcPr>
            <w:tcW w:w="763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val="en-US" w:eastAsia="fr-BE"/>
              </w:rPr>
            </w:pPr>
            <w:r>
              <w:rPr>
                <w:rFonts w:eastAsia="Times New Roman" w:cs="Calibri"/>
                <w:b/>
                <w:color w:val="002060"/>
                <w:sz w:val="24"/>
                <w:szCs w:val="24"/>
                <w:lang w:val="en-US" w:eastAsia="fr-BE"/>
              </w:rPr>
              <w:t>Putting together the building blocks of the draft Training and Capacity Building Agenda of EAPN</w:t>
            </w:r>
          </w:p>
        </w:tc>
      </w:tr>
      <w:tr w:rsidR="0045054D">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54D" w:rsidRDefault="0045054D">
            <w:pPr>
              <w:spacing w:after="0" w:line="360" w:lineRule="auto"/>
              <w:jc w:val="both"/>
              <w:rPr>
                <w:rFonts w:eastAsia="Times New Roman" w:cs="Calibri"/>
                <w:b/>
                <w:sz w:val="24"/>
                <w:szCs w:val="24"/>
                <w:lang w:val="en-US" w:eastAsia="fr-BE"/>
              </w:rPr>
            </w:pP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54D" w:rsidRDefault="00230E5A">
            <w:pPr>
              <w:numPr>
                <w:ilvl w:val="0"/>
                <w:numId w:val="2"/>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Identifying common needs expressed;</w:t>
            </w:r>
          </w:p>
          <w:p w:rsidR="0045054D" w:rsidRDefault="00230E5A">
            <w:pPr>
              <w:numPr>
                <w:ilvl w:val="0"/>
                <w:numId w:val="2"/>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Identifying areas that EAPN can support members in;</w:t>
            </w:r>
          </w:p>
          <w:p w:rsidR="0045054D" w:rsidRDefault="00230E5A">
            <w:pPr>
              <w:numPr>
                <w:ilvl w:val="0"/>
                <w:numId w:val="2"/>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 xml:space="preserve">Identifying areas that EAPN can draw on member </w:t>
            </w:r>
            <w:r>
              <w:rPr>
                <w:rFonts w:eastAsia="Times New Roman" w:cs="Calibri"/>
                <w:sz w:val="24"/>
                <w:szCs w:val="24"/>
                <w:lang w:val="en-US" w:eastAsia="fr-BE"/>
              </w:rPr>
              <w:t>expertise;</w:t>
            </w:r>
          </w:p>
          <w:p w:rsidR="0045054D" w:rsidRDefault="00230E5A">
            <w:pPr>
              <w:numPr>
                <w:ilvl w:val="0"/>
                <w:numId w:val="2"/>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 xml:space="preserve">Identifying areas that EAPN should draw on external expertise; </w:t>
            </w:r>
          </w:p>
          <w:p w:rsidR="0045054D" w:rsidRDefault="0045054D">
            <w:pPr>
              <w:spacing w:after="0" w:line="240" w:lineRule="auto"/>
              <w:jc w:val="both"/>
              <w:rPr>
                <w:rFonts w:eastAsia="Times New Roman" w:cs="Calibri"/>
                <w:sz w:val="24"/>
                <w:szCs w:val="24"/>
                <w:lang w:val="en-US" w:eastAsia="fr-BE"/>
              </w:rPr>
            </w:pPr>
          </w:p>
          <w:p w:rsidR="0045054D" w:rsidRDefault="00230E5A">
            <w:pPr>
              <w:spacing w:after="0" w:line="240" w:lineRule="auto"/>
              <w:jc w:val="both"/>
              <w:rPr>
                <w:rFonts w:eastAsia="Times New Roman" w:cs="Calibri"/>
                <w:sz w:val="24"/>
                <w:szCs w:val="24"/>
                <w:lang w:val="en-US" w:eastAsia="fr-BE"/>
              </w:rPr>
            </w:pPr>
            <w:r>
              <w:rPr>
                <w:rFonts w:eastAsia="Times New Roman" w:cs="Calibri"/>
                <w:sz w:val="24"/>
                <w:szCs w:val="24"/>
                <w:lang w:val="en-US" w:eastAsia="fr-BE"/>
              </w:rPr>
              <w:t xml:space="preserve">Discussion and drafting </w:t>
            </w:r>
          </w:p>
        </w:tc>
      </w:tr>
      <w:tr w:rsidR="0045054D">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14.30-15.00</w:t>
            </w:r>
          </w:p>
        </w:tc>
        <w:tc>
          <w:tcPr>
            <w:tcW w:w="763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Coffee break</w:t>
            </w:r>
          </w:p>
        </w:tc>
      </w:tr>
      <w:tr w:rsidR="0045054D" w:rsidRPr="00230E5A">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eastAsia="fr-BE"/>
              </w:rPr>
            </w:pPr>
            <w:r>
              <w:rPr>
                <w:rFonts w:eastAsia="Times New Roman" w:cs="Calibri"/>
                <w:b/>
                <w:color w:val="002060"/>
                <w:sz w:val="24"/>
                <w:szCs w:val="24"/>
                <w:lang w:eastAsia="fr-BE"/>
              </w:rPr>
              <w:t>15.00-16.00</w:t>
            </w:r>
          </w:p>
        </w:tc>
        <w:tc>
          <w:tcPr>
            <w:tcW w:w="7632" w:type="dxa"/>
            <w:tcBorders>
              <w:top w:val="single" w:sz="4" w:space="0" w:color="000000"/>
              <w:left w:val="single" w:sz="4" w:space="0" w:color="000000"/>
              <w:bottom w:val="single" w:sz="4" w:space="0" w:color="000000"/>
              <w:right w:val="single" w:sz="4" w:space="0" w:color="000000"/>
            </w:tcBorders>
            <w:shd w:val="clear" w:color="auto" w:fill="E6E6E6"/>
            <w:tcMar>
              <w:top w:w="0" w:type="dxa"/>
              <w:left w:w="108" w:type="dxa"/>
              <w:bottom w:w="0" w:type="dxa"/>
              <w:right w:w="108" w:type="dxa"/>
            </w:tcMar>
          </w:tcPr>
          <w:p w:rsidR="0045054D" w:rsidRDefault="00230E5A">
            <w:pPr>
              <w:spacing w:after="0" w:line="240" w:lineRule="auto"/>
              <w:jc w:val="both"/>
              <w:rPr>
                <w:rFonts w:eastAsia="Times New Roman" w:cs="Calibri"/>
                <w:b/>
                <w:color w:val="002060"/>
                <w:sz w:val="24"/>
                <w:szCs w:val="24"/>
                <w:lang w:val="en-US" w:eastAsia="fr-BE"/>
              </w:rPr>
            </w:pPr>
            <w:r>
              <w:rPr>
                <w:rFonts w:eastAsia="Times New Roman" w:cs="Calibri"/>
                <w:b/>
                <w:color w:val="002060"/>
                <w:sz w:val="24"/>
                <w:szCs w:val="24"/>
                <w:lang w:val="en-US" w:eastAsia="fr-BE"/>
              </w:rPr>
              <w:t xml:space="preserve">Planning the December network development seminar, next steps, tasks and deadlines </w:t>
            </w:r>
          </w:p>
        </w:tc>
      </w:tr>
      <w:tr w:rsidR="0045054D">
        <w:tblPrEx>
          <w:tblCellMar>
            <w:top w:w="0" w:type="dxa"/>
            <w:bottom w:w="0" w:type="dxa"/>
          </w:tblCellMar>
        </w:tblPrEx>
        <w:tc>
          <w:tcPr>
            <w:tcW w:w="1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54D" w:rsidRDefault="0045054D">
            <w:pPr>
              <w:spacing w:after="0" w:line="240" w:lineRule="auto"/>
              <w:jc w:val="both"/>
              <w:rPr>
                <w:rFonts w:eastAsia="Times New Roman" w:cs="Calibri"/>
                <w:b/>
                <w:sz w:val="24"/>
                <w:szCs w:val="24"/>
                <w:lang w:val="en-US" w:eastAsia="fr-BE"/>
              </w:rPr>
            </w:pPr>
          </w:p>
        </w:tc>
        <w:tc>
          <w:tcPr>
            <w:tcW w:w="7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5054D" w:rsidRDefault="00230E5A">
            <w:pPr>
              <w:numPr>
                <w:ilvl w:val="0"/>
                <w:numId w:val="3"/>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 xml:space="preserve">Draft a programme for the </w:t>
            </w:r>
            <w:r>
              <w:rPr>
                <w:rFonts w:eastAsia="Times New Roman" w:cs="Calibri"/>
                <w:sz w:val="24"/>
                <w:szCs w:val="24"/>
                <w:lang w:val="en-US" w:eastAsia="fr-BE"/>
              </w:rPr>
              <w:t>network development seminar in December</w:t>
            </w:r>
          </w:p>
          <w:p w:rsidR="0045054D" w:rsidRDefault="00230E5A">
            <w:pPr>
              <w:numPr>
                <w:ilvl w:val="0"/>
                <w:numId w:val="3"/>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Draft the methodology and additional resource persons needed</w:t>
            </w:r>
          </w:p>
          <w:p w:rsidR="0045054D" w:rsidRDefault="0045054D">
            <w:pPr>
              <w:spacing w:after="0" w:line="240" w:lineRule="auto"/>
              <w:ind w:left="437"/>
              <w:jc w:val="both"/>
              <w:rPr>
                <w:rFonts w:eastAsia="Times New Roman" w:cs="Calibri"/>
                <w:sz w:val="24"/>
                <w:szCs w:val="24"/>
                <w:lang w:val="en-US" w:eastAsia="fr-BE"/>
              </w:rPr>
            </w:pPr>
          </w:p>
          <w:p w:rsidR="0045054D" w:rsidRDefault="00230E5A">
            <w:pPr>
              <w:numPr>
                <w:ilvl w:val="0"/>
                <w:numId w:val="3"/>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Wrap up the two proposals, set timeline and division of tasks among members of the Task Force</w:t>
            </w:r>
          </w:p>
          <w:p w:rsidR="0045054D" w:rsidRDefault="00230E5A">
            <w:pPr>
              <w:numPr>
                <w:ilvl w:val="0"/>
                <w:numId w:val="3"/>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 xml:space="preserve">Set the date for the next meeting </w:t>
            </w:r>
          </w:p>
          <w:p w:rsidR="0045054D" w:rsidRDefault="00230E5A">
            <w:pPr>
              <w:numPr>
                <w:ilvl w:val="0"/>
                <w:numId w:val="3"/>
              </w:numPr>
              <w:spacing w:after="0" w:line="240" w:lineRule="auto"/>
              <w:ind w:left="437" w:hanging="425"/>
              <w:jc w:val="both"/>
              <w:rPr>
                <w:rFonts w:eastAsia="Times New Roman" w:cs="Calibri"/>
                <w:sz w:val="24"/>
                <w:szCs w:val="24"/>
                <w:lang w:val="en-US" w:eastAsia="fr-BE"/>
              </w:rPr>
            </w:pPr>
            <w:r>
              <w:rPr>
                <w:rFonts w:eastAsia="Times New Roman" w:cs="Calibri"/>
                <w:sz w:val="24"/>
                <w:szCs w:val="24"/>
                <w:lang w:val="en-US" w:eastAsia="fr-BE"/>
              </w:rPr>
              <w:t xml:space="preserve">Evaluation and closing. </w:t>
            </w:r>
          </w:p>
          <w:p w:rsidR="0045054D" w:rsidRDefault="0045054D">
            <w:pPr>
              <w:spacing w:after="0" w:line="240" w:lineRule="auto"/>
              <w:jc w:val="both"/>
              <w:rPr>
                <w:rFonts w:eastAsia="Times New Roman" w:cs="Calibri"/>
                <w:sz w:val="24"/>
                <w:szCs w:val="24"/>
                <w:lang w:val="en-US" w:eastAsia="fr-BE"/>
              </w:rPr>
            </w:pPr>
          </w:p>
        </w:tc>
      </w:tr>
    </w:tbl>
    <w:p w:rsidR="0045054D" w:rsidRDefault="0045054D">
      <w:pPr>
        <w:jc w:val="both"/>
        <w:rPr>
          <w:rFonts w:cs="Calibri"/>
          <w:b/>
          <w:sz w:val="24"/>
          <w:szCs w:val="24"/>
        </w:rPr>
      </w:pPr>
    </w:p>
    <w:p w:rsidR="0045054D" w:rsidRDefault="00230E5A">
      <w:pPr>
        <w:jc w:val="both"/>
        <w:rPr>
          <w:rFonts w:cs="Calibri"/>
          <w:b/>
          <w:sz w:val="24"/>
          <w:szCs w:val="24"/>
          <w:lang w:val="en-US"/>
        </w:rPr>
      </w:pPr>
      <w:r>
        <w:rPr>
          <w:rFonts w:cs="Calibri"/>
          <w:b/>
          <w:sz w:val="24"/>
          <w:szCs w:val="24"/>
          <w:lang w:val="en-US"/>
        </w:rPr>
        <w:t xml:space="preserve">Background info from the Call for the Task Force </w:t>
      </w:r>
    </w:p>
    <w:p w:rsidR="0045054D" w:rsidRPr="00230E5A" w:rsidRDefault="00230E5A">
      <w:pPr>
        <w:rPr>
          <w:lang w:val="en-US"/>
        </w:rPr>
      </w:pPr>
      <w:r>
        <w:rPr>
          <w:rFonts w:cs="Calibri"/>
          <w:b/>
          <w:sz w:val="24"/>
          <w:szCs w:val="24"/>
          <w:lang w:val="en-US"/>
        </w:rPr>
        <w:t xml:space="preserve">Objective: </w:t>
      </w:r>
      <w:r>
        <w:rPr>
          <w:rFonts w:cs="Calibri"/>
          <w:sz w:val="24"/>
          <w:szCs w:val="24"/>
          <w:lang w:val="en-US"/>
        </w:rPr>
        <w:t xml:space="preserve">Building on the results of the Membership Review and Support System Task Force, map out the capacity building needs of the members, the expertise that members can provide, the priorities that </w:t>
      </w:r>
      <w:r>
        <w:rPr>
          <w:rFonts w:cs="Calibri"/>
          <w:sz w:val="24"/>
          <w:szCs w:val="24"/>
          <w:lang w:val="en-US"/>
        </w:rPr>
        <w:t xml:space="preserve">members have in terms of network development and develop an EAPN training agenda and develop the establishment of a pool of trainers of EAPN within the framework of the Strategic Plan. </w:t>
      </w:r>
    </w:p>
    <w:p w:rsidR="0045054D" w:rsidRDefault="00230E5A">
      <w:pPr>
        <w:spacing w:after="0" w:line="240" w:lineRule="auto"/>
        <w:jc w:val="both"/>
        <w:rPr>
          <w:rFonts w:cs="Calibri"/>
          <w:b/>
          <w:sz w:val="24"/>
          <w:szCs w:val="24"/>
          <w:lang w:val="en-US"/>
        </w:rPr>
      </w:pPr>
      <w:r>
        <w:rPr>
          <w:rFonts w:cs="Calibri"/>
          <w:b/>
          <w:sz w:val="24"/>
          <w:szCs w:val="24"/>
          <w:lang w:val="en-US"/>
        </w:rPr>
        <w:t>Working Method:</w:t>
      </w:r>
    </w:p>
    <w:p w:rsidR="0045054D" w:rsidRDefault="00230E5A">
      <w:pPr>
        <w:jc w:val="both"/>
        <w:rPr>
          <w:rFonts w:cs="Calibri"/>
          <w:sz w:val="24"/>
          <w:szCs w:val="24"/>
          <w:lang w:val="en-US"/>
        </w:rPr>
      </w:pPr>
      <w:r>
        <w:rPr>
          <w:rFonts w:cs="Calibri"/>
          <w:sz w:val="24"/>
          <w:szCs w:val="24"/>
          <w:lang w:val="en-US"/>
        </w:rPr>
        <w:t>- map out the training and capacity building needs;</w:t>
      </w:r>
    </w:p>
    <w:p w:rsidR="0045054D" w:rsidRDefault="00230E5A">
      <w:pPr>
        <w:jc w:val="both"/>
        <w:rPr>
          <w:rFonts w:cs="Calibri"/>
          <w:sz w:val="24"/>
          <w:szCs w:val="24"/>
          <w:lang w:val="en-US"/>
        </w:rPr>
      </w:pPr>
      <w:r>
        <w:rPr>
          <w:rFonts w:cs="Calibri"/>
          <w:sz w:val="24"/>
          <w:szCs w:val="24"/>
          <w:lang w:val="en-US"/>
        </w:rPr>
        <w:t xml:space="preserve">- </w:t>
      </w:r>
      <w:r>
        <w:rPr>
          <w:rFonts w:cs="Calibri"/>
          <w:sz w:val="24"/>
          <w:szCs w:val="24"/>
          <w:lang w:val="en-US"/>
        </w:rPr>
        <w:t>map out the expertise among members and identify persons with training and development profile who could form a future pool of trainers;</w:t>
      </w:r>
    </w:p>
    <w:p w:rsidR="0045054D" w:rsidRDefault="00230E5A">
      <w:pPr>
        <w:jc w:val="both"/>
        <w:rPr>
          <w:rFonts w:cs="Calibri"/>
          <w:sz w:val="24"/>
          <w:szCs w:val="24"/>
          <w:lang w:val="en-US"/>
        </w:rPr>
      </w:pPr>
      <w:r>
        <w:rPr>
          <w:rFonts w:cs="Calibri"/>
          <w:sz w:val="24"/>
          <w:szCs w:val="24"/>
          <w:lang w:val="en-US"/>
        </w:rPr>
        <w:t xml:space="preserve">- develop a prioritized training and capacity building agenda and the establishment of a pool of trainers to carry out </w:t>
      </w:r>
      <w:r>
        <w:rPr>
          <w:rFonts w:cs="Calibri"/>
          <w:sz w:val="24"/>
          <w:szCs w:val="24"/>
          <w:lang w:val="en-US"/>
        </w:rPr>
        <w:t>this work;</w:t>
      </w:r>
    </w:p>
    <w:p w:rsidR="0045054D" w:rsidRDefault="00230E5A">
      <w:pPr>
        <w:jc w:val="both"/>
        <w:rPr>
          <w:rFonts w:cs="Calibri"/>
          <w:sz w:val="24"/>
          <w:szCs w:val="24"/>
          <w:lang w:val="en-US"/>
        </w:rPr>
      </w:pPr>
      <w:r>
        <w:rPr>
          <w:rFonts w:cs="Calibri"/>
          <w:sz w:val="24"/>
          <w:szCs w:val="24"/>
          <w:lang w:val="en-US"/>
        </w:rPr>
        <w:t xml:space="preserve">- plan the first meeting of the pool of trainers in 2013; </w:t>
      </w:r>
    </w:p>
    <w:p w:rsidR="0045054D" w:rsidRDefault="00230E5A">
      <w:pPr>
        <w:jc w:val="both"/>
        <w:rPr>
          <w:rFonts w:cs="Calibri"/>
          <w:sz w:val="24"/>
          <w:szCs w:val="24"/>
          <w:lang w:val="en-US"/>
        </w:rPr>
      </w:pPr>
      <w:r>
        <w:rPr>
          <w:rFonts w:cs="Calibri"/>
          <w:sz w:val="24"/>
          <w:szCs w:val="24"/>
          <w:lang w:val="en-US"/>
        </w:rPr>
        <w:t>- provide support to members, if requested, on their development plans and if necessary assist with implementation. Support needs identified should also be carried forward to the pool of</w:t>
      </w:r>
      <w:r>
        <w:rPr>
          <w:rFonts w:cs="Calibri"/>
          <w:sz w:val="24"/>
          <w:szCs w:val="24"/>
          <w:lang w:val="en-US"/>
        </w:rPr>
        <w:t xml:space="preserve"> trainers. </w:t>
      </w:r>
    </w:p>
    <w:p w:rsidR="0045054D" w:rsidRDefault="00230E5A">
      <w:pPr>
        <w:jc w:val="both"/>
        <w:rPr>
          <w:rFonts w:cs="Calibri"/>
          <w:sz w:val="24"/>
          <w:szCs w:val="24"/>
          <w:lang w:val="en-US"/>
        </w:rPr>
      </w:pPr>
      <w:r>
        <w:rPr>
          <w:rFonts w:cs="Calibri"/>
          <w:sz w:val="24"/>
          <w:szCs w:val="24"/>
          <w:lang w:val="en-US"/>
        </w:rPr>
        <w:t xml:space="preserve">- identify alliances that can help strengthen the capacity of the members. </w:t>
      </w:r>
    </w:p>
    <w:p w:rsidR="0045054D" w:rsidRDefault="00230E5A">
      <w:pPr>
        <w:jc w:val="both"/>
        <w:rPr>
          <w:rFonts w:cs="Calibri"/>
          <w:sz w:val="24"/>
          <w:szCs w:val="24"/>
          <w:lang w:val="en-US"/>
        </w:rPr>
      </w:pPr>
      <w:r>
        <w:rPr>
          <w:rFonts w:cs="Calibri"/>
          <w:sz w:val="24"/>
          <w:szCs w:val="24"/>
          <w:lang w:val="en-US"/>
        </w:rPr>
        <w:t>The Task Force should meet 3 to 4 times to plan and launch the mapping exercise, have a first review of the progress in a second meeting and finalise the work in a thir</w:t>
      </w:r>
      <w:r>
        <w:rPr>
          <w:rFonts w:cs="Calibri"/>
          <w:sz w:val="24"/>
          <w:szCs w:val="24"/>
          <w:lang w:val="en-US"/>
        </w:rPr>
        <w:t xml:space="preserve">d meeting, including presenting a well argued priority list. Members of the Task Force should commit to attending all the meetings of the Task Force and to progressing the work between meetings using email, skype, telephone or other tools. </w:t>
      </w:r>
    </w:p>
    <w:p w:rsidR="0045054D" w:rsidRPr="00230E5A" w:rsidRDefault="00230E5A">
      <w:pPr>
        <w:spacing w:after="0" w:line="240" w:lineRule="auto"/>
        <w:jc w:val="both"/>
        <w:rPr>
          <w:lang w:val="en-US"/>
        </w:rPr>
      </w:pPr>
      <w:r>
        <w:rPr>
          <w:rFonts w:cs="Calibri"/>
          <w:b/>
          <w:sz w:val="24"/>
          <w:szCs w:val="24"/>
          <w:lang w:val="en-US"/>
        </w:rPr>
        <w:t>Background docu</w:t>
      </w:r>
      <w:r>
        <w:rPr>
          <w:rFonts w:cs="Calibri"/>
          <w:b/>
          <w:sz w:val="24"/>
          <w:szCs w:val="24"/>
          <w:lang w:val="en-US"/>
        </w:rPr>
        <w:t xml:space="preserve">ments to use in preparation: </w:t>
      </w:r>
    </w:p>
    <w:p w:rsidR="0045054D" w:rsidRDefault="00230E5A">
      <w:pPr>
        <w:jc w:val="both"/>
        <w:rPr>
          <w:rFonts w:cs="Calibri"/>
          <w:sz w:val="24"/>
          <w:szCs w:val="24"/>
          <w:lang w:val="en-US"/>
        </w:rPr>
      </w:pPr>
      <w:r>
        <w:rPr>
          <w:rFonts w:cs="Calibri"/>
          <w:sz w:val="24"/>
          <w:szCs w:val="24"/>
          <w:lang w:val="en-US"/>
        </w:rPr>
        <w:t xml:space="preserve">Mapping questionnaires received, EAPN Strategic Plan and MASS – Membership Assessment and Support System </w:t>
      </w:r>
    </w:p>
    <w:p w:rsidR="0045054D" w:rsidRDefault="0045054D">
      <w:pPr>
        <w:rPr>
          <w:lang w:val="en-US"/>
        </w:rPr>
      </w:pPr>
    </w:p>
    <w:sectPr w:rsidR="0045054D">
      <w:pgSz w:w="11906" w:h="16838"/>
      <w:pgMar w:top="1417" w:right="1417" w:bottom="1417"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0E5A">
      <w:pPr>
        <w:spacing w:after="0" w:line="240" w:lineRule="auto"/>
      </w:pPr>
      <w:r>
        <w:separator/>
      </w:r>
    </w:p>
  </w:endnote>
  <w:endnote w:type="continuationSeparator" w:id="0">
    <w:p w:rsidR="00000000" w:rsidRDefault="0023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0E5A">
      <w:pPr>
        <w:spacing w:after="0" w:line="240" w:lineRule="auto"/>
      </w:pPr>
      <w:r>
        <w:rPr>
          <w:color w:val="000000"/>
        </w:rPr>
        <w:separator/>
      </w:r>
    </w:p>
  </w:footnote>
  <w:footnote w:type="continuationSeparator" w:id="0">
    <w:p w:rsidR="00000000" w:rsidRDefault="00230E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82EC4"/>
    <w:multiLevelType w:val="multilevel"/>
    <w:tmpl w:val="977AC372"/>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66C44A84"/>
    <w:multiLevelType w:val="multilevel"/>
    <w:tmpl w:val="CF4C4908"/>
    <w:lvl w:ilvl="0">
      <w:numFmt w:val="bullet"/>
      <w:lvlText w:val="-"/>
      <w:lvlJc w:val="left"/>
      <w:pPr>
        <w:ind w:left="360" w:hanging="360"/>
      </w:pPr>
      <w:rPr>
        <w:rFonts w:ascii="Arial Narrow" w:eastAsia="Times New Roman" w:hAnsi="Arial Narrow"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6DB221E5"/>
    <w:multiLevelType w:val="multilevel"/>
    <w:tmpl w:val="147C55C4"/>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55"/>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45054D"/>
    <w:rsid w:val="00230E5A"/>
    <w:rsid w:val="004505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42713-0F8A-4E99-BBA0-9C7D8045D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Basarab</dc:creator>
  <dc:description/>
  <cp:lastModifiedBy>Tanya Basarab</cp:lastModifiedBy>
  <cp:revision>2</cp:revision>
  <dcterms:created xsi:type="dcterms:W3CDTF">2013-09-12T12:54:00Z</dcterms:created>
  <dcterms:modified xsi:type="dcterms:W3CDTF">2013-09-12T12:54:00Z</dcterms:modified>
</cp:coreProperties>
</file>