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77EDF8" w14:textId="77777777" w:rsidR="006C2E8D" w:rsidRDefault="006C2E8D" w:rsidP="006C2E8D">
      <w:pPr>
        <w:pStyle w:val="ListParagraph"/>
        <w:spacing w:after="0" w:line="240" w:lineRule="auto"/>
        <w:ind w:left="360"/>
        <w:jc w:val="center"/>
        <w:rPr>
          <w:rFonts w:cstheme="minorHAnsi"/>
          <w:b/>
          <w:sz w:val="28"/>
          <w:szCs w:val="28"/>
          <w:lang w:val="en-GB"/>
        </w:rPr>
      </w:pPr>
    </w:p>
    <w:p w14:paraId="60F1075A" w14:textId="77777777" w:rsidR="006C2E8D" w:rsidRPr="006C2E8D" w:rsidRDefault="006C2E8D" w:rsidP="006C2E8D">
      <w:pPr>
        <w:pStyle w:val="ListParagraph"/>
        <w:spacing w:after="0" w:line="240" w:lineRule="auto"/>
        <w:ind w:left="360"/>
        <w:jc w:val="center"/>
        <w:rPr>
          <w:rFonts w:cstheme="minorHAnsi"/>
          <w:b/>
          <w:sz w:val="28"/>
          <w:szCs w:val="28"/>
          <w:lang w:val="en-GB"/>
        </w:rPr>
      </w:pPr>
      <w:r w:rsidRPr="006C2E8D">
        <w:rPr>
          <w:rFonts w:cstheme="minorHAnsi"/>
          <w:b/>
          <w:sz w:val="28"/>
          <w:szCs w:val="28"/>
          <w:lang w:val="en-GB"/>
        </w:rPr>
        <w:t>EAPN TASK FORCE ON DECENT WORK</w:t>
      </w:r>
    </w:p>
    <w:p w14:paraId="19B3F3BF" w14:textId="77777777" w:rsidR="006C2E8D" w:rsidRPr="006C2E8D" w:rsidRDefault="006C2E8D" w:rsidP="006C2E8D">
      <w:pPr>
        <w:pStyle w:val="ListParagraph"/>
        <w:spacing w:after="0" w:line="240" w:lineRule="auto"/>
        <w:ind w:left="360"/>
        <w:jc w:val="center"/>
        <w:rPr>
          <w:rFonts w:cstheme="minorHAnsi"/>
          <w:b/>
          <w:i/>
          <w:sz w:val="28"/>
          <w:szCs w:val="28"/>
          <w:lang w:val="en-GB"/>
        </w:rPr>
      </w:pPr>
      <w:r w:rsidRPr="006C2E8D">
        <w:rPr>
          <w:rFonts w:cstheme="minorHAnsi"/>
          <w:b/>
          <w:i/>
          <w:sz w:val="28"/>
          <w:szCs w:val="28"/>
          <w:lang w:val="en-GB"/>
        </w:rPr>
        <w:t>Towards an EAPN Living Wage Campaign</w:t>
      </w:r>
    </w:p>
    <w:p w14:paraId="279A9704" w14:textId="77777777" w:rsidR="002137FF" w:rsidRDefault="002137FF" w:rsidP="002137FF">
      <w:pPr>
        <w:spacing w:after="0" w:line="240" w:lineRule="auto"/>
        <w:jc w:val="both"/>
        <w:rPr>
          <w:sz w:val="24"/>
          <w:szCs w:val="24"/>
          <w:u w:val="single"/>
          <w:lang w:val="en-GB"/>
        </w:rPr>
      </w:pPr>
    </w:p>
    <w:p w14:paraId="70A049DE" w14:textId="77777777" w:rsidR="006C2E8D" w:rsidRPr="006C2E8D" w:rsidRDefault="006C2E8D" w:rsidP="006C2E8D">
      <w:pPr>
        <w:spacing w:after="0" w:line="240" w:lineRule="auto"/>
        <w:jc w:val="center"/>
        <w:rPr>
          <w:sz w:val="28"/>
          <w:szCs w:val="28"/>
          <w:u w:val="single"/>
          <w:lang w:val="en-GB"/>
        </w:rPr>
      </w:pPr>
      <w:r w:rsidRPr="006C2E8D">
        <w:rPr>
          <w:sz w:val="28"/>
          <w:szCs w:val="28"/>
          <w:u w:val="single"/>
          <w:lang w:val="en-GB"/>
        </w:rPr>
        <w:t>Feasibility Questionnaire</w:t>
      </w:r>
    </w:p>
    <w:p w14:paraId="503ECC8C" w14:textId="77777777" w:rsidR="006C2E8D" w:rsidRDefault="006C2E8D" w:rsidP="002137FF">
      <w:pPr>
        <w:spacing w:after="0" w:line="240" w:lineRule="auto"/>
        <w:jc w:val="both"/>
        <w:rPr>
          <w:sz w:val="24"/>
          <w:szCs w:val="24"/>
          <w:u w:val="single"/>
          <w:lang w:val="en-GB"/>
        </w:rPr>
      </w:pPr>
    </w:p>
    <w:p w14:paraId="1439FD4A" w14:textId="77777777" w:rsidR="006C2E8D" w:rsidRDefault="006C2E8D" w:rsidP="002137FF">
      <w:pPr>
        <w:spacing w:after="0" w:line="240" w:lineRule="auto"/>
        <w:jc w:val="both"/>
        <w:rPr>
          <w:sz w:val="24"/>
          <w:szCs w:val="24"/>
          <w:u w:val="single"/>
          <w:lang w:val="en-GB"/>
        </w:rPr>
      </w:pPr>
    </w:p>
    <w:p w14:paraId="0FB6BEFA" w14:textId="77777777" w:rsidR="006C2E8D" w:rsidRDefault="006C2E8D" w:rsidP="002137FF">
      <w:pPr>
        <w:spacing w:after="0" w:line="240" w:lineRule="auto"/>
        <w:jc w:val="both"/>
        <w:rPr>
          <w:sz w:val="24"/>
          <w:szCs w:val="24"/>
          <w:u w:val="single"/>
          <w:lang w:val="en-US"/>
        </w:rPr>
      </w:pPr>
      <w:r>
        <w:rPr>
          <w:sz w:val="24"/>
          <w:szCs w:val="24"/>
          <w:u w:val="single"/>
          <w:lang w:val="en-US"/>
        </w:rPr>
        <w:t>What is EAPN’s Decent Work Task Force?</w:t>
      </w:r>
    </w:p>
    <w:p w14:paraId="70C92E0C" w14:textId="77777777" w:rsidR="006C2E8D" w:rsidRPr="006C2E8D" w:rsidRDefault="006C2E8D" w:rsidP="006C2E8D">
      <w:pPr>
        <w:pStyle w:val="NormalWeb"/>
        <w:shd w:val="clear" w:color="auto" w:fill="FFFFFF"/>
        <w:spacing w:before="0" w:beforeAutospacing="0" w:after="0" w:afterAutospacing="0"/>
        <w:jc w:val="both"/>
        <w:rPr>
          <w:rFonts w:asciiTheme="minorHAnsi" w:hAnsiTheme="minorHAnsi" w:cs="Arial"/>
          <w:shd w:val="clear" w:color="auto" w:fill="FFFFFF"/>
          <w:lang w:val="en-US"/>
        </w:rPr>
      </w:pPr>
    </w:p>
    <w:p w14:paraId="70F86929" w14:textId="77777777" w:rsidR="006C2E8D" w:rsidRPr="006C2E8D" w:rsidRDefault="006C2E8D" w:rsidP="006C2E8D">
      <w:pPr>
        <w:pStyle w:val="NormalWeb"/>
        <w:shd w:val="clear" w:color="auto" w:fill="FFFFFF"/>
        <w:spacing w:before="0" w:beforeAutospacing="0" w:after="0" w:afterAutospacing="0"/>
        <w:jc w:val="both"/>
        <w:rPr>
          <w:rFonts w:asciiTheme="minorHAnsi" w:hAnsiTheme="minorHAnsi" w:cs="Arial"/>
        </w:rPr>
      </w:pPr>
      <w:r w:rsidRPr="006C2E8D">
        <w:rPr>
          <w:rFonts w:asciiTheme="minorHAnsi" w:hAnsiTheme="minorHAnsi" w:cs="Arial"/>
          <w:shd w:val="clear" w:color="auto" w:fill="FFFFFF"/>
        </w:rPr>
        <w:t xml:space="preserve">The objective of the Task Force is to elaborate a Concept and Feasibility Note regarding the implementation of an EAPN-wide Living Wage Campaign, and to prepare a Campaign Guide and other ancillary campaign materials to support members in implementing such an initiative. </w:t>
      </w:r>
      <w:hyperlink r:id="rId6" w:history="1">
        <w:r w:rsidRPr="00D92F64">
          <w:rPr>
            <w:rStyle w:val="Hyperlink"/>
            <w:rFonts w:asciiTheme="minorHAnsi" w:hAnsiTheme="minorHAnsi" w:cs="Arial"/>
            <w:shd w:val="clear" w:color="auto" w:fill="FFFFFF"/>
          </w:rPr>
          <w:t>The Scottish Living Wage Campaign</w:t>
        </w:r>
      </w:hyperlink>
      <w:r w:rsidRPr="00D92F64">
        <w:rPr>
          <w:rFonts w:asciiTheme="minorHAnsi" w:hAnsiTheme="minorHAnsi" w:cs="Arial"/>
          <w:color w:val="000080"/>
          <w:shd w:val="clear" w:color="auto" w:fill="FFFFFF"/>
        </w:rPr>
        <w:t xml:space="preserve"> </w:t>
      </w:r>
      <w:r w:rsidRPr="006C2E8D">
        <w:rPr>
          <w:rFonts w:asciiTheme="minorHAnsi" w:hAnsiTheme="minorHAnsi" w:cs="Arial"/>
          <w:shd w:val="clear" w:color="auto" w:fill="FFFFFF"/>
        </w:rPr>
        <w:t>will be used as a model, and the role of the Task Force is to see to what extent it can be transposed, as well as improved, for use across the EAPN membership.</w:t>
      </w:r>
      <w:r w:rsidRPr="006C2E8D">
        <w:rPr>
          <w:rFonts w:asciiTheme="minorHAnsi" w:hAnsiTheme="minorHAnsi" w:cs="Arial"/>
        </w:rPr>
        <w:t xml:space="preserve"> You can </w:t>
      </w:r>
      <w:r>
        <w:rPr>
          <w:rFonts w:asciiTheme="minorHAnsi" w:hAnsiTheme="minorHAnsi" w:cs="Arial"/>
        </w:rPr>
        <w:t>find all information about the Task F</w:t>
      </w:r>
      <w:r w:rsidRPr="006C2E8D">
        <w:rPr>
          <w:rFonts w:asciiTheme="minorHAnsi" w:hAnsiTheme="minorHAnsi" w:cs="Arial"/>
        </w:rPr>
        <w:t>orce</w:t>
      </w:r>
      <w:r>
        <w:rPr>
          <w:rFonts w:asciiTheme="minorHAnsi" w:hAnsiTheme="minorHAnsi" w:cs="Arial"/>
        </w:rPr>
        <w:t xml:space="preserve">, </w:t>
      </w:r>
      <w:r w:rsidRPr="006C2E8D">
        <w:rPr>
          <w:rFonts w:asciiTheme="minorHAnsi" w:hAnsiTheme="minorHAnsi" w:cs="Arial"/>
        </w:rPr>
        <w:t>its mandate</w:t>
      </w:r>
      <w:r>
        <w:rPr>
          <w:rFonts w:asciiTheme="minorHAnsi" w:hAnsiTheme="minorHAnsi" w:cs="Arial"/>
        </w:rPr>
        <w:t>, its members, and its work</w:t>
      </w:r>
      <w:r w:rsidRPr="00D92F64">
        <w:rPr>
          <w:rFonts w:asciiTheme="minorHAnsi" w:hAnsiTheme="minorHAnsi" w:cs="Arial"/>
          <w:color w:val="000080"/>
        </w:rPr>
        <w:t xml:space="preserve"> </w:t>
      </w:r>
      <w:hyperlink r:id="rId7" w:history="1">
        <w:r w:rsidRPr="00D92F64">
          <w:rPr>
            <w:rStyle w:val="Hyperlink"/>
            <w:rFonts w:asciiTheme="minorHAnsi" w:hAnsiTheme="minorHAnsi" w:cs="Arial"/>
          </w:rPr>
          <w:t>here</w:t>
        </w:r>
      </w:hyperlink>
      <w:r w:rsidRPr="00D92F64">
        <w:rPr>
          <w:rFonts w:asciiTheme="minorHAnsi" w:hAnsiTheme="minorHAnsi" w:cs="Arial"/>
          <w:color w:val="000080"/>
        </w:rPr>
        <w:t xml:space="preserve"> </w:t>
      </w:r>
      <w:r w:rsidRPr="006C2E8D">
        <w:rPr>
          <w:rFonts w:asciiTheme="minorHAnsi" w:hAnsiTheme="minorHAnsi" w:cs="Arial"/>
        </w:rPr>
        <w:t xml:space="preserve">(username: </w:t>
      </w:r>
      <w:proofErr w:type="spellStart"/>
      <w:r w:rsidRPr="006C2E8D">
        <w:rPr>
          <w:rFonts w:asciiTheme="minorHAnsi" w:hAnsiTheme="minorHAnsi" w:cs="Arial"/>
        </w:rPr>
        <w:t>eapn</w:t>
      </w:r>
      <w:proofErr w:type="spellEnd"/>
      <w:r w:rsidRPr="006C2E8D">
        <w:rPr>
          <w:rFonts w:asciiTheme="minorHAnsi" w:hAnsiTheme="minorHAnsi" w:cs="Arial"/>
        </w:rPr>
        <w:t>; password: 1515).</w:t>
      </w:r>
    </w:p>
    <w:p w14:paraId="04E72BD4" w14:textId="77777777" w:rsidR="006C2E8D" w:rsidRPr="006C2E8D" w:rsidRDefault="006C2E8D" w:rsidP="002137FF">
      <w:pPr>
        <w:spacing w:after="0" w:line="240" w:lineRule="auto"/>
        <w:jc w:val="both"/>
        <w:rPr>
          <w:sz w:val="24"/>
          <w:szCs w:val="24"/>
          <w:u w:val="single"/>
          <w:lang w:val="en-GB"/>
        </w:rPr>
      </w:pPr>
    </w:p>
    <w:p w14:paraId="33892714" w14:textId="77777777" w:rsidR="006C2E8D" w:rsidRDefault="006C2E8D" w:rsidP="002137FF">
      <w:pPr>
        <w:spacing w:after="0" w:line="240" w:lineRule="auto"/>
        <w:jc w:val="both"/>
        <w:rPr>
          <w:sz w:val="24"/>
          <w:szCs w:val="24"/>
          <w:u w:val="single"/>
          <w:lang w:val="en-US"/>
        </w:rPr>
      </w:pPr>
      <w:r>
        <w:rPr>
          <w:sz w:val="24"/>
          <w:szCs w:val="24"/>
          <w:u w:val="single"/>
          <w:lang w:val="en-US"/>
        </w:rPr>
        <w:t>What is the Scottish Living Wage Campaign?</w:t>
      </w:r>
    </w:p>
    <w:p w14:paraId="2FACF38C" w14:textId="77777777" w:rsidR="006C2E8D" w:rsidRDefault="006C2E8D" w:rsidP="002137FF">
      <w:pPr>
        <w:spacing w:after="0" w:line="240" w:lineRule="auto"/>
        <w:jc w:val="both"/>
        <w:rPr>
          <w:sz w:val="24"/>
          <w:szCs w:val="24"/>
          <w:lang w:val="en-US"/>
        </w:rPr>
      </w:pPr>
    </w:p>
    <w:p w14:paraId="19080E10" w14:textId="77777777" w:rsidR="006C2E8D" w:rsidRPr="006C2E8D" w:rsidRDefault="006C2E8D" w:rsidP="002137FF">
      <w:pPr>
        <w:spacing w:after="0" w:line="240" w:lineRule="auto"/>
        <w:jc w:val="both"/>
        <w:rPr>
          <w:sz w:val="24"/>
          <w:szCs w:val="24"/>
          <w:u w:val="single"/>
          <w:lang w:val="en-GB"/>
        </w:rPr>
      </w:pPr>
      <w:r w:rsidRPr="006C2E8D">
        <w:rPr>
          <w:sz w:val="24"/>
          <w:szCs w:val="24"/>
          <w:lang w:val="en-US"/>
        </w:rPr>
        <w:t xml:space="preserve">As low pay still is a very real problem in Scotland, the Living Wage campaigns decided to take demands directly to employers and try to make a difference, building on the earlier success of such campaigns in London and elsewhere. The campaigns are based on a dual approach, combining lobbying employers, with the help of trade unions, with supporting grassroots organisations to put pressure on local employers to take ownership of the campaign. </w:t>
      </w:r>
      <w:r>
        <w:rPr>
          <w:sz w:val="24"/>
          <w:szCs w:val="24"/>
          <w:lang w:val="en-US"/>
        </w:rPr>
        <w:t>The campaign has</w:t>
      </w:r>
      <w:r w:rsidRPr="006C2E8D">
        <w:rPr>
          <w:sz w:val="24"/>
          <w:szCs w:val="24"/>
          <w:lang w:val="en-US"/>
        </w:rPr>
        <w:t xml:space="preserve"> proved remarkably successful</w:t>
      </w:r>
      <w:r>
        <w:rPr>
          <w:sz w:val="24"/>
          <w:szCs w:val="24"/>
          <w:lang w:val="en-US"/>
        </w:rPr>
        <w:t xml:space="preserve">: </w:t>
      </w:r>
      <w:r w:rsidRPr="006C2E8D">
        <w:rPr>
          <w:sz w:val="24"/>
          <w:szCs w:val="24"/>
          <w:lang w:val="en-US"/>
        </w:rPr>
        <w:t>important institutions have become Living Wage e</w:t>
      </w:r>
      <w:r>
        <w:rPr>
          <w:sz w:val="24"/>
          <w:szCs w:val="24"/>
          <w:lang w:val="en-US"/>
        </w:rPr>
        <w:t>mployers, such as</w:t>
      </w:r>
      <w:r w:rsidRPr="006C2E8D">
        <w:rPr>
          <w:sz w:val="24"/>
          <w:szCs w:val="24"/>
          <w:lang w:val="en-US"/>
        </w:rPr>
        <w:t xml:space="preserve"> The Glasgow City Council, Scottish Enterprise (the agency responsible for business development in Scotland) and Employers in Voluntary Housing. The Glasgow City Council also started their own Glasgow Living Wage Campaign, signing up more than 130 employers as ‘living wage’ employers. The Living Wage has also been debated twice in the Scottish Parliament. As the target were employers and not the State, thus placing on the former the responsibility to fight poverty, it was easier to garner political support. The campaigns also helped forge new links between local community organisations, trade unions, faith-based organisations and other civil-society organisations. </w:t>
      </w:r>
    </w:p>
    <w:p w14:paraId="65104B3C" w14:textId="77777777" w:rsidR="006C2E8D" w:rsidRDefault="006C2E8D" w:rsidP="002137FF">
      <w:pPr>
        <w:spacing w:after="0" w:line="240" w:lineRule="auto"/>
        <w:jc w:val="both"/>
        <w:rPr>
          <w:sz w:val="24"/>
          <w:szCs w:val="24"/>
          <w:u w:val="single"/>
          <w:lang w:val="en-US"/>
        </w:rPr>
      </w:pPr>
    </w:p>
    <w:p w14:paraId="3D232B51" w14:textId="77777777" w:rsidR="002137FF" w:rsidRDefault="006C2E8D" w:rsidP="002137FF">
      <w:pPr>
        <w:spacing w:after="0" w:line="240" w:lineRule="auto"/>
        <w:jc w:val="both"/>
        <w:rPr>
          <w:sz w:val="24"/>
          <w:szCs w:val="24"/>
          <w:lang w:val="en-US"/>
        </w:rPr>
      </w:pPr>
      <w:r>
        <w:rPr>
          <w:sz w:val="24"/>
          <w:szCs w:val="24"/>
          <w:u w:val="single"/>
          <w:lang w:val="en-US"/>
        </w:rPr>
        <w:t>What we need to know from you</w:t>
      </w:r>
    </w:p>
    <w:p w14:paraId="09419932" w14:textId="77777777" w:rsidR="002137FF" w:rsidRPr="006C2E8D" w:rsidRDefault="002137FF" w:rsidP="002137FF">
      <w:pPr>
        <w:spacing w:after="0" w:line="240" w:lineRule="auto"/>
        <w:jc w:val="both"/>
        <w:rPr>
          <w:sz w:val="24"/>
          <w:szCs w:val="24"/>
          <w:lang w:val="en-US"/>
        </w:rPr>
      </w:pPr>
    </w:p>
    <w:p w14:paraId="349ED3AE" w14:textId="77777777" w:rsidR="006C2E8D" w:rsidRDefault="006C2E8D" w:rsidP="006C2E8D">
      <w:pPr>
        <w:pStyle w:val="NormalWeb"/>
        <w:shd w:val="clear" w:color="auto" w:fill="FFFFFF"/>
        <w:spacing w:before="0" w:beforeAutospacing="0" w:after="0" w:afterAutospacing="0"/>
        <w:jc w:val="both"/>
        <w:rPr>
          <w:rFonts w:asciiTheme="minorHAnsi" w:hAnsiTheme="minorHAnsi" w:cs="Arial"/>
        </w:rPr>
      </w:pPr>
      <w:r w:rsidRPr="006C2E8D">
        <w:rPr>
          <w:rFonts w:asciiTheme="minorHAnsi" w:hAnsiTheme="minorHAnsi" w:cs="Arial"/>
        </w:rPr>
        <w:t xml:space="preserve">For the elaboration of the Concept and Feasibility Note, </w:t>
      </w:r>
      <w:r>
        <w:rPr>
          <w:rFonts w:asciiTheme="minorHAnsi" w:hAnsiTheme="minorHAnsi" w:cs="Arial"/>
        </w:rPr>
        <w:t>the Task F</w:t>
      </w:r>
      <w:r w:rsidRPr="006C2E8D">
        <w:rPr>
          <w:rFonts w:asciiTheme="minorHAnsi" w:hAnsiTheme="minorHAnsi" w:cs="Arial"/>
        </w:rPr>
        <w:t xml:space="preserve">orce needs to collect some baseline information, regarding the current capacity of EAPN networks to develop and implement such a campaign, so that it can make pertinent recommendations regarding the adoption and adaptation of the Scottish model. </w:t>
      </w:r>
    </w:p>
    <w:p w14:paraId="4C2B7CBF" w14:textId="77777777" w:rsidR="006C2E8D" w:rsidRDefault="006C2E8D" w:rsidP="006C2E8D">
      <w:pPr>
        <w:pStyle w:val="NormalWeb"/>
        <w:shd w:val="clear" w:color="auto" w:fill="FFFFFF"/>
        <w:spacing w:before="0" w:beforeAutospacing="0" w:after="0" w:afterAutospacing="0"/>
        <w:jc w:val="both"/>
        <w:rPr>
          <w:rFonts w:asciiTheme="minorHAnsi" w:hAnsiTheme="minorHAnsi" w:cs="Arial"/>
        </w:rPr>
      </w:pPr>
    </w:p>
    <w:p w14:paraId="3B5D909E" w14:textId="77777777" w:rsidR="006C2E8D" w:rsidRPr="006C2E8D" w:rsidRDefault="006C2E8D" w:rsidP="006C2E8D">
      <w:pPr>
        <w:pStyle w:val="NormalWeb"/>
        <w:shd w:val="clear" w:color="auto" w:fill="FFFFFF"/>
        <w:spacing w:before="0" w:beforeAutospacing="0" w:after="0" w:afterAutospacing="0"/>
        <w:jc w:val="both"/>
        <w:rPr>
          <w:b/>
        </w:rPr>
      </w:pPr>
      <w:r w:rsidRPr="006C2E8D">
        <w:rPr>
          <w:rFonts w:asciiTheme="minorHAnsi" w:hAnsiTheme="minorHAnsi" w:cs="Arial"/>
          <w:b/>
        </w:rPr>
        <w:t xml:space="preserve">Please take a moment to answer briefly the questions below: </w:t>
      </w:r>
    </w:p>
    <w:p w14:paraId="0F81C017" w14:textId="77777777" w:rsidR="006C2E8D" w:rsidRDefault="006C2E8D" w:rsidP="006C2E8D">
      <w:pPr>
        <w:spacing w:after="0" w:line="240" w:lineRule="auto"/>
        <w:jc w:val="both"/>
        <w:rPr>
          <w:sz w:val="24"/>
          <w:szCs w:val="24"/>
          <w:u w:val="single"/>
          <w:lang w:val="en-US"/>
        </w:rPr>
      </w:pPr>
    </w:p>
    <w:p w14:paraId="7FB2D8CA" w14:textId="77777777" w:rsidR="006C2E8D" w:rsidRDefault="006C2E8D" w:rsidP="006C2E8D">
      <w:pPr>
        <w:spacing w:after="0" w:line="240" w:lineRule="auto"/>
        <w:jc w:val="both"/>
        <w:rPr>
          <w:sz w:val="24"/>
          <w:szCs w:val="24"/>
          <w:u w:val="single"/>
          <w:lang w:val="en-US"/>
        </w:rPr>
      </w:pPr>
    </w:p>
    <w:p w14:paraId="0B33C48F" w14:textId="77777777" w:rsidR="006C2E8D" w:rsidRPr="006C2E8D" w:rsidRDefault="006C2E8D" w:rsidP="006C2E8D">
      <w:pPr>
        <w:spacing w:after="0" w:line="240" w:lineRule="auto"/>
        <w:jc w:val="both"/>
        <w:rPr>
          <w:sz w:val="24"/>
          <w:szCs w:val="24"/>
          <w:u w:val="single"/>
          <w:lang w:val="en-US"/>
        </w:rPr>
      </w:pPr>
      <w:r w:rsidRPr="006C2E8D">
        <w:rPr>
          <w:sz w:val="24"/>
          <w:szCs w:val="24"/>
          <w:u w:val="single"/>
          <w:lang w:val="en-US"/>
        </w:rPr>
        <w:t>Questions</w:t>
      </w:r>
      <w:r>
        <w:rPr>
          <w:sz w:val="24"/>
          <w:szCs w:val="24"/>
          <w:u w:val="single"/>
          <w:lang w:val="en-US"/>
        </w:rPr>
        <w:t>:</w:t>
      </w:r>
    </w:p>
    <w:p w14:paraId="5C084923" w14:textId="77777777" w:rsidR="006C2E8D" w:rsidRDefault="006C2E8D" w:rsidP="006C2E8D">
      <w:pPr>
        <w:spacing w:after="0" w:line="240" w:lineRule="auto"/>
        <w:jc w:val="both"/>
        <w:rPr>
          <w:sz w:val="24"/>
          <w:szCs w:val="24"/>
          <w:lang w:val="en-US"/>
        </w:rPr>
      </w:pPr>
    </w:p>
    <w:p w14:paraId="44EA9D7B" w14:textId="77777777" w:rsidR="002137FF" w:rsidRPr="006C2E8D" w:rsidRDefault="006C2E8D" w:rsidP="006C2E8D">
      <w:pPr>
        <w:spacing w:after="0" w:line="240" w:lineRule="auto"/>
        <w:jc w:val="both"/>
        <w:rPr>
          <w:sz w:val="24"/>
          <w:szCs w:val="24"/>
          <w:u w:val="single"/>
          <w:lang w:val="en-US"/>
        </w:rPr>
      </w:pPr>
      <w:r>
        <w:rPr>
          <w:sz w:val="24"/>
          <w:szCs w:val="24"/>
          <w:lang w:val="en-US"/>
        </w:rPr>
        <w:t xml:space="preserve">1. </w:t>
      </w:r>
      <w:r w:rsidR="002137FF" w:rsidRPr="006C2E8D">
        <w:rPr>
          <w:b/>
          <w:sz w:val="24"/>
          <w:szCs w:val="24"/>
          <w:lang w:val="en-US"/>
        </w:rPr>
        <w:t>What level of support exists in your country for a decent/living wage approach?</w:t>
      </w:r>
      <w:r w:rsidR="002137FF" w:rsidRPr="006C2E8D">
        <w:rPr>
          <w:sz w:val="24"/>
          <w:szCs w:val="24"/>
          <w:lang w:val="en-US"/>
        </w:rPr>
        <w:t xml:space="preserve"> Please refer to political context, but also employers’ attitudes.</w:t>
      </w:r>
    </w:p>
    <w:p w14:paraId="77A84262" w14:textId="77777777" w:rsidR="002137FF" w:rsidRDefault="002137FF" w:rsidP="006C2E8D">
      <w:pPr>
        <w:pStyle w:val="ListParagraph"/>
        <w:spacing w:after="0" w:line="240" w:lineRule="auto"/>
        <w:jc w:val="both"/>
        <w:rPr>
          <w:sz w:val="24"/>
          <w:szCs w:val="24"/>
          <w:u w:val="single"/>
          <w:lang w:val="en-US"/>
        </w:rPr>
      </w:pPr>
    </w:p>
    <w:p w14:paraId="0D07AD7B" w14:textId="77777777" w:rsidR="003F2024" w:rsidRPr="004146B0" w:rsidRDefault="003F2024" w:rsidP="006C2E8D">
      <w:pPr>
        <w:pStyle w:val="ListParagraph"/>
        <w:spacing w:after="0" w:line="240" w:lineRule="auto"/>
        <w:jc w:val="both"/>
        <w:rPr>
          <w:i/>
          <w:sz w:val="24"/>
          <w:szCs w:val="24"/>
          <w:lang w:val="en-US"/>
        </w:rPr>
      </w:pPr>
      <w:r w:rsidRPr="004146B0">
        <w:rPr>
          <w:i/>
          <w:sz w:val="24"/>
          <w:szCs w:val="24"/>
          <w:lang w:val="en-US"/>
        </w:rPr>
        <w:t>Mainly, the approach at Romanian level is focused on employers’ compliance with the minimum wage at national level. Initiatives regarding a living/decent wage are mainly initiated by TUs and NGOs, without having concrete support at political level.</w:t>
      </w:r>
    </w:p>
    <w:p w14:paraId="7A96EF2B" w14:textId="77777777" w:rsidR="003F2024" w:rsidRPr="004146B0" w:rsidRDefault="003F2024" w:rsidP="006C2E8D">
      <w:pPr>
        <w:pStyle w:val="ListParagraph"/>
        <w:spacing w:after="0" w:line="240" w:lineRule="auto"/>
        <w:jc w:val="both"/>
        <w:rPr>
          <w:i/>
          <w:sz w:val="24"/>
          <w:szCs w:val="24"/>
          <w:lang w:val="en-US"/>
        </w:rPr>
      </w:pPr>
    </w:p>
    <w:p w14:paraId="0B623A43" w14:textId="77777777" w:rsidR="003F2024" w:rsidRPr="004146B0" w:rsidRDefault="003F2024" w:rsidP="006C2E8D">
      <w:pPr>
        <w:pStyle w:val="ListParagraph"/>
        <w:spacing w:after="0" w:line="240" w:lineRule="auto"/>
        <w:jc w:val="both"/>
        <w:rPr>
          <w:i/>
          <w:sz w:val="24"/>
          <w:szCs w:val="24"/>
          <w:lang w:val="en-US"/>
        </w:rPr>
      </w:pPr>
      <w:r w:rsidRPr="004146B0">
        <w:rPr>
          <w:i/>
          <w:sz w:val="24"/>
          <w:szCs w:val="24"/>
          <w:lang w:val="en-US"/>
        </w:rPr>
        <w:t xml:space="preserve">Employers’ support is essential to promote the implementation of living wage practices on the </w:t>
      </w:r>
      <w:proofErr w:type="spellStart"/>
      <w:r w:rsidRPr="004146B0">
        <w:rPr>
          <w:i/>
          <w:sz w:val="24"/>
          <w:szCs w:val="24"/>
          <w:lang w:val="en-US"/>
        </w:rPr>
        <w:t>labour</w:t>
      </w:r>
      <w:proofErr w:type="spellEnd"/>
      <w:r w:rsidRPr="004146B0">
        <w:rPr>
          <w:i/>
          <w:sz w:val="24"/>
          <w:szCs w:val="24"/>
          <w:lang w:val="en-US"/>
        </w:rPr>
        <w:t xml:space="preserve"> market, especially of large transnational companies. CSR and Corporate Accountability are 2 important tools in relation to large national and transnational companies. </w:t>
      </w:r>
    </w:p>
    <w:p w14:paraId="5261D6B5" w14:textId="77777777" w:rsidR="003F2024" w:rsidRPr="004146B0" w:rsidRDefault="003F2024" w:rsidP="006C2E8D">
      <w:pPr>
        <w:pStyle w:val="ListParagraph"/>
        <w:spacing w:after="0" w:line="240" w:lineRule="auto"/>
        <w:jc w:val="both"/>
        <w:rPr>
          <w:i/>
          <w:sz w:val="24"/>
          <w:szCs w:val="24"/>
          <w:lang w:val="en-US"/>
        </w:rPr>
      </w:pPr>
    </w:p>
    <w:p w14:paraId="0E76CAB4" w14:textId="77777777" w:rsidR="003F2024" w:rsidRPr="004146B0" w:rsidRDefault="003F2024" w:rsidP="006C2E8D">
      <w:pPr>
        <w:pStyle w:val="ListParagraph"/>
        <w:spacing w:after="0" w:line="240" w:lineRule="auto"/>
        <w:jc w:val="both"/>
        <w:rPr>
          <w:i/>
          <w:sz w:val="24"/>
          <w:szCs w:val="24"/>
          <w:lang w:val="en-US"/>
        </w:rPr>
      </w:pPr>
      <w:r w:rsidRPr="004146B0">
        <w:rPr>
          <w:i/>
          <w:sz w:val="24"/>
          <w:szCs w:val="24"/>
          <w:lang w:val="en-US"/>
        </w:rPr>
        <w:t xml:space="preserve">In conclusion, progress on this topic at Romanian level should happen through out CSO’s pressure on both employers and </w:t>
      </w:r>
      <w:r w:rsidR="00A612EA" w:rsidRPr="004146B0">
        <w:rPr>
          <w:i/>
          <w:sz w:val="24"/>
          <w:szCs w:val="24"/>
          <w:lang w:val="en-US"/>
        </w:rPr>
        <w:t xml:space="preserve">decision makers, through out intense advocacy and campaigning actions. </w:t>
      </w:r>
    </w:p>
    <w:p w14:paraId="7E4B12E9" w14:textId="77777777" w:rsidR="003F2024" w:rsidRPr="003F2024" w:rsidRDefault="003F2024" w:rsidP="006C2E8D">
      <w:pPr>
        <w:pStyle w:val="ListParagraph"/>
        <w:spacing w:after="0" w:line="240" w:lineRule="auto"/>
        <w:jc w:val="both"/>
        <w:rPr>
          <w:sz w:val="24"/>
          <w:szCs w:val="24"/>
          <w:lang w:val="en-US"/>
        </w:rPr>
      </w:pPr>
    </w:p>
    <w:p w14:paraId="21216557" w14:textId="77777777" w:rsidR="003F2024" w:rsidRPr="006C2E8D" w:rsidRDefault="003F2024" w:rsidP="006C2E8D">
      <w:pPr>
        <w:pStyle w:val="ListParagraph"/>
        <w:spacing w:after="0" w:line="240" w:lineRule="auto"/>
        <w:jc w:val="both"/>
        <w:rPr>
          <w:sz w:val="24"/>
          <w:szCs w:val="24"/>
          <w:u w:val="single"/>
          <w:lang w:val="en-US"/>
        </w:rPr>
      </w:pPr>
    </w:p>
    <w:p w14:paraId="19397547" w14:textId="77777777" w:rsidR="002137FF" w:rsidRPr="006C2E8D" w:rsidRDefault="006C2E8D" w:rsidP="006C2E8D">
      <w:pPr>
        <w:spacing w:after="0" w:line="240" w:lineRule="auto"/>
        <w:jc w:val="both"/>
        <w:rPr>
          <w:sz w:val="24"/>
          <w:szCs w:val="24"/>
          <w:lang w:val="en-US"/>
        </w:rPr>
      </w:pPr>
      <w:r w:rsidRPr="006C2E8D">
        <w:rPr>
          <w:b/>
          <w:sz w:val="24"/>
          <w:szCs w:val="24"/>
          <w:lang w:val="en-US"/>
        </w:rPr>
        <w:t xml:space="preserve">2. </w:t>
      </w:r>
      <w:r w:rsidR="002137FF" w:rsidRPr="006C2E8D">
        <w:rPr>
          <w:b/>
          <w:sz w:val="24"/>
          <w:szCs w:val="24"/>
          <w:lang w:val="en-US"/>
        </w:rPr>
        <w:t>What is the state of collective bargaining in your country</w:t>
      </w:r>
      <w:r w:rsidR="002137FF" w:rsidRPr="006C2E8D">
        <w:rPr>
          <w:sz w:val="24"/>
          <w:szCs w:val="24"/>
          <w:lang w:val="en-US"/>
        </w:rPr>
        <w:t xml:space="preserve"> – what is the coverage? Are agreements binding or optional? Are they at sector or company level? Do they cover workers in traditionally low-paid sectors?</w:t>
      </w:r>
    </w:p>
    <w:p w14:paraId="4C54E0E3" w14:textId="77777777" w:rsidR="006C2E8D" w:rsidRDefault="006C2E8D" w:rsidP="006C2E8D">
      <w:pPr>
        <w:spacing w:after="0" w:line="240" w:lineRule="auto"/>
        <w:jc w:val="both"/>
        <w:rPr>
          <w:sz w:val="24"/>
          <w:szCs w:val="24"/>
          <w:lang w:val="en-US"/>
        </w:rPr>
      </w:pPr>
    </w:p>
    <w:p w14:paraId="6F4431DD" w14:textId="77777777" w:rsidR="00082EFB" w:rsidRPr="004146B0" w:rsidRDefault="00A612EA" w:rsidP="00082EFB">
      <w:pPr>
        <w:spacing w:after="0" w:line="240" w:lineRule="auto"/>
        <w:jc w:val="both"/>
        <w:rPr>
          <w:i/>
          <w:sz w:val="24"/>
          <w:szCs w:val="24"/>
          <w:lang w:val="en-US"/>
        </w:rPr>
      </w:pPr>
      <w:r w:rsidRPr="004146B0">
        <w:rPr>
          <w:i/>
          <w:sz w:val="24"/>
          <w:szCs w:val="24"/>
          <w:lang w:val="en-US"/>
        </w:rPr>
        <w:t>Collective bargaining is</w:t>
      </w:r>
      <w:r w:rsidR="00082EFB" w:rsidRPr="004146B0">
        <w:rPr>
          <w:i/>
          <w:sz w:val="24"/>
          <w:szCs w:val="24"/>
          <w:lang w:val="en-US"/>
        </w:rPr>
        <w:t xml:space="preserve"> traditionally </w:t>
      </w:r>
      <w:r w:rsidRPr="004146B0">
        <w:rPr>
          <w:i/>
          <w:sz w:val="24"/>
          <w:szCs w:val="24"/>
          <w:lang w:val="en-US"/>
        </w:rPr>
        <w:t>considered an important tool for the protection of workers’ rights at Romanian level and TUs at all levels focus</w:t>
      </w:r>
      <w:r w:rsidR="00082EFB" w:rsidRPr="004146B0">
        <w:rPr>
          <w:i/>
          <w:sz w:val="24"/>
          <w:szCs w:val="24"/>
          <w:lang w:val="en-US"/>
        </w:rPr>
        <w:t>ed during the past 20 years</w:t>
      </w:r>
      <w:r w:rsidRPr="004146B0">
        <w:rPr>
          <w:i/>
          <w:sz w:val="24"/>
          <w:szCs w:val="24"/>
          <w:lang w:val="en-US"/>
        </w:rPr>
        <w:t xml:space="preserve"> a large part of their activity into the intensive negotiations processes at company, sector and national levels. </w:t>
      </w:r>
    </w:p>
    <w:p w14:paraId="2639DD7A" w14:textId="77777777" w:rsidR="00082EFB" w:rsidRPr="004146B0" w:rsidRDefault="00082EFB" w:rsidP="00082EFB">
      <w:pPr>
        <w:spacing w:after="0" w:line="240" w:lineRule="auto"/>
        <w:jc w:val="both"/>
        <w:rPr>
          <w:i/>
          <w:sz w:val="24"/>
          <w:szCs w:val="24"/>
          <w:lang w:val="en-US"/>
        </w:rPr>
      </w:pPr>
    </w:p>
    <w:p w14:paraId="14F26445" w14:textId="1F2C9546" w:rsidR="00082EFB" w:rsidRPr="004146B0" w:rsidRDefault="00082EFB" w:rsidP="00082EFB">
      <w:pPr>
        <w:spacing w:after="0" w:line="240" w:lineRule="auto"/>
        <w:jc w:val="both"/>
        <w:rPr>
          <w:i/>
          <w:sz w:val="24"/>
          <w:szCs w:val="24"/>
          <w:lang w:val="en-US"/>
        </w:rPr>
      </w:pPr>
      <w:r w:rsidRPr="004146B0">
        <w:rPr>
          <w:i/>
          <w:sz w:val="24"/>
          <w:szCs w:val="24"/>
          <w:lang w:val="en-US"/>
        </w:rPr>
        <w:t>Unfortunately the legal reforms from recent years had a negative impact at national level on collective bargaining and social dialogue. The national collective bargaining agreement</w:t>
      </w:r>
      <w:r w:rsidR="00E04395" w:rsidRPr="004146B0">
        <w:rPr>
          <w:i/>
          <w:sz w:val="24"/>
          <w:szCs w:val="24"/>
          <w:lang w:val="en-US"/>
        </w:rPr>
        <w:t xml:space="preserve"> (CBA)</w:t>
      </w:r>
      <w:r w:rsidRPr="004146B0">
        <w:rPr>
          <w:i/>
          <w:sz w:val="24"/>
          <w:szCs w:val="24"/>
          <w:lang w:val="en-US"/>
        </w:rPr>
        <w:t xml:space="preserve"> was taken out of use in 2011, fact that that reduced dramatically</w:t>
      </w:r>
      <w:r w:rsidR="004F3DE0">
        <w:rPr>
          <w:i/>
          <w:sz w:val="24"/>
          <w:szCs w:val="24"/>
          <w:lang w:val="en-US"/>
        </w:rPr>
        <w:t xml:space="preserve"> employees’</w:t>
      </w:r>
      <w:r w:rsidR="00E04395" w:rsidRPr="004146B0">
        <w:rPr>
          <w:i/>
          <w:sz w:val="24"/>
          <w:szCs w:val="24"/>
          <w:lang w:val="en-US"/>
        </w:rPr>
        <w:t xml:space="preserve"> coverage and protection. CBA is mandatory at company level only for companies with more than 20 employees (companies with less than 20 employees reach up to more than 90% of the </w:t>
      </w:r>
      <w:r w:rsidR="004F3DE0">
        <w:rPr>
          <w:i/>
          <w:sz w:val="24"/>
          <w:szCs w:val="24"/>
          <w:lang w:val="en-US"/>
        </w:rPr>
        <w:t xml:space="preserve">national </w:t>
      </w:r>
      <w:r w:rsidR="00E04395" w:rsidRPr="004146B0">
        <w:rPr>
          <w:i/>
          <w:sz w:val="24"/>
          <w:szCs w:val="24"/>
          <w:lang w:val="en-US"/>
        </w:rPr>
        <w:t xml:space="preserve">total active companies and more than 25% of employees).  Another legislative change concerns the replacement of branch CBAs with sector ones, which conducted to a social dialogue blocking due to representation levels. By November 2012, only one sector CBA was signed (education sector) and 7 </w:t>
      </w:r>
      <w:r w:rsidR="004F3DE0">
        <w:rPr>
          <w:i/>
          <w:sz w:val="24"/>
          <w:szCs w:val="24"/>
          <w:lang w:val="en-US"/>
        </w:rPr>
        <w:t xml:space="preserve">CBAs </w:t>
      </w:r>
      <w:r w:rsidR="00E04395" w:rsidRPr="004146B0">
        <w:rPr>
          <w:i/>
          <w:sz w:val="24"/>
          <w:szCs w:val="24"/>
          <w:lang w:val="en-US"/>
        </w:rPr>
        <w:t xml:space="preserve">at company group level (5 of them in the public sector).  </w:t>
      </w:r>
    </w:p>
    <w:p w14:paraId="31FD6177" w14:textId="77777777" w:rsidR="00E04395" w:rsidRPr="004146B0" w:rsidRDefault="00E04395" w:rsidP="00082EFB">
      <w:pPr>
        <w:spacing w:after="0" w:line="240" w:lineRule="auto"/>
        <w:jc w:val="both"/>
        <w:rPr>
          <w:i/>
          <w:sz w:val="24"/>
          <w:szCs w:val="24"/>
          <w:lang w:val="en-US"/>
        </w:rPr>
      </w:pPr>
    </w:p>
    <w:p w14:paraId="6090E71F" w14:textId="413AD496" w:rsidR="00E04395" w:rsidRPr="004146B0" w:rsidRDefault="00E04395" w:rsidP="00082EFB">
      <w:pPr>
        <w:spacing w:after="0" w:line="240" w:lineRule="auto"/>
        <w:jc w:val="both"/>
        <w:rPr>
          <w:i/>
          <w:sz w:val="24"/>
          <w:szCs w:val="24"/>
          <w:lang w:val="en-US"/>
        </w:rPr>
      </w:pPr>
      <w:r w:rsidRPr="004146B0">
        <w:rPr>
          <w:i/>
          <w:sz w:val="24"/>
          <w:szCs w:val="24"/>
          <w:lang w:val="en-US"/>
        </w:rPr>
        <w:t xml:space="preserve">Another significant change with negative impacts concerns the coverage of sector CBAs, previously covering all sector employees no matter if their employer company is a member of the employee associations singing the agreement. </w:t>
      </w:r>
      <w:proofErr w:type="spellStart"/>
      <w:r w:rsidR="006776A8">
        <w:rPr>
          <w:i/>
          <w:sz w:val="24"/>
          <w:szCs w:val="24"/>
          <w:lang w:val="en-US"/>
        </w:rPr>
        <w:t>Labour</w:t>
      </w:r>
      <w:proofErr w:type="spellEnd"/>
      <w:r w:rsidR="006776A8">
        <w:rPr>
          <w:i/>
          <w:sz w:val="24"/>
          <w:szCs w:val="24"/>
          <w:lang w:val="en-US"/>
        </w:rPr>
        <w:t xml:space="preserve"> market</w:t>
      </w:r>
      <w:r w:rsidR="00CA594A" w:rsidRPr="004146B0">
        <w:rPr>
          <w:i/>
          <w:sz w:val="24"/>
          <w:szCs w:val="24"/>
          <w:lang w:val="en-US"/>
        </w:rPr>
        <w:t xml:space="preserve"> studies confirm the fact that employers show a low interest in getting sector representation in order to be able to engage into sector CBAs negotiations, therefore the </w:t>
      </w:r>
      <w:r w:rsidR="004146B0" w:rsidRPr="004146B0">
        <w:rPr>
          <w:i/>
          <w:sz w:val="24"/>
          <w:szCs w:val="24"/>
          <w:lang w:val="en-US"/>
        </w:rPr>
        <w:t>negotiation process</w:t>
      </w:r>
      <w:r w:rsidR="006776A8">
        <w:rPr>
          <w:i/>
          <w:sz w:val="24"/>
          <w:szCs w:val="24"/>
          <w:lang w:val="en-US"/>
        </w:rPr>
        <w:t>es at sector levels are in general</w:t>
      </w:r>
      <w:r w:rsidR="004146B0" w:rsidRPr="004146B0">
        <w:rPr>
          <w:i/>
          <w:sz w:val="24"/>
          <w:szCs w:val="24"/>
          <w:lang w:val="en-US"/>
        </w:rPr>
        <w:t xml:space="preserve"> blocked.  </w:t>
      </w:r>
    </w:p>
    <w:p w14:paraId="31FF88BF" w14:textId="08FA5530" w:rsidR="003F2024" w:rsidRPr="004146B0" w:rsidRDefault="004146B0" w:rsidP="006C2E8D">
      <w:pPr>
        <w:spacing w:after="0" w:line="240" w:lineRule="auto"/>
        <w:jc w:val="both"/>
        <w:rPr>
          <w:i/>
          <w:sz w:val="24"/>
          <w:szCs w:val="24"/>
          <w:lang w:val="en-US"/>
        </w:rPr>
      </w:pPr>
      <w:r w:rsidRPr="004146B0">
        <w:rPr>
          <w:i/>
          <w:sz w:val="24"/>
          <w:szCs w:val="24"/>
          <w:lang w:val="en-US"/>
        </w:rPr>
        <w:lastRenderedPageBreak/>
        <w:t xml:space="preserve">At company level, the number of registered CBAs for 2011 -2012 has dropped to half of the </w:t>
      </w:r>
      <w:r w:rsidR="006776A8">
        <w:rPr>
          <w:i/>
          <w:sz w:val="24"/>
          <w:szCs w:val="24"/>
          <w:lang w:val="en-US"/>
        </w:rPr>
        <w:t xml:space="preserve">amount of </w:t>
      </w:r>
      <w:r w:rsidRPr="004146B0">
        <w:rPr>
          <w:i/>
          <w:sz w:val="24"/>
          <w:szCs w:val="24"/>
          <w:lang w:val="en-US"/>
        </w:rPr>
        <w:t xml:space="preserve">previous years. In general the registered CBAs belong to the public sector, where wages are not subject of negotiation being stipulated by law. </w:t>
      </w:r>
    </w:p>
    <w:p w14:paraId="332DE439" w14:textId="77777777" w:rsidR="003F2024" w:rsidRPr="006C2E8D" w:rsidRDefault="003F2024" w:rsidP="006C2E8D">
      <w:pPr>
        <w:spacing w:after="0" w:line="240" w:lineRule="auto"/>
        <w:jc w:val="both"/>
        <w:rPr>
          <w:sz w:val="24"/>
          <w:szCs w:val="24"/>
          <w:lang w:val="en-US"/>
        </w:rPr>
      </w:pPr>
    </w:p>
    <w:p w14:paraId="02993A93" w14:textId="77777777" w:rsidR="002137FF" w:rsidRDefault="006C2E8D" w:rsidP="006C2E8D">
      <w:pPr>
        <w:spacing w:after="0" w:line="240" w:lineRule="auto"/>
        <w:jc w:val="both"/>
        <w:rPr>
          <w:sz w:val="24"/>
          <w:szCs w:val="24"/>
          <w:lang w:val="en-US"/>
        </w:rPr>
      </w:pPr>
      <w:r w:rsidRPr="006C2E8D">
        <w:rPr>
          <w:b/>
          <w:sz w:val="24"/>
          <w:szCs w:val="24"/>
          <w:lang w:val="en-US"/>
        </w:rPr>
        <w:t xml:space="preserve">3. </w:t>
      </w:r>
      <w:r w:rsidR="002137FF" w:rsidRPr="006C2E8D">
        <w:rPr>
          <w:b/>
          <w:sz w:val="24"/>
          <w:szCs w:val="24"/>
          <w:lang w:val="en-US"/>
        </w:rPr>
        <w:t>What are your ideas about how to come up with a concrete figure for a living wage?</w:t>
      </w:r>
      <w:r w:rsidR="002137FF" w:rsidRPr="006C2E8D">
        <w:rPr>
          <w:sz w:val="24"/>
          <w:szCs w:val="24"/>
          <w:lang w:val="en-US"/>
        </w:rPr>
        <w:t xml:space="preserve"> Has work in this sense already be</w:t>
      </w:r>
      <w:r w:rsidRPr="006C2E8D">
        <w:rPr>
          <w:sz w:val="24"/>
          <w:szCs w:val="24"/>
          <w:lang w:val="en-US"/>
        </w:rPr>
        <w:t>en done in your network/country</w:t>
      </w:r>
      <w:r w:rsidR="002137FF" w:rsidRPr="006C2E8D">
        <w:rPr>
          <w:sz w:val="24"/>
          <w:szCs w:val="24"/>
          <w:lang w:val="en-US"/>
        </w:rPr>
        <w:t xml:space="preserve"> that you could build on?</w:t>
      </w:r>
    </w:p>
    <w:p w14:paraId="4B68C10A" w14:textId="77777777" w:rsidR="00A612EA" w:rsidRDefault="00A612EA" w:rsidP="006C2E8D">
      <w:pPr>
        <w:spacing w:after="0" w:line="240" w:lineRule="auto"/>
        <w:jc w:val="both"/>
        <w:rPr>
          <w:sz w:val="24"/>
          <w:szCs w:val="24"/>
          <w:lang w:val="en-US"/>
        </w:rPr>
      </w:pPr>
    </w:p>
    <w:p w14:paraId="2E784935" w14:textId="77777777" w:rsidR="006776A8" w:rsidRPr="006776A8" w:rsidRDefault="00352A6A" w:rsidP="006C2E8D">
      <w:pPr>
        <w:spacing w:after="0" w:line="240" w:lineRule="auto"/>
        <w:jc w:val="both"/>
        <w:rPr>
          <w:i/>
          <w:sz w:val="24"/>
          <w:szCs w:val="24"/>
          <w:lang w:val="en-US"/>
        </w:rPr>
      </w:pPr>
      <w:r w:rsidRPr="006776A8">
        <w:rPr>
          <w:i/>
          <w:sz w:val="24"/>
          <w:szCs w:val="24"/>
          <w:lang w:val="en-US"/>
        </w:rPr>
        <w:t>Previous campaigning work</w:t>
      </w:r>
      <w:r w:rsidR="004146B0" w:rsidRPr="006776A8">
        <w:rPr>
          <w:i/>
          <w:sz w:val="24"/>
          <w:szCs w:val="24"/>
          <w:lang w:val="en-US"/>
        </w:rPr>
        <w:t xml:space="preserve"> was done in connection </w:t>
      </w:r>
      <w:r w:rsidR="006776A8" w:rsidRPr="006776A8">
        <w:rPr>
          <w:i/>
          <w:sz w:val="24"/>
          <w:szCs w:val="24"/>
          <w:lang w:val="en-US"/>
        </w:rPr>
        <w:t xml:space="preserve">to </w:t>
      </w:r>
      <w:r w:rsidR="004146B0" w:rsidRPr="006776A8">
        <w:rPr>
          <w:i/>
          <w:sz w:val="24"/>
          <w:szCs w:val="24"/>
          <w:lang w:val="en-US"/>
        </w:rPr>
        <w:t xml:space="preserve">the other living wage campaigns within Europe and Asia (Asia Floor Wage). </w:t>
      </w:r>
    </w:p>
    <w:p w14:paraId="1314FC42" w14:textId="62CC320F" w:rsidR="00352A6A" w:rsidRPr="006776A8" w:rsidRDefault="00352A6A" w:rsidP="006C2E8D">
      <w:pPr>
        <w:spacing w:after="0" w:line="240" w:lineRule="auto"/>
        <w:jc w:val="both"/>
        <w:rPr>
          <w:i/>
          <w:sz w:val="24"/>
          <w:szCs w:val="24"/>
          <w:lang w:val="en-US"/>
        </w:rPr>
      </w:pPr>
      <w:r w:rsidRPr="006776A8">
        <w:rPr>
          <w:i/>
          <w:sz w:val="24"/>
          <w:szCs w:val="24"/>
          <w:lang w:val="en-US"/>
        </w:rPr>
        <w:t xml:space="preserve">At the moment the minimum wage is calculated by taking as focal reference the “month goods and services basket”, without a direct connection to MIS. Future living wage campaigning work at Romanian level should take into account the connection, as well as </w:t>
      </w:r>
      <w:r w:rsidR="006776A8" w:rsidRPr="006776A8">
        <w:rPr>
          <w:i/>
          <w:sz w:val="24"/>
          <w:szCs w:val="24"/>
          <w:lang w:val="en-US"/>
        </w:rPr>
        <w:t xml:space="preserve">the </w:t>
      </w:r>
      <w:r w:rsidRPr="006776A8">
        <w:rPr>
          <w:i/>
          <w:sz w:val="24"/>
          <w:szCs w:val="24"/>
          <w:lang w:val="en-US"/>
        </w:rPr>
        <w:t>difference</w:t>
      </w:r>
      <w:r w:rsidR="006776A8" w:rsidRPr="006776A8">
        <w:rPr>
          <w:i/>
          <w:sz w:val="24"/>
          <w:szCs w:val="24"/>
          <w:lang w:val="en-US"/>
        </w:rPr>
        <w:t>s</w:t>
      </w:r>
      <w:r w:rsidRPr="006776A8">
        <w:rPr>
          <w:i/>
          <w:sz w:val="24"/>
          <w:szCs w:val="24"/>
          <w:lang w:val="en-US"/>
        </w:rPr>
        <w:t xml:space="preserve"> between Living wage and Minimum wage, MIS and “goods and services basket”. </w:t>
      </w:r>
    </w:p>
    <w:p w14:paraId="271E2986" w14:textId="77777777" w:rsidR="002137FF" w:rsidRPr="006C2E8D" w:rsidRDefault="002137FF" w:rsidP="006C2E8D">
      <w:pPr>
        <w:pStyle w:val="ListParagraph"/>
        <w:spacing w:after="0" w:line="240" w:lineRule="auto"/>
        <w:jc w:val="both"/>
        <w:rPr>
          <w:sz w:val="24"/>
          <w:szCs w:val="24"/>
          <w:lang w:val="en-US"/>
        </w:rPr>
      </w:pPr>
    </w:p>
    <w:p w14:paraId="4B2BC056" w14:textId="77777777" w:rsidR="002137FF" w:rsidRDefault="006C2E8D" w:rsidP="006C2E8D">
      <w:pPr>
        <w:spacing w:after="0" w:line="240" w:lineRule="auto"/>
        <w:jc w:val="both"/>
        <w:rPr>
          <w:b/>
          <w:sz w:val="24"/>
          <w:szCs w:val="24"/>
          <w:lang w:val="en-US"/>
        </w:rPr>
      </w:pPr>
      <w:r w:rsidRPr="006C2E8D">
        <w:rPr>
          <w:b/>
          <w:sz w:val="24"/>
          <w:szCs w:val="24"/>
          <w:lang w:val="en-US"/>
        </w:rPr>
        <w:t xml:space="preserve">4. </w:t>
      </w:r>
      <w:r w:rsidR="002137FF" w:rsidRPr="006C2E8D">
        <w:rPr>
          <w:b/>
          <w:sz w:val="24"/>
          <w:szCs w:val="24"/>
          <w:lang w:val="en-US"/>
        </w:rPr>
        <w:t>Who do you think could be useful allies in such a campaign?</w:t>
      </w:r>
    </w:p>
    <w:p w14:paraId="687E8818" w14:textId="77777777" w:rsidR="00352A6A" w:rsidRDefault="00352A6A" w:rsidP="006C2E8D">
      <w:pPr>
        <w:spacing w:after="0" w:line="240" w:lineRule="auto"/>
        <w:jc w:val="both"/>
        <w:rPr>
          <w:b/>
          <w:sz w:val="24"/>
          <w:szCs w:val="24"/>
          <w:lang w:val="en-US"/>
        </w:rPr>
      </w:pPr>
    </w:p>
    <w:p w14:paraId="5937ED4A" w14:textId="4EA9489C" w:rsidR="00352A6A" w:rsidRPr="00352A6A" w:rsidRDefault="00352A6A" w:rsidP="006C2E8D">
      <w:pPr>
        <w:spacing w:after="0" w:line="240" w:lineRule="auto"/>
        <w:jc w:val="both"/>
        <w:rPr>
          <w:sz w:val="24"/>
          <w:szCs w:val="24"/>
          <w:lang w:val="en-US"/>
        </w:rPr>
      </w:pPr>
      <w:r>
        <w:rPr>
          <w:sz w:val="24"/>
          <w:szCs w:val="24"/>
          <w:lang w:val="en-US"/>
        </w:rPr>
        <w:t xml:space="preserve">Trade Union Confederations, as well as other strong CSOs Networks (such </w:t>
      </w:r>
      <w:r w:rsidR="006776A8">
        <w:rPr>
          <w:sz w:val="24"/>
          <w:szCs w:val="24"/>
          <w:lang w:val="en-US"/>
        </w:rPr>
        <w:t xml:space="preserve">as </w:t>
      </w:r>
      <w:r>
        <w:rPr>
          <w:sz w:val="24"/>
          <w:szCs w:val="24"/>
          <w:lang w:val="en-US"/>
        </w:rPr>
        <w:t xml:space="preserve">FOND, the national NGDOs network).  </w:t>
      </w:r>
    </w:p>
    <w:p w14:paraId="5197114A" w14:textId="77777777" w:rsidR="002137FF" w:rsidRPr="006C2E8D" w:rsidRDefault="002137FF" w:rsidP="006C2E8D">
      <w:pPr>
        <w:pStyle w:val="ListParagraph"/>
        <w:spacing w:after="0" w:line="240" w:lineRule="auto"/>
        <w:jc w:val="both"/>
        <w:rPr>
          <w:sz w:val="24"/>
          <w:szCs w:val="24"/>
          <w:lang w:val="en-US"/>
        </w:rPr>
      </w:pPr>
    </w:p>
    <w:p w14:paraId="2B7F22D2" w14:textId="77777777" w:rsidR="002137FF" w:rsidRDefault="006C2E8D" w:rsidP="006C2E8D">
      <w:pPr>
        <w:spacing w:after="0" w:line="240" w:lineRule="auto"/>
        <w:jc w:val="both"/>
        <w:rPr>
          <w:sz w:val="24"/>
          <w:szCs w:val="24"/>
          <w:lang w:val="en-US"/>
        </w:rPr>
      </w:pPr>
      <w:r w:rsidRPr="006C2E8D">
        <w:rPr>
          <w:b/>
          <w:sz w:val="24"/>
          <w:szCs w:val="24"/>
          <w:lang w:val="en-US"/>
        </w:rPr>
        <w:t xml:space="preserve">5. </w:t>
      </w:r>
      <w:r w:rsidR="002137FF" w:rsidRPr="006C2E8D">
        <w:rPr>
          <w:b/>
          <w:sz w:val="24"/>
          <w:szCs w:val="24"/>
          <w:lang w:val="en-US"/>
        </w:rPr>
        <w:t>What obstacles can you already foresee</w:t>
      </w:r>
      <w:r w:rsidR="002137FF" w:rsidRPr="006C2E8D">
        <w:rPr>
          <w:sz w:val="24"/>
          <w:szCs w:val="24"/>
          <w:lang w:val="en-US"/>
        </w:rPr>
        <w:t xml:space="preserve"> – in terms of your networks’ capacity to implement such a campaign, or other? </w:t>
      </w:r>
    </w:p>
    <w:p w14:paraId="47678B16" w14:textId="77777777" w:rsidR="00352A6A" w:rsidRDefault="00352A6A" w:rsidP="006C2E8D">
      <w:pPr>
        <w:spacing w:after="0" w:line="240" w:lineRule="auto"/>
        <w:jc w:val="both"/>
        <w:rPr>
          <w:sz w:val="24"/>
          <w:szCs w:val="24"/>
          <w:lang w:val="en-US"/>
        </w:rPr>
      </w:pPr>
    </w:p>
    <w:p w14:paraId="6A4F98B1" w14:textId="4772BF4F" w:rsidR="00352A6A" w:rsidRPr="006776A8" w:rsidRDefault="006776A8" w:rsidP="006C2E8D">
      <w:pPr>
        <w:spacing w:after="0" w:line="240" w:lineRule="auto"/>
        <w:jc w:val="both"/>
        <w:rPr>
          <w:i/>
          <w:sz w:val="24"/>
          <w:szCs w:val="24"/>
          <w:lang w:val="en-US"/>
        </w:rPr>
      </w:pPr>
      <w:r w:rsidRPr="006776A8">
        <w:rPr>
          <w:i/>
          <w:sz w:val="24"/>
          <w:szCs w:val="24"/>
          <w:lang w:val="en-US"/>
        </w:rPr>
        <w:t>Ins</w:t>
      </w:r>
      <w:r w:rsidR="00352A6A" w:rsidRPr="006776A8">
        <w:rPr>
          <w:i/>
          <w:sz w:val="24"/>
          <w:szCs w:val="24"/>
          <w:lang w:val="en-US"/>
        </w:rPr>
        <w:t xml:space="preserve">ufficient and </w:t>
      </w:r>
      <w:r w:rsidRPr="006776A8">
        <w:rPr>
          <w:i/>
          <w:sz w:val="24"/>
          <w:szCs w:val="24"/>
          <w:lang w:val="en-US"/>
        </w:rPr>
        <w:t>in</w:t>
      </w:r>
      <w:r w:rsidR="00352A6A" w:rsidRPr="006776A8">
        <w:rPr>
          <w:i/>
          <w:sz w:val="24"/>
          <w:szCs w:val="24"/>
          <w:lang w:val="en-US"/>
        </w:rPr>
        <w:t>adequate funding:</w:t>
      </w:r>
    </w:p>
    <w:p w14:paraId="0AA1A601" w14:textId="77777777" w:rsidR="00352A6A" w:rsidRPr="006776A8" w:rsidRDefault="00352A6A" w:rsidP="00352A6A">
      <w:pPr>
        <w:pStyle w:val="ListParagraph"/>
        <w:numPr>
          <w:ilvl w:val="0"/>
          <w:numId w:val="2"/>
        </w:numPr>
        <w:spacing w:after="0" w:line="240" w:lineRule="auto"/>
        <w:jc w:val="both"/>
        <w:rPr>
          <w:i/>
          <w:sz w:val="24"/>
          <w:szCs w:val="24"/>
          <w:lang w:val="en-US"/>
        </w:rPr>
      </w:pPr>
      <w:proofErr w:type="gramStart"/>
      <w:r w:rsidRPr="006776A8">
        <w:rPr>
          <w:i/>
          <w:sz w:val="24"/>
          <w:szCs w:val="24"/>
          <w:lang w:val="en-US"/>
        </w:rPr>
        <w:t>to</w:t>
      </w:r>
      <w:proofErr w:type="gramEnd"/>
      <w:r w:rsidRPr="006776A8">
        <w:rPr>
          <w:i/>
          <w:sz w:val="24"/>
          <w:szCs w:val="24"/>
          <w:lang w:val="en-US"/>
        </w:rPr>
        <w:t xml:space="preserve"> carry out sustainable campaigning activities at national level;</w:t>
      </w:r>
    </w:p>
    <w:p w14:paraId="766A36D2" w14:textId="77777777" w:rsidR="00352A6A" w:rsidRPr="006776A8" w:rsidRDefault="00352A6A" w:rsidP="00352A6A">
      <w:pPr>
        <w:pStyle w:val="ListParagraph"/>
        <w:numPr>
          <w:ilvl w:val="0"/>
          <w:numId w:val="2"/>
        </w:numPr>
        <w:spacing w:after="0" w:line="240" w:lineRule="auto"/>
        <w:jc w:val="both"/>
        <w:rPr>
          <w:i/>
          <w:sz w:val="24"/>
          <w:szCs w:val="24"/>
          <w:lang w:val="en-US"/>
        </w:rPr>
      </w:pPr>
      <w:proofErr w:type="gramStart"/>
      <w:r w:rsidRPr="006776A8">
        <w:rPr>
          <w:i/>
          <w:sz w:val="24"/>
          <w:szCs w:val="24"/>
          <w:lang w:val="en-US"/>
        </w:rPr>
        <w:t>to</w:t>
      </w:r>
      <w:proofErr w:type="gramEnd"/>
      <w:r w:rsidRPr="006776A8">
        <w:rPr>
          <w:i/>
          <w:sz w:val="24"/>
          <w:szCs w:val="24"/>
          <w:lang w:val="en-US"/>
        </w:rPr>
        <w:t xml:space="preserve"> activate all national member </w:t>
      </w:r>
      <w:proofErr w:type="spellStart"/>
      <w:r w:rsidRPr="006776A8">
        <w:rPr>
          <w:i/>
          <w:sz w:val="24"/>
          <w:szCs w:val="24"/>
          <w:lang w:val="en-US"/>
        </w:rPr>
        <w:t>organisations</w:t>
      </w:r>
      <w:proofErr w:type="spellEnd"/>
      <w:r w:rsidRPr="006776A8">
        <w:rPr>
          <w:i/>
          <w:sz w:val="24"/>
          <w:szCs w:val="24"/>
          <w:lang w:val="en-US"/>
        </w:rPr>
        <w:t xml:space="preserve"> to take an active part in the campaign. </w:t>
      </w:r>
    </w:p>
    <w:p w14:paraId="63C61AE9" w14:textId="77777777" w:rsidR="002137FF" w:rsidRPr="006C2E8D" w:rsidRDefault="002137FF" w:rsidP="006C2E8D">
      <w:pPr>
        <w:pStyle w:val="ListParagraph"/>
        <w:spacing w:after="0" w:line="240" w:lineRule="auto"/>
        <w:jc w:val="both"/>
        <w:rPr>
          <w:sz w:val="24"/>
          <w:szCs w:val="24"/>
          <w:lang w:val="en-US"/>
        </w:rPr>
      </w:pPr>
    </w:p>
    <w:p w14:paraId="420349F7" w14:textId="77777777" w:rsidR="002137FF" w:rsidRPr="00926A49" w:rsidRDefault="006C2E8D" w:rsidP="006C2E8D">
      <w:pPr>
        <w:spacing w:after="0" w:line="240" w:lineRule="auto"/>
        <w:jc w:val="both"/>
        <w:rPr>
          <w:sz w:val="24"/>
          <w:szCs w:val="24"/>
          <w:lang w:val="en-US"/>
        </w:rPr>
      </w:pPr>
      <w:r w:rsidRPr="004F3DE0">
        <w:rPr>
          <w:b/>
          <w:sz w:val="24"/>
          <w:szCs w:val="24"/>
          <w:lang w:val="en-US"/>
        </w:rPr>
        <w:t xml:space="preserve">6. </w:t>
      </w:r>
      <w:r w:rsidR="002137FF" w:rsidRPr="004F3DE0">
        <w:rPr>
          <w:b/>
          <w:sz w:val="24"/>
          <w:szCs w:val="24"/>
          <w:lang w:val="en-US"/>
        </w:rPr>
        <w:t>Does your network have a track record in implementing campaigns, including EAPN ones?</w:t>
      </w:r>
      <w:r w:rsidR="002137FF" w:rsidRPr="004F3DE0">
        <w:rPr>
          <w:sz w:val="24"/>
          <w:szCs w:val="24"/>
          <w:lang w:val="en-US"/>
        </w:rPr>
        <w:t xml:space="preserve"> What resources (time, staff, connections, alliances, other) does your network have?</w:t>
      </w:r>
    </w:p>
    <w:p w14:paraId="18222706" w14:textId="77777777" w:rsidR="006776A8" w:rsidRDefault="006776A8" w:rsidP="006C2E8D">
      <w:pPr>
        <w:spacing w:after="0" w:line="240" w:lineRule="auto"/>
        <w:jc w:val="both"/>
        <w:rPr>
          <w:sz w:val="24"/>
          <w:szCs w:val="24"/>
          <w:lang w:val="en-US"/>
        </w:rPr>
      </w:pPr>
    </w:p>
    <w:p w14:paraId="13396319" w14:textId="3B6132C3" w:rsidR="00F46202" w:rsidRDefault="006776A8" w:rsidP="006C2E8D">
      <w:pPr>
        <w:spacing w:after="0" w:line="240" w:lineRule="auto"/>
        <w:jc w:val="both"/>
        <w:rPr>
          <w:sz w:val="24"/>
          <w:szCs w:val="24"/>
          <w:lang w:val="en-US"/>
        </w:rPr>
      </w:pPr>
      <w:r>
        <w:rPr>
          <w:sz w:val="24"/>
          <w:szCs w:val="24"/>
          <w:lang w:val="en-US"/>
        </w:rPr>
        <w:t xml:space="preserve">RENASIS has previous </w:t>
      </w:r>
      <w:r w:rsidR="004F3DE0">
        <w:rPr>
          <w:sz w:val="24"/>
          <w:szCs w:val="24"/>
          <w:lang w:val="en-US"/>
        </w:rPr>
        <w:t>experience</w:t>
      </w:r>
      <w:r>
        <w:rPr>
          <w:sz w:val="24"/>
          <w:szCs w:val="24"/>
          <w:lang w:val="en-US"/>
        </w:rPr>
        <w:t xml:space="preserve"> in implementing EAPN Campaigns (not extensive, but existing),</w:t>
      </w:r>
      <w:r w:rsidR="004F3DE0">
        <w:rPr>
          <w:sz w:val="24"/>
          <w:szCs w:val="24"/>
          <w:lang w:val="en-US"/>
        </w:rPr>
        <w:t xml:space="preserve"> but its membership, especially the core active members</w:t>
      </w:r>
      <w:r>
        <w:rPr>
          <w:sz w:val="24"/>
          <w:szCs w:val="24"/>
          <w:lang w:val="en-US"/>
        </w:rPr>
        <w:t>hip has</w:t>
      </w:r>
      <w:r w:rsidR="004F3DE0">
        <w:rPr>
          <w:sz w:val="24"/>
          <w:szCs w:val="24"/>
          <w:lang w:val="en-US"/>
        </w:rPr>
        <w:t xml:space="preserve"> extensive expertise in implementing national and international campaigns.</w:t>
      </w:r>
    </w:p>
    <w:p w14:paraId="268266E2" w14:textId="77777777" w:rsidR="004F3DE0" w:rsidRDefault="004F3DE0" w:rsidP="006C2E8D">
      <w:pPr>
        <w:spacing w:after="0" w:line="240" w:lineRule="auto"/>
        <w:jc w:val="both"/>
        <w:rPr>
          <w:sz w:val="24"/>
          <w:szCs w:val="24"/>
          <w:lang w:val="en-US"/>
        </w:rPr>
      </w:pPr>
      <w:bookmarkStart w:id="0" w:name="_GoBack"/>
      <w:bookmarkEnd w:id="0"/>
    </w:p>
    <w:p w14:paraId="070A1C2D" w14:textId="36D2227B" w:rsidR="004F3DE0" w:rsidRDefault="004F3DE0" w:rsidP="006C2E8D">
      <w:pPr>
        <w:spacing w:after="0" w:line="240" w:lineRule="auto"/>
        <w:jc w:val="both"/>
        <w:rPr>
          <w:sz w:val="24"/>
          <w:szCs w:val="24"/>
          <w:lang w:val="en-US"/>
        </w:rPr>
      </w:pPr>
      <w:r>
        <w:rPr>
          <w:sz w:val="24"/>
          <w:szCs w:val="24"/>
          <w:lang w:val="en-US"/>
        </w:rPr>
        <w:t>RENASIS strategic campaign resources:</w:t>
      </w:r>
    </w:p>
    <w:p w14:paraId="29E7A5D8" w14:textId="17214B42" w:rsidR="004F3DE0" w:rsidRPr="004F3DE0" w:rsidRDefault="004F3DE0" w:rsidP="004F3DE0">
      <w:pPr>
        <w:pStyle w:val="ListParagraph"/>
        <w:numPr>
          <w:ilvl w:val="0"/>
          <w:numId w:val="2"/>
        </w:numPr>
        <w:spacing w:after="0" w:line="240" w:lineRule="auto"/>
        <w:jc w:val="both"/>
        <w:rPr>
          <w:sz w:val="24"/>
          <w:szCs w:val="24"/>
          <w:lang w:val="en-US"/>
        </w:rPr>
      </w:pPr>
      <w:proofErr w:type="gramStart"/>
      <w:r w:rsidRPr="004F3DE0">
        <w:rPr>
          <w:sz w:val="24"/>
          <w:szCs w:val="24"/>
          <w:lang w:val="en-US"/>
        </w:rPr>
        <w:t>large</w:t>
      </w:r>
      <w:proofErr w:type="gramEnd"/>
      <w:r w:rsidRPr="004F3DE0">
        <w:rPr>
          <w:sz w:val="24"/>
          <w:szCs w:val="24"/>
          <w:lang w:val="en-US"/>
        </w:rPr>
        <w:t xml:space="preserve"> national NGOs as active members, with extensive reach at national level both to decision maki</w:t>
      </w:r>
      <w:r>
        <w:rPr>
          <w:sz w:val="24"/>
          <w:szCs w:val="24"/>
          <w:lang w:val="en-US"/>
        </w:rPr>
        <w:t xml:space="preserve">ng bodies and the active citizens </w:t>
      </w:r>
    </w:p>
    <w:p w14:paraId="1DCF05B2" w14:textId="0108FD41" w:rsidR="004F3DE0" w:rsidRDefault="004F3DE0" w:rsidP="004F3DE0">
      <w:pPr>
        <w:pStyle w:val="ListParagraph"/>
        <w:numPr>
          <w:ilvl w:val="0"/>
          <w:numId w:val="2"/>
        </w:numPr>
        <w:spacing w:after="0" w:line="240" w:lineRule="auto"/>
        <w:jc w:val="both"/>
        <w:rPr>
          <w:sz w:val="24"/>
          <w:szCs w:val="24"/>
          <w:lang w:val="en-US"/>
        </w:rPr>
      </w:pPr>
      <w:proofErr w:type="gramStart"/>
      <w:r>
        <w:rPr>
          <w:sz w:val="24"/>
          <w:szCs w:val="24"/>
          <w:lang w:val="en-US"/>
        </w:rPr>
        <w:t>existing</w:t>
      </w:r>
      <w:proofErr w:type="gramEnd"/>
      <w:r>
        <w:rPr>
          <w:sz w:val="24"/>
          <w:szCs w:val="24"/>
          <w:lang w:val="en-US"/>
        </w:rPr>
        <w:t xml:space="preserve"> partnerships with large TU confederations</w:t>
      </w:r>
    </w:p>
    <w:p w14:paraId="7350E25D" w14:textId="4048486D" w:rsidR="004F3DE0" w:rsidRPr="004F3DE0" w:rsidRDefault="004F3DE0" w:rsidP="004F3DE0">
      <w:pPr>
        <w:pStyle w:val="ListParagraph"/>
        <w:numPr>
          <w:ilvl w:val="0"/>
          <w:numId w:val="2"/>
        </w:numPr>
        <w:spacing w:after="0" w:line="240" w:lineRule="auto"/>
        <w:jc w:val="both"/>
        <w:rPr>
          <w:sz w:val="24"/>
          <w:szCs w:val="24"/>
          <w:lang w:val="en-US"/>
        </w:rPr>
      </w:pPr>
      <w:proofErr w:type="gramStart"/>
      <w:r>
        <w:rPr>
          <w:sz w:val="24"/>
          <w:szCs w:val="24"/>
          <w:lang w:val="en-US"/>
        </w:rPr>
        <w:t>existing</w:t>
      </w:r>
      <w:proofErr w:type="gramEnd"/>
      <w:r>
        <w:rPr>
          <w:sz w:val="24"/>
          <w:szCs w:val="24"/>
          <w:lang w:val="en-US"/>
        </w:rPr>
        <w:t xml:space="preserve"> partnerships with other national networks and alliances</w:t>
      </w:r>
    </w:p>
    <w:p w14:paraId="55F3D745" w14:textId="77777777" w:rsidR="00926A49" w:rsidRPr="006C2E8D" w:rsidRDefault="00926A49" w:rsidP="006C2E8D">
      <w:pPr>
        <w:spacing w:after="0" w:line="240" w:lineRule="auto"/>
        <w:jc w:val="both"/>
        <w:rPr>
          <w:sz w:val="24"/>
          <w:szCs w:val="24"/>
          <w:lang w:val="en-US"/>
        </w:rPr>
      </w:pPr>
    </w:p>
    <w:p w14:paraId="627C6979" w14:textId="300F58F0" w:rsidR="006C2E8D" w:rsidRPr="004F3DE0" w:rsidRDefault="006C2E8D" w:rsidP="006C2E8D">
      <w:pPr>
        <w:spacing w:after="0" w:line="240" w:lineRule="auto"/>
        <w:jc w:val="both"/>
        <w:rPr>
          <w:b/>
          <w:sz w:val="24"/>
          <w:szCs w:val="24"/>
          <w:lang w:val="en-US"/>
        </w:rPr>
      </w:pPr>
      <w:r w:rsidRPr="006C2E8D">
        <w:rPr>
          <w:b/>
          <w:sz w:val="24"/>
          <w:szCs w:val="24"/>
          <w:lang w:val="en-US"/>
        </w:rPr>
        <w:t>7. Anything else to add?</w:t>
      </w:r>
    </w:p>
    <w:p w14:paraId="59E74283" w14:textId="77777777" w:rsidR="006C2E8D" w:rsidRPr="006C2E8D" w:rsidRDefault="006C2E8D" w:rsidP="006C2E8D">
      <w:pPr>
        <w:spacing w:after="0" w:line="240" w:lineRule="auto"/>
        <w:jc w:val="center"/>
        <w:rPr>
          <w:sz w:val="26"/>
          <w:szCs w:val="26"/>
          <w:lang w:val="en-US"/>
        </w:rPr>
      </w:pPr>
      <w:r w:rsidRPr="006C2E8D">
        <w:rPr>
          <w:sz w:val="26"/>
          <w:szCs w:val="26"/>
          <w:lang w:val="en-US"/>
        </w:rPr>
        <w:t xml:space="preserve">Please return this fiche, filled-in, to </w:t>
      </w:r>
      <w:hyperlink r:id="rId8" w:history="1">
        <w:r w:rsidRPr="006C2E8D">
          <w:rPr>
            <w:rStyle w:val="Hyperlink"/>
            <w:sz w:val="26"/>
            <w:szCs w:val="26"/>
            <w:lang w:val="en-US"/>
          </w:rPr>
          <w:t>amana.ferro@eapn.eu</w:t>
        </w:r>
      </w:hyperlink>
      <w:r w:rsidRPr="006C2E8D">
        <w:rPr>
          <w:sz w:val="26"/>
          <w:szCs w:val="26"/>
          <w:lang w:val="en-US"/>
        </w:rPr>
        <w:t xml:space="preserve">, by </w:t>
      </w:r>
      <w:r w:rsidRPr="006C2E8D">
        <w:rPr>
          <w:b/>
          <w:color w:val="FF0000"/>
          <w:sz w:val="26"/>
          <w:szCs w:val="26"/>
          <w:u w:val="single"/>
          <w:lang w:val="en-US"/>
        </w:rPr>
        <w:t>Friday, 21 February 2014.</w:t>
      </w:r>
    </w:p>
    <w:p w14:paraId="17EF8996" w14:textId="77777777" w:rsidR="006C2E8D" w:rsidRDefault="006C2E8D" w:rsidP="006C2E8D">
      <w:pPr>
        <w:spacing w:after="0" w:line="240" w:lineRule="auto"/>
        <w:jc w:val="center"/>
        <w:rPr>
          <w:i/>
          <w:sz w:val="26"/>
          <w:szCs w:val="26"/>
          <w:lang w:val="en-US"/>
        </w:rPr>
      </w:pPr>
    </w:p>
    <w:p w14:paraId="5B7E0BD8" w14:textId="77777777" w:rsidR="006C2E8D" w:rsidRPr="006C2E8D" w:rsidRDefault="006C2E8D" w:rsidP="006C2E8D">
      <w:pPr>
        <w:spacing w:after="0" w:line="240" w:lineRule="auto"/>
        <w:jc w:val="center"/>
        <w:rPr>
          <w:i/>
          <w:sz w:val="26"/>
          <w:szCs w:val="26"/>
          <w:lang w:val="en-US"/>
        </w:rPr>
      </w:pPr>
      <w:r w:rsidRPr="006C2E8D">
        <w:rPr>
          <w:i/>
          <w:sz w:val="26"/>
          <w:szCs w:val="26"/>
          <w:lang w:val="en-US"/>
        </w:rPr>
        <w:t>Thank you in advance for your cooperation!</w:t>
      </w:r>
    </w:p>
    <w:sectPr w:rsidR="006C2E8D" w:rsidRPr="006C2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D159C"/>
    <w:multiLevelType w:val="hybridMultilevel"/>
    <w:tmpl w:val="757821C4"/>
    <w:lvl w:ilvl="0" w:tplc="9B800D9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5A76C07"/>
    <w:multiLevelType w:val="hybridMultilevel"/>
    <w:tmpl w:val="40847704"/>
    <w:lvl w:ilvl="0" w:tplc="7ADCC18A">
      <w:start w:val="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82C"/>
    <w:rsid w:val="00082EFB"/>
    <w:rsid w:val="002137FF"/>
    <w:rsid w:val="00352A6A"/>
    <w:rsid w:val="003F2024"/>
    <w:rsid w:val="004146B0"/>
    <w:rsid w:val="004F3DE0"/>
    <w:rsid w:val="006776A8"/>
    <w:rsid w:val="006C2E8D"/>
    <w:rsid w:val="007C7BF1"/>
    <w:rsid w:val="008D3B2D"/>
    <w:rsid w:val="00926A49"/>
    <w:rsid w:val="00A612EA"/>
    <w:rsid w:val="00CA594A"/>
    <w:rsid w:val="00D5682C"/>
    <w:rsid w:val="00E04395"/>
    <w:rsid w:val="00E568AA"/>
    <w:rsid w:val="00F46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72B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FF"/>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7FF"/>
    <w:pPr>
      <w:ind w:left="720"/>
      <w:contextualSpacing/>
    </w:pPr>
  </w:style>
  <w:style w:type="paragraph" w:styleId="NormalWeb">
    <w:name w:val="Normal (Web)"/>
    <w:basedOn w:val="Normal"/>
    <w:uiPriority w:val="99"/>
    <w:unhideWhenUsed/>
    <w:rsid w:val="006C2E8D"/>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basedOn w:val="DefaultParagraphFont"/>
    <w:uiPriority w:val="99"/>
    <w:unhideWhenUsed/>
    <w:rsid w:val="006C2E8D"/>
    <w:rPr>
      <w:color w:val="0000FF"/>
      <w:u w:val="single"/>
    </w:rPr>
  </w:style>
  <w:style w:type="character" w:styleId="Strong">
    <w:name w:val="Strong"/>
    <w:basedOn w:val="DefaultParagraphFont"/>
    <w:qFormat/>
    <w:rsid w:val="006C2E8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7FF"/>
    <w:rPr>
      <w:rFonts w:ascii="Calibri" w:eastAsia="Calibri" w:hAnsi="Calibri" w:cs="Times New Roman"/>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7FF"/>
    <w:pPr>
      <w:ind w:left="720"/>
      <w:contextualSpacing/>
    </w:pPr>
  </w:style>
  <w:style w:type="paragraph" w:styleId="NormalWeb">
    <w:name w:val="Normal (Web)"/>
    <w:basedOn w:val="Normal"/>
    <w:uiPriority w:val="99"/>
    <w:unhideWhenUsed/>
    <w:rsid w:val="006C2E8D"/>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Hyperlink">
    <w:name w:val="Hyperlink"/>
    <w:basedOn w:val="DefaultParagraphFont"/>
    <w:uiPriority w:val="99"/>
    <w:unhideWhenUsed/>
    <w:rsid w:val="006C2E8D"/>
    <w:rPr>
      <w:color w:val="0000FF"/>
      <w:u w:val="single"/>
    </w:rPr>
  </w:style>
  <w:style w:type="character" w:styleId="Strong">
    <w:name w:val="Strong"/>
    <w:basedOn w:val="DefaultParagraphFont"/>
    <w:qFormat/>
    <w:rsid w:val="006C2E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53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lw.povertyalliance.org/" TargetMode="External"/><Relationship Id="rId7" Type="http://schemas.openxmlformats.org/officeDocument/2006/relationships/hyperlink" Target="http://www.eapn.eu/en/members-room/task-forces/task-force-on-decent-work" TargetMode="External"/><Relationship Id="rId8" Type="http://schemas.openxmlformats.org/officeDocument/2006/relationships/hyperlink" Target="mailto:amana.ferro@eapn.e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Pages>
  <Words>1121</Words>
  <Characters>6390</Characters>
  <Application>Microsoft Macintosh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Amana</dc:creator>
  <cp:keywords/>
  <dc:description/>
  <cp:lastModifiedBy>Raluca</cp:lastModifiedBy>
  <cp:revision>6</cp:revision>
  <dcterms:created xsi:type="dcterms:W3CDTF">2014-02-21T13:34:00Z</dcterms:created>
  <dcterms:modified xsi:type="dcterms:W3CDTF">2014-02-21T16:32:00Z</dcterms:modified>
</cp:coreProperties>
</file>