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9CC31" w14:textId="2A43688A" w:rsidR="00BA72BB" w:rsidRPr="00CC295A" w:rsidRDefault="00576E37" w:rsidP="008001D2">
      <w:pPr>
        <w:pBdr>
          <w:top w:val="single" w:sz="4" w:space="1" w:color="auto"/>
          <w:left w:val="single" w:sz="4" w:space="4" w:color="auto"/>
          <w:bottom w:val="single" w:sz="4" w:space="1" w:color="auto"/>
          <w:right w:val="single" w:sz="4" w:space="4" w:color="auto"/>
        </w:pBdr>
        <w:jc w:val="center"/>
        <w:rPr>
          <w:rFonts w:asciiTheme="minorHAnsi" w:hAnsiTheme="minorHAnsi"/>
          <w:b/>
          <w:lang w:val="en-IE"/>
        </w:rPr>
      </w:pPr>
      <w:r w:rsidRPr="00CC295A">
        <w:rPr>
          <w:rFonts w:asciiTheme="minorHAnsi" w:hAnsiTheme="minorHAnsi"/>
          <w:b/>
          <w:lang w:val="en-IE"/>
        </w:rPr>
        <w:t>Proposal</w:t>
      </w:r>
      <w:r w:rsidR="00BA72BB" w:rsidRPr="00CC295A">
        <w:rPr>
          <w:rFonts w:asciiTheme="minorHAnsi" w:hAnsiTheme="minorHAnsi"/>
          <w:b/>
          <w:lang w:val="en-IE"/>
        </w:rPr>
        <w:t>s for Policy Task Forces 201</w:t>
      </w:r>
      <w:r w:rsidR="00CC295A" w:rsidRPr="00CC295A">
        <w:rPr>
          <w:rFonts w:asciiTheme="minorHAnsi" w:hAnsiTheme="minorHAnsi"/>
          <w:b/>
          <w:lang w:val="en-IE"/>
        </w:rPr>
        <w:t>6</w:t>
      </w:r>
    </w:p>
    <w:p w14:paraId="460B2F12" w14:textId="5D64BF4A" w:rsidR="00576E37" w:rsidRPr="00CC295A" w:rsidRDefault="00576E37" w:rsidP="008001D2">
      <w:pPr>
        <w:pBdr>
          <w:top w:val="single" w:sz="4" w:space="1" w:color="auto"/>
          <w:left w:val="single" w:sz="4" w:space="4" w:color="auto"/>
          <w:bottom w:val="single" w:sz="4" w:space="1" w:color="auto"/>
          <w:right w:val="single" w:sz="4" w:space="4" w:color="auto"/>
        </w:pBdr>
        <w:jc w:val="center"/>
        <w:rPr>
          <w:rFonts w:asciiTheme="minorHAnsi" w:hAnsiTheme="minorHAnsi"/>
          <w:b/>
          <w:lang w:val="en-IE"/>
        </w:rPr>
      </w:pPr>
      <w:r w:rsidRPr="00CC295A">
        <w:rPr>
          <w:rFonts w:asciiTheme="minorHAnsi" w:hAnsiTheme="minorHAnsi"/>
          <w:b/>
          <w:lang w:val="en-IE"/>
        </w:rPr>
        <w:t xml:space="preserve">Background Document and </w:t>
      </w:r>
      <w:r w:rsidR="00036A18" w:rsidRPr="00CC295A">
        <w:rPr>
          <w:rFonts w:asciiTheme="minorHAnsi" w:hAnsiTheme="minorHAnsi"/>
          <w:b/>
          <w:lang w:val="en-IE"/>
        </w:rPr>
        <w:t xml:space="preserve">Proposal </w:t>
      </w:r>
      <w:r w:rsidRPr="00CC295A">
        <w:rPr>
          <w:rFonts w:asciiTheme="minorHAnsi" w:hAnsiTheme="minorHAnsi"/>
          <w:b/>
          <w:lang w:val="en-IE"/>
        </w:rPr>
        <w:t>Form</w:t>
      </w:r>
    </w:p>
    <w:p w14:paraId="0E29D341" w14:textId="77777777" w:rsidR="009E02CA" w:rsidRPr="00CC295A" w:rsidRDefault="009E02CA" w:rsidP="008001D2">
      <w:pPr>
        <w:jc w:val="both"/>
        <w:rPr>
          <w:rFonts w:asciiTheme="minorHAnsi" w:hAnsiTheme="minorHAnsi"/>
          <w:b/>
        </w:rPr>
      </w:pPr>
      <w:bookmarkStart w:id="0" w:name="_GoBack"/>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7420" w:rsidRPr="00CC295A" w14:paraId="791DF91F" w14:textId="77777777" w:rsidTr="00634D41">
        <w:tc>
          <w:tcPr>
            <w:tcW w:w="9606" w:type="dxa"/>
          </w:tcPr>
          <w:p w14:paraId="759A0D12" w14:textId="77777777" w:rsidR="009E02CA" w:rsidRPr="000F3EC8" w:rsidRDefault="009E02CA" w:rsidP="008001D2">
            <w:pPr>
              <w:ind w:left="360" w:hanging="360"/>
              <w:jc w:val="both"/>
              <w:rPr>
                <w:rFonts w:asciiTheme="minorHAnsi" w:hAnsiTheme="minorHAnsi"/>
                <w:b/>
                <w:sz w:val="20"/>
                <w:szCs w:val="20"/>
              </w:rPr>
            </w:pPr>
          </w:p>
          <w:p w14:paraId="31F46F0A" w14:textId="77777777" w:rsidR="001F419C" w:rsidRPr="00CC295A" w:rsidRDefault="00C37420" w:rsidP="008001D2">
            <w:pPr>
              <w:ind w:left="360" w:hanging="360"/>
              <w:jc w:val="center"/>
              <w:rPr>
                <w:rFonts w:asciiTheme="minorHAnsi" w:hAnsiTheme="minorHAnsi"/>
                <w:b/>
              </w:rPr>
            </w:pPr>
            <w:r w:rsidRPr="00CC295A">
              <w:rPr>
                <w:rFonts w:asciiTheme="minorHAnsi" w:hAnsiTheme="minorHAnsi"/>
                <w:b/>
              </w:rPr>
              <w:t>Name</w:t>
            </w:r>
            <w:r w:rsidR="00B9130D" w:rsidRPr="00CC295A">
              <w:rPr>
                <w:rFonts w:asciiTheme="minorHAnsi" w:hAnsiTheme="minorHAnsi"/>
                <w:b/>
              </w:rPr>
              <w:t>/Title</w:t>
            </w:r>
            <w:r w:rsidRPr="00CC295A">
              <w:rPr>
                <w:rFonts w:asciiTheme="minorHAnsi" w:hAnsiTheme="minorHAnsi"/>
                <w:b/>
              </w:rPr>
              <w:t xml:space="preserve"> of Proposed Task Force:</w:t>
            </w:r>
          </w:p>
          <w:p w14:paraId="1303EDA5" w14:textId="77777777" w:rsidR="00CC295A" w:rsidRPr="00CC295A" w:rsidRDefault="00CC295A" w:rsidP="008001D2">
            <w:pPr>
              <w:jc w:val="center"/>
              <w:rPr>
                <w:rFonts w:asciiTheme="minorHAnsi" w:hAnsiTheme="minorHAnsi"/>
                <w:b/>
                <w:i/>
                <w:lang w:val="en-GB"/>
              </w:rPr>
            </w:pPr>
            <w:r w:rsidRPr="00CC295A">
              <w:rPr>
                <w:rFonts w:asciiTheme="minorHAnsi" w:hAnsiTheme="minorHAnsi"/>
                <w:b/>
                <w:i/>
                <w:lang w:val="en-GB"/>
              </w:rPr>
              <w:t>Poverty and Social Exclusion as Violation of Human Rights</w:t>
            </w:r>
          </w:p>
          <w:p w14:paraId="0F277E1E" w14:textId="77777777" w:rsidR="007F41D2" w:rsidRPr="000F3EC8" w:rsidRDefault="007F41D2" w:rsidP="008001D2">
            <w:pPr>
              <w:jc w:val="both"/>
              <w:rPr>
                <w:rFonts w:asciiTheme="minorHAnsi" w:hAnsiTheme="minorHAnsi"/>
                <w:b/>
                <w:i/>
                <w:sz w:val="20"/>
                <w:szCs w:val="20"/>
                <w:lang w:val="en-GB"/>
              </w:rPr>
            </w:pPr>
          </w:p>
        </w:tc>
      </w:tr>
      <w:tr w:rsidR="00B9130D" w:rsidRPr="00CC295A" w14:paraId="0F031EC4" w14:textId="77777777" w:rsidTr="00634D41">
        <w:tc>
          <w:tcPr>
            <w:tcW w:w="9606" w:type="dxa"/>
          </w:tcPr>
          <w:p w14:paraId="0DEB0B42" w14:textId="77777777" w:rsidR="00B9130D" w:rsidRPr="00CC295A" w:rsidRDefault="00B9130D" w:rsidP="008001D2">
            <w:pPr>
              <w:ind w:left="360" w:hanging="360"/>
              <w:jc w:val="both"/>
              <w:rPr>
                <w:rFonts w:asciiTheme="minorHAnsi" w:hAnsiTheme="minorHAnsi"/>
                <w:b/>
              </w:rPr>
            </w:pPr>
            <w:r w:rsidRPr="00CC295A">
              <w:rPr>
                <w:rFonts w:asciiTheme="minorHAnsi" w:hAnsiTheme="minorHAnsi"/>
                <w:b/>
              </w:rPr>
              <w:t>Name/Contact details of member/s proposing</w:t>
            </w:r>
            <w:r w:rsidR="008358E3" w:rsidRPr="00CC295A">
              <w:rPr>
                <w:rFonts w:asciiTheme="minorHAnsi" w:hAnsiTheme="minorHAnsi"/>
                <w:b/>
              </w:rPr>
              <w:t xml:space="preserve"> TF</w:t>
            </w:r>
            <w:r w:rsidRPr="00CC295A">
              <w:rPr>
                <w:rFonts w:asciiTheme="minorHAnsi" w:hAnsiTheme="minorHAnsi"/>
                <w:b/>
              </w:rPr>
              <w:t>:</w:t>
            </w:r>
          </w:p>
          <w:p w14:paraId="7D5A34A0" w14:textId="77777777" w:rsidR="006E7008" w:rsidRDefault="00CC295A" w:rsidP="000F3EC8">
            <w:pPr>
              <w:jc w:val="both"/>
              <w:rPr>
                <w:rStyle w:val="Hyperlink"/>
                <w:rFonts w:asciiTheme="minorHAnsi" w:hAnsiTheme="minorHAnsi"/>
                <w:i/>
                <w:lang w:val="en-GB"/>
              </w:rPr>
            </w:pPr>
            <w:r w:rsidRPr="00CC295A">
              <w:rPr>
                <w:rFonts w:asciiTheme="minorHAnsi" w:hAnsiTheme="minorHAnsi"/>
                <w:i/>
                <w:lang w:val="en-GB"/>
              </w:rPr>
              <w:t xml:space="preserve">Ole Meldgaard, mail: </w:t>
            </w:r>
            <w:hyperlink r:id="rId7" w:history="1">
              <w:r w:rsidRPr="00CC295A">
                <w:rPr>
                  <w:rStyle w:val="Hyperlink"/>
                  <w:rFonts w:asciiTheme="minorHAnsi" w:hAnsiTheme="minorHAnsi"/>
                  <w:i/>
                  <w:lang w:val="en-GB"/>
                </w:rPr>
                <w:t>ole@kofoedsskole.dk</w:t>
              </w:r>
            </w:hyperlink>
          </w:p>
          <w:p w14:paraId="75E93780" w14:textId="39D361C2" w:rsidR="000F3EC8" w:rsidRPr="000F3EC8" w:rsidRDefault="000F3EC8" w:rsidP="000F3EC8">
            <w:pPr>
              <w:jc w:val="both"/>
              <w:rPr>
                <w:rFonts w:asciiTheme="minorHAnsi" w:hAnsiTheme="minorHAnsi"/>
                <w:b/>
                <w:sz w:val="20"/>
                <w:szCs w:val="20"/>
              </w:rPr>
            </w:pPr>
          </w:p>
        </w:tc>
      </w:tr>
      <w:tr w:rsidR="00C37420" w:rsidRPr="00CC295A" w14:paraId="2A53AA38" w14:textId="77777777" w:rsidTr="006F4E02">
        <w:tc>
          <w:tcPr>
            <w:tcW w:w="9606" w:type="dxa"/>
            <w:tcBorders>
              <w:bottom w:val="single" w:sz="4" w:space="0" w:color="auto"/>
            </w:tcBorders>
          </w:tcPr>
          <w:p w14:paraId="05C00306" w14:textId="77777777" w:rsidR="00AB71C3" w:rsidRPr="00CC295A" w:rsidRDefault="00B9130D" w:rsidP="008001D2">
            <w:pPr>
              <w:jc w:val="both"/>
              <w:rPr>
                <w:rFonts w:asciiTheme="minorHAnsi" w:hAnsiTheme="minorHAnsi"/>
                <w:b/>
              </w:rPr>
            </w:pPr>
            <w:r w:rsidRPr="00CC295A">
              <w:rPr>
                <w:rFonts w:asciiTheme="minorHAnsi" w:hAnsiTheme="minorHAnsi"/>
                <w:b/>
              </w:rPr>
              <w:t xml:space="preserve">Objective of the Task Force, justification </w:t>
            </w:r>
            <w:r w:rsidR="00C37420" w:rsidRPr="00CC295A">
              <w:rPr>
                <w:rFonts w:asciiTheme="minorHAnsi" w:hAnsiTheme="minorHAnsi"/>
                <w:b/>
              </w:rPr>
              <w:t xml:space="preserve">and desired output </w:t>
            </w:r>
          </w:p>
          <w:p w14:paraId="3240AB09" w14:textId="77777777" w:rsidR="00F85E76" w:rsidRPr="00CC295A" w:rsidRDefault="00F85E76" w:rsidP="008001D2">
            <w:pPr>
              <w:jc w:val="both"/>
              <w:rPr>
                <w:rFonts w:asciiTheme="minorHAnsi" w:hAnsiTheme="minorHAnsi"/>
              </w:rPr>
            </w:pPr>
          </w:p>
          <w:p w14:paraId="5981253B" w14:textId="65DE0BFF" w:rsidR="00CC295A" w:rsidRPr="00CC295A" w:rsidRDefault="00CC295A" w:rsidP="008001D2">
            <w:pPr>
              <w:jc w:val="both"/>
              <w:rPr>
                <w:rFonts w:asciiTheme="minorHAnsi" w:hAnsiTheme="minorHAnsi"/>
                <w:lang w:val="en-GB"/>
              </w:rPr>
            </w:pPr>
            <w:r w:rsidRPr="00CC295A">
              <w:rPr>
                <w:rFonts w:asciiTheme="minorHAnsi" w:hAnsiTheme="minorHAnsi"/>
                <w:lang w:val="en-GB"/>
              </w:rPr>
              <w:t xml:space="preserve">People who live in poverty and social exclusion are </w:t>
            </w:r>
            <w:r w:rsidR="000A3E80" w:rsidRPr="00CC295A">
              <w:rPr>
                <w:rFonts w:asciiTheme="minorHAnsi" w:hAnsiTheme="minorHAnsi"/>
                <w:lang w:val="en-GB"/>
              </w:rPr>
              <w:t>often also victims of societal structural discrimination</w:t>
            </w:r>
            <w:r w:rsidR="000A3E80">
              <w:rPr>
                <w:rFonts w:asciiTheme="minorHAnsi" w:hAnsiTheme="minorHAnsi"/>
                <w:lang w:val="en-GB"/>
              </w:rPr>
              <w:t>,</w:t>
            </w:r>
            <w:r w:rsidR="000A3E80" w:rsidRPr="00CC295A">
              <w:rPr>
                <w:rFonts w:asciiTheme="minorHAnsi" w:hAnsiTheme="minorHAnsi"/>
                <w:lang w:val="en-GB"/>
              </w:rPr>
              <w:t xml:space="preserve"> caused by political decisions</w:t>
            </w:r>
            <w:r w:rsidR="00DF58EC">
              <w:rPr>
                <w:rFonts w:asciiTheme="minorHAnsi" w:hAnsiTheme="minorHAnsi"/>
                <w:lang w:val="en-GB"/>
              </w:rPr>
              <w:t xml:space="preserve"> or an absence of intervention, while poverty itself is a considered by some authors as a form of structural violence</w:t>
            </w:r>
            <w:r w:rsidRPr="00CC295A">
              <w:rPr>
                <w:rFonts w:asciiTheme="minorHAnsi" w:hAnsiTheme="minorHAnsi"/>
                <w:lang w:val="en-GB"/>
              </w:rPr>
              <w:t xml:space="preserve">. The existence of poverty and social exclusion inhibits the full and effective enjoyment of human rights. A human rights approach to poverty calls for a paradigm shift in how we see and address poverty. It suggests that poverty is not simply inevitable, nor can it be blamed on the poor. It seeks to identify how and where poverty is created by human actions or policy choices, rather than by nameless economic forces. A human rights approach views poverty not as a question of fate, but rather as </w:t>
            </w:r>
            <w:r>
              <w:rPr>
                <w:rFonts w:asciiTheme="minorHAnsi" w:hAnsiTheme="minorHAnsi"/>
                <w:lang w:val="en-GB"/>
              </w:rPr>
              <w:t xml:space="preserve">an </w:t>
            </w:r>
            <w:r w:rsidR="00DF58EC">
              <w:rPr>
                <w:rFonts w:asciiTheme="minorHAnsi" w:hAnsiTheme="minorHAnsi"/>
                <w:lang w:val="en-GB"/>
              </w:rPr>
              <w:t xml:space="preserve">issue of justice. With a </w:t>
            </w:r>
            <w:r w:rsidRPr="00CC295A">
              <w:rPr>
                <w:rFonts w:asciiTheme="minorHAnsi" w:hAnsiTheme="minorHAnsi"/>
                <w:lang w:val="en-GB"/>
              </w:rPr>
              <w:t>rights</w:t>
            </w:r>
            <w:r w:rsidR="00DF58EC">
              <w:rPr>
                <w:rFonts w:asciiTheme="minorHAnsi" w:hAnsiTheme="minorHAnsi"/>
                <w:lang w:val="en-GB"/>
              </w:rPr>
              <w:t>-based</w:t>
            </w:r>
            <w:r w:rsidRPr="00CC295A">
              <w:rPr>
                <w:rFonts w:asciiTheme="minorHAnsi" w:hAnsiTheme="minorHAnsi"/>
                <w:lang w:val="en-GB"/>
              </w:rPr>
              <w:t xml:space="preserve"> approach, we must investigate and demand accountability for the actions (or </w:t>
            </w:r>
            <w:r w:rsidR="000A3E80" w:rsidRPr="00CC295A">
              <w:rPr>
                <w:rFonts w:asciiTheme="minorHAnsi" w:hAnsiTheme="minorHAnsi"/>
                <w:lang w:val="en-GB"/>
              </w:rPr>
              <w:t>failures to act</w:t>
            </w:r>
            <w:r w:rsidRPr="00CC295A">
              <w:rPr>
                <w:rFonts w:asciiTheme="minorHAnsi" w:hAnsiTheme="minorHAnsi"/>
                <w:lang w:val="en-GB"/>
              </w:rPr>
              <w:t>) that produce, perpetuate</w:t>
            </w:r>
            <w:r w:rsidR="00DF58EC">
              <w:rPr>
                <w:rFonts w:asciiTheme="minorHAnsi" w:hAnsiTheme="minorHAnsi"/>
                <w:lang w:val="en-GB"/>
              </w:rPr>
              <w:t>,</w:t>
            </w:r>
            <w:r w:rsidRPr="00CC295A">
              <w:rPr>
                <w:rFonts w:asciiTheme="minorHAnsi" w:hAnsiTheme="minorHAnsi"/>
                <w:lang w:val="en-GB"/>
              </w:rPr>
              <w:t xml:space="preserve"> and exacerbate poverty. The human rights framework also focuses on empowerment – giving voice and power to those who are poor and otherwise unable to claim their rights.</w:t>
            </w:r>
            <w:r w:rsidR="00DF58EC">
              <w:rPr>
                <w:rFonts w:asciiTheme="minorHAnsi" w:hAnsiTheme="minorHAnsi"/>
                <w:lang w:val="en-GB"/>
              </w:rPr>
              <w:t xml:space="preserve"> A particular f</w:t>
            </w:r>
            <w:r w:rsidRPr="00CC295A">
              <w:rPr>
                <w:rFonts w:asciiTheme="minorHAnsi" w:hAnsiTheme="minorHAnsi"/>
                <w:lang w:val="en-GB"/>
              </w:rPr>
              <w:t>ocus on social rights will help to ensure that Governments address poverty reduction as a priority.</w:t>
            </w:r>
            <w:r w:rsidR="009B234D">
              <w:rPr>
                <w:rFonts w:asciiTheme="minorHAnsi" w:hAnsiTheme="minorHAnsi"/>
                <w:lang w:val="en-GB"/>
              </w:rPr>
              <w:t xml:space="preserve"> With this Task F</w:t>
            </w:r>
            <w:r w:rsidRPr="00CC295A">
              <w:rPr>
                <w:rFonts w:asciiTheme="minorHAnsi" w:hAnsiTheme="minorHAnsi"/>
                <w:lang w:val="en-GB"/>
              </w:rPr>
              <w:t xml:space="preserve">orce, EAPN wants to elaborate on the relation between poverty and human rights in </w:t>
            </w:r>
            <w:r w:rsidR="009B234D">
              <w:rPr>
                <w:rFonts w:asciiTheme="minorHAnsi" w:hAnsiTheme="minorHAnsi"/>
                <w:lang w:val="en-GB"/>
              </w:rPr>
              <w:t>Europe</w:t>
            </w:r>
            <w:r w:rsidRPr="00CC295A">
              <w:rPr>
                <w:rFonts w:asciiTheme="minorHAnsi" w:hAnsiTheme="minorHAnsi"/>
                <w:lang w:val="en-GB"/>
              </w:rPr>
              <w:t>, to deepen its understanding of poverty and social exclusion as a violation of human rights</w:t>
            </w:r>
            <w:r w:rsidR="009B234D">
              <w:rPr>
                <w:rFonts w:asciiTheme="minorHAnsi" w:hAnsiTheme="minorHAnsi"/>
                <w:lang w:val="en-GB"/>
              </w:rPr>
              <w:t>,</w:t>
            </w:r>
            <w:r w:rsidRPr="00CC295A">
              <w:rPr>
                <w:rFonts w:asciiTheme="minorHAnsi" w:hAnsiTheme="minorHAnsi"/>
                <w:lang w:val="en-GB"/>
              </w:rPr>
              <w:t xml:space="preserve"> and to strengthen its capacity to act against poverty and human rights violations.</w:t>
            </w:r>
          </w:p>
          <w:p w14:paraId="53C242FB" w14:textId="77777777" w:rsidR="00F85E76" w:rsidRPr="00CC295A" w:rsidRDefault="00F85E76" w:rsidP="008001D2">
            <w:pPr>
              <w:ind w:left="360" w:hanging="360"/>
              <w:jc w:val="both"/>
              <w:rPr>
                <w:rFonts w:asciiTheme="minorHAnsi" w:hAnsiTheme="minorHAnsi"/>
                <w:b/>
                <w:lang w:val="en-GB"/>
              </w:rPr>
            </w:pPr>
          </w:p>
          <w:p w14:paraId="5E906FD2" w14:textId="77777777" w:rsidR="00C37420" w:rsidRPr="00CC295A" w:rsidRDefault="00C37420" w:rsidP="008001D2">
            <w:pPr>
              <w:ind w:left="360" w:hanging="360"/>
              <w:jc w:val="both"/>
              <w:rPr>
                <w:rFonts w:asciiTheme="minorHAnsi" w:hAnsiTheme="minorHAnsi"/>
                <w:b/>
              </w:rPr>
            </w:pPr>
            <w:r w:rsidRPr="00CC295A">
              <w:rPr>
                <w:rFonts w:asciiTheme="minorHAnsi" w:hAnsiTheme="minorHAnsi"/>
                <w:b/>
              </w:rPr>
              <w:t>Main objective</w:t>
            </w:r>
            <w:r w:rsidR="00B9130D" w:rsidRPr="00CC295A">
              <w:rPr>
                <w:rFonts w:asciiTheme="minorHAnsi" w:hAnsiTheme="minorHAnsi"/>
                <w:b/>
              </w:rPr>
              <w:t>/s</w:t>
            </w:r>
            <w:r w:rsidRPr="00CC295A">
              <w:rPr>
                <w:rFonts w:asciiTheme="minorHAnsi" w:hAnsiTheme="minorHAnsi"/>
                <w:b/>
              </w:rPr>
              <w:t xml:space="preserve">: </w:t>
            </w:r>
          </w:p>
          <w:p w14:paraId="10FAF2DE" w14:textId="5A00B16C" w:rsidR="00CC295A" w:rsidRPr="00CC295A" w:rsidRDefault="00CC295A" w:rsidP="008001D2">
            <w:pPr>
              <w:pStyle w:val="ListParagraph"/>
              <w:numPr>
                <w:ilvl w:val="0"/>
                <w:numId w:val="12"/>
              </w:numPr>
              <w:jc w:val="both"/>
              <w:rPr>
                <w:rFonts w:asciiTheme="minorHAnsi" w:hAnsiTheme="minorHAnsi"/>
                <w:lang w:val="en-GB"/>
              </w:rPr>
            </w:pPr>
            <w:r w:rsidRPr="00CC295A">
              <w:rPr>
                <w:rFonts w:asciiTheme="minorHAnsi" w:hAnsiTheme="minorHAnsi"/>
                <w:lang w:val="en-GB"/>
              </w:rPr>
              <w:t>In the fight against poverty</w:t>
            </w:r>
            <w:r w:rsidR="009B234D">
              <w:rPr>
                <w:rFonts w:asciiTheme="minorHAnsi" w:hAnsiTheme="minorHAnsi"/>
                <w:lang w:val="en-GB"/>
              </w:rPr>
              <w:t>,</w:t>
            </w:r>
            <w:r w:rsidRPr="00CC295A">
              <w:rPr>
                <w:rFonts w:asciiTheme="minorHAnsi" w:hAnsiTheme="minorHAnsi"/>
                <w:lang w:val="en-GB"/>
              </w:rPr>
              <w:t xml:space="preserve"> to operationalise human rights </w:t>
            </w:r>
            <w:r w:rsidR="009B234D">
              <w:rPr>
                <w:rFonts w:asciiTheme="minorHAnsi" w:hAnsiTheme="minorHAnsi"/>
                <w:lang w:val="en-GB"/>
              </w:rPr>
              <w:t xml:space="preserve">as </w:t>
            </w:r>
            <w:r w:rsidRPr="00CC295A">
              <w:rPr>
                <w:rFonts w:asciiTheme="minorHAnsi" w:hAnsiTheme="minorHAnsi"/>
                <w:lang w:val="en-GB"/>
              </w:rPr>
              <w:t xml:space="preserve">recognised by the international community, in particular </w:t>
            </w:r>
            <w:r w:rsidR="009B234D">
              <w:rPr>
                <w:rFonts w:asciiTheme="minorHAnsi" w:hAnsiTheme="minorHAnsi"/>
                <w:lang w:val="en-GB"/>
              </w:rPr>
              <w:t xml:space="preserve">by </w:t>
            </w:r>
            <w:r w:rsidR="00DF58EC" w:rsidRPr="00CC295A">
              <w:rPr>
                <w:rFonts w:asciiTheme="minorHAnsi" w:hAnsiTheme="minorHAnsi"/>
                <w:lang w:val="en-GB"/>
              </w:rPr>
              <w:t>the Charter of Fundamental Rights of the European Union</w:t>
            </w:r>
            <w:r w:rsidR="00DF58EC">
              <w:rPr>
                <w:rFonts w:asciiTheme="minorHAnsi" w:hAnsiTheme="minorHAnsi"/>
                <w:lang w:val="en-GB"/>
              </w:rPr>
              <w:t xml:space="preserve">, Article 9 of the EU Treaty, </w:t>
            </w:r>
            <w:r w:rsidR="009B234D">
              <w:rPr>
                <w:rFonts w:asciiTheme="minorHAnsi" w:hAnsiTheme="minorHAnsi"/>
                <w:lang w:val="en-GB"/>
              </w:rPr>
              <w:t>the United Nation</w:t>
            </w:r>
            <w:r w:rsidRPr="00CC295A">
              <w:rPr>
                <w:rFonts w:asciiTheme="minorHAnsi" w:hAnsiTheme="minorHAnsi"/>
                <w:lang w:val="en-GB"/>
              </w:rPr>
              <w:t xml:space="preserve">s </w:t>
            </w:r>
            <w:r w:rsidR="009B234D">
              <w:rPr>
                <w:rFonts w:asciiTheme="minorHAnsi" w:hAnsiTheme="minorHAnsi"/>
                <w:lang w:val="en-GB"/>
              </w:rPr>
              <w:t>U</w:t>
            </w:r>
            <w:r w:rsidRPr="00CC295A">
              <w:rPr>
                <w:rFonts w:asciiTheme="minorHAnsi" w:hAnsiTheme="minorHAnsi"/>
                <w:lang w:val="en-GB"/>
              </w:rPr>
              <w:t>niversal</w:t>
            </w:r>
            <w:r w:rsidR="009B234D">
              <w:rPr>
                <w:rFonts w:asciiTheme="minorHAnsi" w:hAnsiTheme="minorHAnsi"/>
                <w:lang w:val="en-GB"/>
              </w:rPr>
              <w:t xml:space="preserve"> D</w:t>
            </w:r>
            <w:r w:rsidRPr="00CC295A">
              <w:rPr>
                <w:rFonts w:asciiTheme="minorHAnsi" w:hAnsiTheme="minorHAnsi"/>
                <w:lang w:val="en-GB"/>
              </w:rPr>
              <w:t>eclaration of</w:t>
            </w:r>
            <w:r w:rsidR="009B234D">
              <w:rPr>
                <w:rFonts w:asciiTheme="minorHAnsi" w:hAnsiTheme="minorHAnsi"/>
                <w:lang w:val="en-GB"/>
              </w:rPr>
              <w:t xml:space="preserve"> H</w:t>
            </w:r>
            <w:r w:rsidRPr="00CC295A">
              <w:rPr>
                <w:rFonts w:asciiTheme="minorHAnsi" w:hAnsiTheme="minorHAnsi"/>
                <w:lang w:val="en-GB"/>
              </w:rPr>
              <w:t>uman</w:t>
            </w:r>
            <w:r w:rsidR="009B234D">
              <w:rPr>
                <w:rFonts w:asciiTheme="minorHAnsi" w:hAnsiTheme="minorHAnsi"/>
                <w:lang w:val="en-GB"/>
              </w:rPr>
              <w:t xml:space="preserve"> R</w:t>
            </w:r>
            <w:r w:rsidRPr="00CC295A">
              <w:rPr>
                <w:rFonts w:asciiTheme="minorHAnsi" w:hAnsiTheme="minorHAnsi"/>
                <w:lang w:val="en-GB"/>
              </w:rPr>
              <w:t>ights,</w:t>
            </w:r>
            <w:r w:rsidRPr="00CC295A">
              <w:rPr>
                <w:rFonts w:asciiTheme="minorHAnsi" w:hAnsiTheme="minorHAnsi"/>
              </w:rPr>
              <w:t xml:space="preserve"> </w:t>
            </w:r>
            <w:r w:rsidR="009B234D">
              <w:rPr>
                <w:rFonts w:asciiTheme="minorHAnsi" w:hAnsiTheme="minorHAnsi"/>
              </w:rPr>
              <w:t xml:space="preserve">the </w:t>
            </w:r>
            <w:r w:rsidR="009B234D">
              <w:rPr>
                <w:rFonts w:asciiTheme="minorHAnsi" w:hAnsiTheme="minorHAnsi"/>
                <w:lang w:val="en-GB"/>
              </w:rPr>
              <w:t>United Nation</w:t>
            </w:r>
            <w:r w:rsidRPr="00CC295A">
              <w:rPr>
                <w:rFonts w:asciiTheme="minorHAnsi" w:hAnsiTheme="minorHAnsi"/>
                <w:lang w:val="en-GB"/>
              </w:rPr>
              <w:t xml:space="preserve">s Covenant on Economic, Social and Cultural Rights, </w:t>
            </w:r>
            <w:r w:rsidR="009B234D">
              <w:rPr>
                <w:rFonts w:asciiTheme="minorHAnsi" w:hAnsiTheme="minorHAnsi"/>
                <w:lang w:val="en-GB"/>
              </w:rPr>
              <w:t>other</w:t>
            </w:r>
            <w:r w:rsidRPr="00CC295A">
              <w:rPr>
                <w:rFonts w:asciiTheme="minorHAnsi" w:hAnsiTheme="minorHAnsi"/>
                <w:lang w:val="en-GB"/>
              </w:rPr>
              <w:t xml:space="preserve"> </w:t>
            </w:r>
            <w:r w:rsidR="009B234D">
              <w:rPr>
                <w:rFonts w:asciiTheme="minorHAnsi" w:hAnsiTheme="minorHAnsi"/>
                <w:lang w:val="en-GB"/>
              </w:rPr>
              <w:t>United Nation</w:t>
            </w:r>
            <w:r w:rsidRPr="00CC295A">
              <w:rPr>
                <w:rFonts w:asciiTheme="minorHAnsi" w:hAnsiTheme="minorHAnsi"/>
                <w:lang w:val="en-GB"/>
              </w:rPr>
              <w:t xml:space="preserve">s </w:t>
            </w:r>
            <w:r w:rsidR="009B234D">
              <w:rPr>
                <w:rFonts w:asciiTheme="minorHAnsi" w:hAnsiTheme="minorHAnsi"/>
                <w:lang w:val="en-GB"/>
              </w:rPr>
              <w:t>conventions, Council of Europe</w:t>
            </w:r>
            <w:r w:rsidRPr="00CC295A">
              <w:rPr>
                <w:rFonts w:asciiTheme="minorHAnsi" w:hAnsiTheme="minorHAnsi"/>
                <w:lang w:val="en-GB"/>
              </w:rPr>
              <w:t xml:space="preserve"> conventions, ILO conventions</w:t>
            </w:r>
            <w:r w:rsidR="009B234D">
              <w:rPr>
                <w:rFonts w:asciiTheme="minorHAnsi" w:hAnsiTheme="minorHAnsi"/>
                <w:lang w:val="en-GB"/>
              </w:rPr>
              <w:t>,</w:t>
            </w:r>
            <w:r w:rsidRPr="00CC295A">
              <w:rPr>
                <w:rFonts w:asciiTheme="minorHAnsi" w:hAnsiTheme="minorHAnsi"/>
                <w:lang w:val="en-GB"/>
              </w:rPr>
              <w:t xml:space="preserve"> and </w:t>
            </w:r>
            <w:r w:rsidR="00DF58EC">
              <w:rPr>
                <w:rFonts w:asciiTheme="minorHAnsi" w:hAnsiTheme="minorHAnsi"/>
                <w:lang w:val="en-GB"/>
              </w:rPr>
              <w:t>others</w:t>
            </w:r>
          </w:p>
          <w:p w14:paraId="0643D730" w14:textId="1FFF3C22" w:rsidR="00CC295A" w:rsidRPr="00CC295A" w:rsidRDefault="00CC295A" w:rsidP="008001D2">
            <w:pPr>
              <w:pStyle w:val="ListParagraph"/>
              <w:numPr>
                <w:ilvl w:val="0"/>
                <w:numId w:val="12"/>
              </w:numPr>
              <w:jc w:val="both"/>
              <w:rPr>
                <w:rFonts w:asciiTheme="minorHAnsi" w:hAnsiTheme="minorHAnsi"/>
                <w:lang w:val="en-GB"/>
              </w:rPr>
            </w:pPr>
            <w:r w:rsidRPr="00CC295A">
              <w:rPr>
                <w:rFonts w:asciiTheme="minorHAnsi" w:hAnsiTheme="minorHAnsi"/>
                <w:lang w:val="en-GB"/>
              </w:rPr>
              <w:t xml:space="preserve">To understand and define how poverty and social exclusion can be treated as a human rights issue and make this understanding operational in EAPN’s fight against poverty and </w:t>
            </w:r>
            <w:r w:rsidR="00DF58EC">
              <w:rPr>
                <w:rFonts w:asciiTheme="minorHAnsi" w:hAnsiTheme="minorHAnsi"/>
                <w:lang w:val="en-GB"/>
              </w:rPr>
              <w:t xml:space="preserve">social </w:t>
            </w:r>
            <w:r w:rsidRPr="00CC295A">
              <w:rPr>
                <w:rFonts w:asciiTheme="minorHAnsi" w:hAnsiTheme="minorHAnsi"/>
                <w:lang w:val="en-GB"/>
              </w:rPr>
              <w:t>exclusion</w:t>
            </w:r>
          </w:p>
          <w:p w14:paraId="73A30A2D" w14:textId="77777777" w:rsidR="00CC295A" w:rsidRPr="00CC295A" w:rsidRDefault="00CC295A" w:rsidP="008001D2">
            <w:pPr>
              <w:pStyle w:val="ListParagraph"/>
              <w:numPr>
                <w:ilvl w:val="0"/>
                <w:numId w:val="12"/>
              </w:numPr>
              <w:jc w:val="both"/>
              <w:rPr>
                <w:rFonts w:asciiTheme="minorHAnsi" w:hAnsiTheme="minorHAnsi"/>
                <w:lang w:val="en-GB"/>
              </w:rPr>
            </w:pPr>
            <w:r w:rsidRPr="00CC295A">
              <w:rPr>
                <w:rFonts w:asciiTheme="minorHAnsi" w:hAnsiTheme="minorHAnsi"/>
                <w:lang w:val="en-GB"/>
              </w:rPr>
              <w:t>To identify poverty and social exclusion within a human rights framework</w:t>
            </w:r>
          </w:p>
          <w:p w14:paraId="7D03E8B1" w14:textId="0A3811CE" w:rsidR="00CC295A" w:rsidRPr="00CC295A" w:rsidRDefault="00CC295A" w:rsidP="008001D2">
            <w:pPr>
              <w:pStyle w:val="ListParagraph"/>
              <w:numPr>
                <w:ilvl w:val="0"/>
                <w:numId w:val="12"/>
              </w:numPr>
              <w:jc w:val="both"/>
              <w:rPr>
                <w:rFonts w:asciiTheme="minorHAnsi" w:hAnsiTheme="minorHAnsi"/>
                <w:lang w:val="en-GB"/>
              </w:rPr>
            </w:pPr>
            <w:r w:rsidRPr="00CC295A">
              <w:rPr>
                <w:rFonts w:asciiTheme="minorHAnsi" w:hAnsiTheme="minorHAnsi"/>
                <w:lang w:val="en-GB"/>
              </w:rPr>
              <w:t xml:space="preserve">To develop EAPN’s capacity to work on poverty and </w:t>
            </w:r>
            <w:r w:rsidR="00DF58EC">
              <w:rPr>
                <w:rFonts w:asciiTheme="minorHAnsi" w:hAnsiTheme="minorHAnsi"/>
                <w:lang w:val="en-GB"/>
              </w:rPr>
              <w:t xml:space="preserve">social </w:t>
            </w:r>
            <w:r w:rsidRPr="00CC295A">
              <w:rPr>
                <w:rFonts w:asciiTheme="minorHAnsi" w:hAnsiTheme="minorHAnsi"/>
                <w:lang w:val="en-GB"/>
              </w:rPr>
              <w:t>exclusion as human rights issues</w:t>
            </w:r>
          </w:p>
          <w:p w14:paraId="79F80E54" w14:textId="48FA87D0" w:rsidR="00CC295A" w:rsidRPr="00CC295A" w:rsidRDefault="00CC295A" w:rsidP="008001D2">
            <w:pPr>
              <w:pStyle w:val="ListParagraph"/>
              <w:numPr>
                <w:ilvl w:val="0"/>
                <w:numId w:val="12"/>
              </w:numPr>
              <w:jc w:val="both"/>
              <w:rPr>
                <w:rFonts w:asciiTheme="minorHAnsi" w:hAnsiTheme="minorHAnsi"/>
                <w:lang w:val="en-GB"/>
              </w:rPr>
            </w:pPr>
            <w:r w:rsidRPr="00CC295A">
              <w:rPr>
                <w:rFonts w:asciiTheme="minorHAnsi" w:hAnsiTheme="minorHAnsi"/>
                <w:lang w:val="en-GB"/>
              </w:rPr>
              <w:t xml:space="preserve">To gather examples of </w:t>
            </w:r>
            <w:r w:rsidR="009F397F">
              <w:rPr>
                <w:rFonts w:asciiTheme="minorHAnsi" w:hAnsiTheme="minorHAnsi"/>
                <w:lang w:val="en-GB"/>
              </w:rPr>
              <w:t xml:space="preserve">how human rights instruments have been used to combat </w:t>
            </w:r>
            <w:r w:rsidRPr="00CC295A">
              <w:rPr>
                <w:rFonts w:asciiTheme="minorHAnsi" w:hAnsiTheme="minorHAnsi"/>
                <w:lang w:val="en-GB"/>
              </w:rPr>
              <w:t xml:space="preserve">poverty and social exclusion </w:t>
            </w:r>
            <w:r w:rsidR="009F397F">
              <w:rPr>
                <w:rFonts w:asciiTheme="minorHAnsi" w:hAnsiTheme="minorHAnsi"/>
                <w:lang w:val="en-GB"/>
              </w:rPr>
              <w:t>by</w:t>
            </w:r>
            <w:r w:rsidR="009B234D">
              <w:rPr>
                <w:rFonts w:asciiTheme="minorHAnsi" w:hAnsiTheme="minorHAnsi"/>
                <w:lang w:val="en-GB"/>
              </w:rPr>
              <w:t xml:space="preserve"> the EAPN membership</w:t>
            </w:r>
            <w:r w:rsidR="009F397F">
              <w:rPr>
                <w:rFonts w:asciiTheme="minorHAnsi" w:hAnsiTheme="minorHAnsi"/>
                <w:lang w:val="en-GB"/>
              </w:rPr>
              <w:t xml:space="preserve"> and others</w:t>
            </w:r>
            <w:r w:rsidR="009B234D">
              <w:rPr>
                <w:rFonts w:asciiTheme="minorHAnsi" w:hAnsiTheme="minorHAnsi"/>
                <w:lang w:val="en-GB"/>
              </w:rPr>
              <w:t xml:space="preserve"> </w:t>
            </w:r>
          </w:p>
          <w:p w14:paraId="1486A690" w14:textId="3346B3AE" w:rsidR="00CC295A" w:rsidRDefault="00CC295A" w:rsidP="008001D2">
            <w:pPr>
              <w:pStyle w:val="ListParagraph"/>
              <w:numPr>
                <w:ilvl w:val="0"/>
                <w:numId w:val="12"/>
              </w:numPr>
              <w:jc w:val="both"/>
              <w:rPr>
                <w:rFonts w:asciiTheme="minorHAnsi" w:hAnsiTheme="minorHAnsi"/>
                <w:lang w:val="en-GB"/>
              </w:rPr>
            </w:pPr>
            <w:r w:rsidRPr="00CC295A">
              <w:rPr>
                <w:rFonts w:asciiTheme="minorHAnsi" w:hAnsiTheme="minorHAnsi"/>
                <w:lang w:val="en-GB"/>
              </w:rPr>
              <w:lastRenderedPageBreak/>
              <w:t xml:space="preserve">To strengthen </w:t>
            </w:r>
            <w:r w:rsidR="009B234D">
              <w:rPr>
                <w:rFonts w:asciiTheme="minorHAnsi" w:hAnsiTheme="minorHAnsi"/>
                <w:lang w:val="en-GB"/>
              </w:rPr>
              <w:t xml:space="preserve">EAPN members’ </w:t>
            </w:r>
            <w:r w:rsidRPr="00CC295A">
              <w:rPr>
                <w:rFonts w:asciiTheme="minorHAnsi" w:hAnsiTheme="minorHAnsi"/>
                <w:lang w:val="en-GB"/>
              </w:rPr>
              <w:t>capacity to contribute</w:t>
            </w:r>
            <w:r w:rsidR="000F3EC8">
              <w:rPr>
                <w:rFonts w:asciiTheme="minorHAnsi" w:hAnsiTheme="minorHAnsi"/>
                <w:lang w:val="en-GB"/>
              </w:rPr>
              <w:t xml:space="preserve"> to the general discourse and debate about poverty as a breach of human rights, including </w:t>
            </w:r>
            <w:r w:rsidRPr="00CC295A">
              <w:rPr>
                <w:rFonts w:asciiTheme="minorHAnsi" w:hAnsiTheme="minorHAnsi"/>
                <w:lang w:val="en-GB"/>
              </w:rPr>
              <w:t>t</w:t>
            </w:r>
            <w:r w:rsidR="000F3EC8">
              <w:rPr>
                <w:rFonts w:asciiTheme="minorHAnsi" w:hAnsiTheme="minorHAnsi"/>
                <w:lang w:val="en-GB"/>
              </w:rPr>
              <w:t>o reports which Member S</w:t>
            </w:r>
            <w:r w:rsidRPr="00CC295A">
              <w:rPr>
                <w:rFonts w:asciiTheme="minorHAnsi" w:hAnsiTheme="minorHAnsi"/>
                <w:lang w:val="en-GB"/>
              </w:rPr>
              <w:t>tates are required to submit to United Nations bodies and to European institutions</w:t>
            </w:r>
            <w:r w:rsidR="000F3EC8">
              <w:rPr>
                <w:rFonts w:asciiTheme="minorHAnsi" w:hAnsiTheme="minorHAnsi"/>
                <w:lang w:val="en-GB"/>
              </w:rPr>
              <w:t>.</w:t>
            </w:r>
          </w:p>
          <w:p w14:paraId="1A8B9F59" w14:textId="0DA98DF0" w:rsidR="009F397F" w:rsidRDefault="009F397F" w:rsidP="009F397F">
            <w:pPr>
              <w:pStyle w:val="ListParagraph"/>
              <w:numPr>
                <w:ilvl w:val="0"/>
                <w:numId w:val="12"/>
              </w:numPr>
              <w:jc w:val="both"/>
              <w:rPr>
                <w:rFonts w:asciiTheme="minorHAnsi" w:hAnsiTheme="minorHAnsi"/>
                <w:lang w:val="en-GB"/>
              </w:rPr>
            </w:pPr>
            <w:r>
              <w:rPr>
                <w:rFonts w:asciiTheme="minorHAnsi" w:hAnsiTheme="minorHAnsi"/>
                <w:lang w:val="en-GB"/>
              </w:rPr>
              <w:t>To consid</w:t>
            </w:r>
            <w:r w:rsidR="00DF58EC">
              <w:rPr>
                <w:rFonts w:asciiTheme="minorHAnsi" w:hAnsiTheme="minorHAnsi"/>
                <w:lang w:val="en-GB"/>
              </w:rPr>
              <w:t>er how members of EAPN can use i</w:t>
            </w:r>
            <w:r>
              <w:rPr>
                <w:rFonts w:asciiTheme="minorHAnsi" w:hAnsiTheme="minorHAnsi"/>
                <w:lang w:val="en-GB"/>
              </w:rPr>
              <w:t>nternational and national human rights law to progress the fight against poverty</w:t>
            </w:r>
          </w:p>
          <w:p w14:paraId="545D3586" w14:textId="06683BE8" w:rsidR="009F397F" w:rsidRDefault="009F397F" w:rsidP="009F397F">
            <w:pPr>
              <w:pStyle w:val="ListParagraph"/>
              <w:numPr>
                <w:ilvl w:val="0"/>
                <w:numId w:val="12"/>
              </w:numPr>
              <w:jc w:val="both"/>
              <w:rPr>
                <w:rFonts w:asciiTheme="minorHAnsi" w:hAnsiTheme="minorHAnsi"/>
                <w:lang w:val="en-GB"/>
              </w:rPr>
            </w:pPr>
            <w:r>
              <w:rPr>
                <w:rFonts w:asciiTheme="minorHAnsi" w:hAnsiTheme="minorHAnsi"/>
                <w:lang w:val="en-GB"/>
              </w:rPr>
              <w:t>To consider how members of NNs and EOs can communicate better on these issues through social media</w:t>
            </w:r>
          </w:p>
          <w:p w14:paraId="67CEF3B8" w14:textId="77777777" w:rsidR="00DF58EC" w:rsidRPr="00CC295A" w:rsidRDefault="00DF58EC" w:rsidP="00DF58EC">
            <w:pPr>
              <w:pStyle w:val="ListParagraph"/>
              <w:jc w:val="both"/>
              <w:rPr>
                <w:rFonts w:asciiTheme="minorHAnsi" w:hAnsiTheme="minorHAnsi"/>
                <w:lang w:val="en-GB"/>
              </w:rPr>
            </w:pPr>
          </w:p>
          <w:p w14:paraId="3B6C88B1" w14:textId="77777777" w:rsidR="00B9130D" w:rsidRPr="00CC295A" w:rsidRDefault="00B9130D" w:rsidP="008001D2">
            <w:pPr>
              <w:ind w:left="360" w:hanging="360"/>
              <w:jc w:val="both"/>
              <w:rPr>
                <w:rFonts w:asciiTheme="minorHAnsi" w:hAnsiTheme="minorHAnsi"/>
                <w:b/>
              </w:rPr>
            </w:pPr>
            <w:r w:rsidRPr="00CC295A">
              <w:rPr>
                <w:rFonts w:asciiTheme="minorHAnsi" w:hAnsiTheme="minorHAnsi"/>
                <w:b/>
              </w:rPr>
              <w:t>Reference to Strategic Plan (2012-16):</w:t>
            </w:r>
          </w:p>
          <w:p w14:paraId="5A309787" w14:textId="77777777" w:rsidR="004267FF" w:rsidRPr="004267FF" w:rsidRDefault="004267FF" w:rsidP="004267FF">
            <w:pPr>
              <w:jc w:val="both"/>
              <w:rPr>
                <w:rFonts w:ascii="Calibri" w:hAnsi="Calibri" w:cs="Arial"/>
                <w:lang w:val="en-IE"/>
              </w:rPr>
            </w:pPr>
            <w:r w:rsidRPr="004267FF">
              <w:rPr>
                <w:rFonts w:ascii="Calibri" w:hAnsi="Calibri" w:cs="Arial"/>
                <w:lang w:val="en-IE"/>
              </w:rPr>
              <w:t>Objective 1.1: EAPN will work to ensure that the Europe 2020 Strategy, the Platform against Poverty and the Social Inclusion strategy (Social OMC) deliver progress to effectively mainstream social concerns and to reduce poverty and inequality.</w:t>
            </w:r>
          </w:p>
          <w:p w14:paraId="1532058A" w14:textId="77777777" w:rsidR="004267FF" w:rsidRPr="004267FF" w:rsidRDefault="004267FF" w:rsidP="004267FF">
            <w:pPr>
              <w:jc w:val="both"/>
              <w:rPr>
                <w:rFonts w:ascii="Calibri" w:hAnsi="Calibri" w:cs="Arial"/>
                <w:lang w:val="en-IE"/>
              </w:rPr>
            </w:pPr>
          </w:p>
          <w:p w14:paraId="3B0B3D66" w14:textId="77777777" w:rsidR="004267FF" w:rsidRPr="004267FF" w:rsidRDefault="004267FF" w:rsidP="004267FF">
            <w:pPr>
              <w:jc w:val="both"/>
              <w:rPr>
                <w:rFonts w:ascii="Calibri" w:hAnsi="Calibri" w:cs="Arial"/>
                <w:lang w:val="en-IE"/>
              </w:rPr>
            </w:pPr>
            <w:r w:rsidRPr="004267FF">
              <w:rPr>
                <w:rFonts w:ascii="Calibri" w:hAnsi="Calibri" w:cs="Arial"/>
                <w:lang w:val="en-IE"/>
              </w:rPr>
              <w:t>Objective 1.2: EAPN will work to support its members to effectively engage in public debates and national and European policy making, on poverty, social exclusion and inequality.</w:t>
            </w:r>
          </w:p>
          <w:p w14:paraId="393F49B9" w14:textId="77777777" w:rsidR="004267FF" w:rsidRPr="004267FF" w:rsidRDefault="004267FF" w:rsidP="004267FF">
            <w:pPr>
              <w:jc w:val="both"/>
              <w:rPr>
                <w:rFonts w:ascii="Calibri" w:hAnsi="Calibri" w:cs="Arial"/>
                <w:lang w:val="en-IE"/>
              </w:rPr>
            </w:pPr>
            <w:r w:rsidRPr="004267FF">
              <w:rPr>
                <w:rFonts w:ascii="Calibri" w:hAnsi="Calibri" w:cs="Arial"/>
                <w:lang w:val="en-IE"/>
              </w:rPr>
              <w:t>Objective 1.3: EAPN will seek to engage and contribute to alliances for an alternative model of social and sustainable development that puts people and planet first.</w:t>
            </w:r>
          </w:p>
          <w:p w14:paraId="4BFC059D" w14:textId="77777777" w:rsidR="004267FF" w:rsidRPr="001F419C" w:rsidRDefault="004267FF" w:rsidP="004267FF">
            <w:pPr>
              <w:jc w:val="both"/>
              <w:rPr>
                <w:rFonts w:ascii="Calibri" w:hAnsi="Calibri" w:cs="Arial"/>
                <w:i/>
                <w:lang w:val="en-IE"/>
              </w:rPr>
            </w:pPr>
            <w:r w:rsidRPr="004267FF">
              <w:rPr>
                <w:rFonts w:ascii="Calibri" w:hAnsi="Calibri" w:cs="Arial"/>
                <w:lang w:val="en-IE"/>
              </w:rPr>
              <w:t>Objective 2.2: EAPN will provide opportunities for mutual exchange between its members to ensure a transfer of knowledge, experience and learning on practices and policies in the fight against poverty, social exclusion and inequalities</w:t>
            </w:r>
            <w:r w:rsidRPr="001F419C">
              <w:rPr>
                <w:rFonts w:ascii="Calibri" w:hAnsi="Calibri" w:cs="Arial"/>
                <w:i/>
                <w:lang w:val="en-IE"/>
              </w:rPr>
              <w:t xml:space="preserve">. </w:t>
            </w:r>
          </w:p>
          <w:p w14:paraId="3387A812" w14:textId="77777777" w:rsidR="00B9130D" w:rsidRPr="004267FF" w:rsidRDefault="00B9130D" w:rsidP="008001D2">
            <w:pPr>
              <w:jc w:val="both"/>
              <w:rPr>
                <w:rFonts w:asciiTheme="minorHAnsi" w:hAnsiTheme="minorHAnsi"/>
                <w:b/>
                <w:lang w:val="en-IE"/>
              </w:rPr>
            </w:pPr>
          </w:p>
          <w:p w14:paraId="76479007" w14:textId="77777777" w:rsidR="00B9130D" w:rsidRPr="00CC295A" w:rsidRDefault="00B9130D" w:rsidP="008001D2">
            <w:pPr>
              <w:ind w:left="360" w:hanging="360"/>
              <w:jc w:val="both"/>
              <w:rPr>
                <w:rFonts w:asciiTheme="minorHAnsi" w:hAnsiTheme="minorHAnsi"/>
                <w:b/>
              </w:rPr>
            </w:pPr>
            <w:r w:rsidRPr="00CC295A">
              <w:rPr>
                <w:rFonts w:asciiTheme="minorHAnsi" w:hAnsiTheme="minorHAnsi"/>
                <w:b/>
              </w:rPr>
              <w:t>Justification:</w:t>
            </w:r>
          </w:p>
          <w:p w14:paraId="41F7CC37" w14:textId="70444B7B" w:rsidR="00F25A61" w:rsidRDefault="00CC295A" w:rsidP="008001D2">
            <w:pPr>
              <w:jc w:val="both"/>
              <w:rPr>
                <w:rFonts w:asciiTheme="minorHAnsi" w:hAnsiTheme="minorHAnsi"/>
                <w:lang w:val="en-GB"/>
              </w:rPr>
            </w:pPr>
            <w:r w:rsidRPr="00CC295A">
              <w:rPr>
                <w:rFonts w:asciiTheme="minorHAnsi" w:hAnsiTheme="minorHAnsi"/>
                <w:lang w:val="en-GB"/>
              </w:rPr>
              <w:t>Europe is facing the worst human rights crisis since the cold war, stated a report by the Secretary General of the Council of Europe in 2014 (</w:t>
            </w:r>
            <w:r w:rsidRPr="00CC295A">
              <w:rPr>
                <w:rFonts w:asciiTheme="minorHAnsi" w:hAnsiTheme="minorHAnsi"/>
                <w:i/>
                <w:lang w:val="en-GB"/>
              </w:rPr>
              <w:t>State of Democracy, Human Rights and the Rule of Law in Europe.</w:t>
            </w:r>
            <w:r w:rsidRPr="00CC295A">
              <w:rPr>
                <w:rFonts w:asciiTheme="minorHAnsi" w:hAnsiTheme="minorHAnsi"/>
                <w:lang w:val="en-GB"/>
              </w:rPr>
              <w:t>) EAPN sees poverty and social exclusion as a violation of human rights</w:t>
            </w:r>
            <w:r w:rsidR="00DF58EC">
              <w:rPr>
                <w:rFonts w:asciiTheme="minorHAnsi" w:hAnsiTheme="minorHAnsi"/>
                <w:lang w:val="en-GB"/>
              </w:rPr>
              <w:t>, while t</w:t>
            </w:r>
            <w:r w:rsidRPr="00CC295A">
              <w:rPr>
                <w:rFonts w:asciiTheme="minorHAnsi" w:hAnsiTheme="minorHAnsi"/>
                <w:lang w:val="en-GB"/>
              </w:rPr>
              <w:t>he financial, economic and social crisis in Europe</w:t>
            </w:r>
            <w:r w:rsidR="008001D2">
              <w:rPr>
                <w:rFonts w:asciiTheme="minorHAnsi" w:hAnsiTheme="minorHAnsi"/>
                <w:lang w:val="en-GB"/>
              </w:rPr>
              <w:t>,</w:t>
            </w:r>
            <w:r w:rsidR="00DF58EC">
              <w:rPr>
                <w:rFonts w:asciiTheme="minorHAnsi" w:hAnsiTheme="minorHAnsi"/>
                <w:lang w:val="en-GB"/>
              </w:rPr>
              <w:t xml:space="preserve"> and especially the way they have</w:t>
            </w:r>
            <w:r w:rsidRPr="00CC295A">
              <w:rPr>
                <w:rFonts w:asciiTheme="minorHAnsi" w:hAnsiTheme="minorHAnsi"/>
                <w:lang w:val="en-GB"/>
              </w:rPr>
              <w:t xml:space="preserve"> been dealt with</w:t>
            </w:r>
            <w:r w:rsidR="008001D2">
              <w:rPr>
                <w:rFonts w:asciiTheme="minorHAnsi" w:hAnsiTheme="minorHAnsi"/>
                <w:lang w:val="en-GB"/>
              </w:rPr>
              <w:t>,</w:t>
            </w:r>
            <w:r w:rsidRPr="00CC295A">
              <w:rPr>
                <w:rFonts w:asciiTheme="minorHAnsi" w:hAnsiTheme="minorHAnsi"/>
                <w:lang w:val="en-GB"/>
              </w:rPr>
              <w:t xml:space="preserve"> has shown that respect for social human rights is not an obstacle to progress</w:t>
            </w:r>
            <w:r w:rsidR="008001D2">
              <w:rPr>
                <w:rFonts w:asciiTheme="minorHAnsi" w:hAnsiTheme="minorHAnsi"/>
                <w:lang w:val="en-GB"/>
              </w:rPr>
              <w:t>,</w:t>
            </w:r>
            <w:r w:rsidRPr="00CC295A">
              <w:rPr>
                <w:rFonts w:asciiTheme="minorHAnsi" w:hAnsiTheme="minorHAnsi"/>
                <w:lang w:val="en-GB"/>
              </w:rPr>
              <w:t xml:space="preserve"> but part of the solution to the crisis. The promotion of human rights needs to be carried out on a specific and correct understanding of poverty and social exclusion as violation of rights</w:t>
            </w:r>
            <w:r w:rsidR="008001D2">
              <w:rPr>
                <w:rFonts w:asciiTheme="minorHAnsi" w:hAnsiTheme="minorHAnsi"/>
                <w:lang w:val="en-GB"/>
              </w:rPr>
              <w:t>,</w:t>
            </w:r>
            <w:r w:rsidRPr="00CC295A">
              <w:rPr>
                <w:rFonts w:asciiTheme="minorHAnsi" w:hAnsiTheme="minorHAnsi"/>
                <w:lang w:val="en-GB"/>
              </w:rPr>
              <w:t xml:space="preserve"> and an advanced knowledge of how to act to respect, protect and fulfil </w:t>
            </w:r>
            <w:r w:rsidR="00DF58EC">
              <w:rPr>
                <w:rFonts w:asciiTheme="minorHAnsi" w:hAnsiTheme="minorHAnsi"/>
                <w:lang w:val="en-GB"/>
              </w:rPr>
              <w:t>those</w:t>
            </w:r>
            <w:r w:rsidRPr="00CC295A">
              <w:rPr>
                <w:rFonts w:asciiTheme="minorHAnsi" w:hAnsiTheme="minorHAnsi"/>
                <w:lang w:val="en-GB"/>
              </w:rPr>
              <w:t xml:space="preserve"> rights. The </w:t>
            </w:r>
            <w:r w:rsidR="00DF58EC">
              <w:rPr>
                <w:rFonts w:asciiTheme="minorHAnsi" w:hAnsiTheme="minorHAnsi"/>
                <w:lang w:val="en-GB"/>
              </w:rPr>
              <w:t xml:space="preserve">rights-based </w:t>
            </w:r>
            <w:r w:rsidRPr="00CC295A">
              <w:rPr>
                <w:rFonts w:asciiTheme="minorHAnsi" w:hAnsiTheme="minorHAnsi"/>
                <w:lang w:val="en-GB"/>
              </w:rPr>
              <w:t xml:space="preserve">approach to poverty reduction needs a stronger and more prominent position in the European fight against poverty and social exclusion. </w:t>
            </w:r>
            <w:r w:rsidR="008001D2">
              <w:rPr>
                <w:rFonts w:asciiTheme="minorHAnsi" w:hAnsiTheme="minorHAnsi"/>
                <w:lang w:val="en-GB"/>
              </w:rPr>
              <w:t>While EAPN has always championed a rights-based approach</w:t>
            </w:r>
            <w:r w:rsidR="00F25A61">
              <w:rPr>
                <w:rFonts w:asciiTheme="minorHAnsi" w:hAnsiTheme="minorHAnsi"/>
                <w:lang w:val="en-GB"/>
              </w:rPr>
              <w:t>, it is high-time this approach were consolidated in a consensual, reference document</w:t>
            </w:r>
            <w:r w:rsidR="00047D34">
              <w:rPr>
                <w:rFonts w:asciiTheme="minorHAnsi" w:hAnsiTheme="minorHAnsi"/>
                <w:lang w:val="en-GB"/>
              </w:rPr>
              <w:t xml:space="preserve">, to be used at national and EU level as a foundation for our stance on the fight against poverty and social exclusion. </w:t>
            </w:r>
            <w:r w:rsidR="00DF58EC">
              <w:rPr>
                <w:rFonts w:asciiTheme="minorHAnsi" w:hAnsiTheme="minorHAnsi"/>
                <w:lang w:val="en-GB"/>
              </w:rPr>
              <w:t xml:space="preserve">EAPN is also the European partner of Dignity International, who has experience and expertise in addressing poverty within international rights frameworks, so this is an asset that could be built upon by the Task Force. </w:t>
            </w:r>
          </w:p>
          <w:p w14:paraId="4F2F0526" w14:textId="77777777" w:rsidR="008001D2" w:rsidRDefault="008001D2" w:rsidP="008001D2">
            <w:pPr>
              <w:jc w:val="both"/>
              <w:rPr>
                <w:rFonts w:asciiTheme="minorHAnsi" w:hAnsiTheme="minorHAnsi"/>
                <w:i/>
                <w:lang w:val="en-GB"/>
              </w:rPr>
            </w:pPr>
          </w:p>
          <w:p w14:paraId="025A663C" w14:textId="77777777" w:rsidR="00C37420" w:rsidRPr="00CC295A" w:rsidRDefault="00B9130D" w:rsidP="008001D2">
            <w:pPr>
              <w:ind w:left="360" w:hanging="360"/>
              <w:jc w:val="both"/>
              <w:rPr>
                <w:rFonts w:asciiTheme="minorHAnsi" w:hAnsiTheme="minorHAnsi"/>
                <w:b/>
              </w:rPr>
            </w:pPr>
            <w:r w:rsidRPr="00CC295A">
              <w:rPr>
                <w:rFonts w:asciiTheme="minorHAnsi" w:hAnsiTheme="minorHAnsi"/>
                <w:b/>
              </w:rPr>
              <w:t>Main output/s:</w:t>
            </w:r>
          </w:p>
          <w:p w14:paraId="49ED4385" w14:textId="4F19F9B6" w:rsidR="00CC295A" w:rsidRPr="00CC295A" w:rsidRDefault="00047D34" w:rsidP="008001D2">
            <w:pPr>
              <w:jc w:val="both"/>
              <w:rPr>
                <w:rFonts w:asciiTheme="minorHAnsi" w:hAnsiTheme="minorHAnsi"/>
                <w:lang w:val="en-GB"/>
              </w:rPr>
            </w:pPr>
            <w:r>
              <w:rPr>
                <w:rFonts w:asciiTheme="minorHAnsi" w:hAnsiTheme="minorHAnsi"/>
                <w:lang w:val="en-GB"/>
              </w:rPr>
              <w:t xml:space="preserve">A </w:t>
            </w:r>
            <w:r w:rsidR="004267FF">
              <w:rPr>
                <w:rFonts w:asciiTheme="minorHAnsi" w:hAnsiTheme="minorHAnsi"/>
                <w:lang w:val="en-GB"/>
              </w:rPr>
              <w:t>T</w:t>
            </w:r>
            <w:r>
              <w:rPr>
                <w:rFonts w:asciiTheme="minorHAnsi" w:hAnsiTheme="minorHAnsi"/>
                <w:lang w:val="en-GB"/>
              </w:rPr>
              <w:t xml:space="preserve">oolkit </w:t>
            </w:r>
            <w:r w:rsidR="00CC295A" w:rsidRPr="00CC295A">
              <w:rPr>
                <w:rFonts w:asciiTheme="minorHAnsi" w:hAnsiTheme="minorHAnsi"/>
                <w:lang w:val="en-GB"/>
              </w:rPr>
              <w:t xml:space="preserve">on </w:t>
            </w:r>
            <w:r w:rsidR="00DF58EC">
              <w:rPr>
                <w:rFonts w:asciiTheme="minorHAnsi" w:hAnsiTheme="minorHAnsi"/>
                <w:i/>
                <w:lang w:val="en-GB"/>
              </w:rPr>
              <w:t>Using h</w:t>
            </w:r>
            <w:r w:rsidR="009F397F" w:rsidRPr="00DF58EC">
              <w:rPr>
                <w:rFonts w:asciiTheme="minorHAnsi" w:hAnsiTheme="minorHAnsi"/>
                <w:i/>
                <w:lang w:val="en-GB"/>
              </w:rPr>
              <w:t>uman rights concepts and instruments to combat</w:t>
            </w:r>
            <w:r w:rsidR="009F397F">
              <w:rPr>
                <w:rFonts w:asciiTheme="minorHAnsi" w:hAnsiTheme="minorHAnsi"/>
                <w:lang w:val="en-GB"/>
              </w:rPr>
              <w:t xml:space="preserve"> </w:t>
            </w:r>
            <w:proofErr w:type="spellStart"/>
            <w:r w:rsidR="00CC295A" w:rsidRPr="00CC295A">
              <w:rPr>
                <w:rFonts w:asciiTheme="minorHAnsi" w:hAnsiTheme="minorHAnsi"/>
                <w:i/>
                <w:lang w:val="en-GB"/>
              </w:rPr>
              <w:t>overty</w:t>
            </w:r>
            <w:proofErr w:type="spellEnd"/>
            <w:r w:rsidR="00CC295A" w:rsidRPr="00CC295A">
              <w:rPr>
                <w:rFonts w:asciiTheme="minorHAnsi" w:hAnsiTheme="minorHAnsi"/>
                <w:i/>
                <w:lang w:val="en-GB"/>
              </w:rPr>
              <w:t xml:space="preserve"> and Social Exclusion </w:t>
            </w:r>
            <w:r w:rsidR="00CC295A" w:rsidRPr="00CC295A">
              <w:rPr>
                <w:rFonts w:asciiTheme="minorHAnsi" w:hAnsiTheme="minorHAnsi"/>
                <w:lang w:val="en-GB"/>
              </w:rPr>
              <w:t>for members of EAPN</w:t>
            </w:r>
            <w:r>
              <w:rPr>
                <w:rFonts w:asciiTheme="minorHAnsi" w:hAnsiTheme="minorHAnsi"/>
                <w:lang w:val="en-GB"/>
              </w:rPr>
              <w:t>, outlining the concepts and operationalising them, enabling EAPN members to better build their arguments</w:t>
            </w:r>
            <w:r w:rsidR="009F397F">
              <w:rPr>
                <w:rFonts w:asciiTheme="minorHAnsi" w:hAnsiTheme="minorHAnsi"/>
                <w:lang w:val="en-GB"/>
              </w:rPr>
              <w:t>,</w:t>
            </w:r>
            <w:r>
              <w:rPr>
                <w:rFonts w:asciiTheme="minorHAnsi" w:hAnsiTheme="minorHAnsi"/>
                <w:lang w:val="en-GB"/>
              </w:rPr>
              <w:t xml:space="preserve"> engage in </w:t>
            </w:r>
            <w:r w:rsidR="000A3E80">
              <w:rPr>
                <w:rFonts w:asciiTheme="minorHAnsi" w:hAnsiTheme="minorHAnsi"/>
                <w:lang w:val="en-GB"/>
              </w:rPr>
              <w:t>debates</w:t>
            </w:r>
            <w:r w:rsidR="009F397F">
              <w:rPr>
                <w:rFonts w:asciiTheme="minorHAnsi" w:hAnsiTheme="minorHAnsi"/>
                <w:lang w:val="en-GB"/>
              </w:rPr>
              <w:t xml:space="preserve"> and use the human rights instruments in a practical way</w:t>
            </w:r>
            <w:r>
              <w:rPr>
                <w:rFonts w:asciiTheme="minorHAnsi" w:hAnsiTheme="minorHAnsi"/>
                <w:lang w:val="en-GB"/>
              </w:rPr>
              <w:t>.</w:t>
            </w:r>
          </w:p>
          <w:p w14:paraId="1F3E0BB4" w14:textId="0B04769E" w:rsidR="00DF58EC" w:rsidRPr="00CC295A" w:rsidRDefault="00DF58EC" w:rsidP="008001D2">
            <w:pPr>
              <w:jc w:val="both"/>
              <w:rPr>
                <w:rFonts w:asciiTheme="minorHAnsi" w:hAnsiTheme="minorHAnsi"/>
                <w:b/>
                <w:lang w:val="en-GB"/>
              </w:rPr>
            </w:pPr>
          </w:p>
        </w:tc>
      </w:tr>
      <w:tr w:rsidR="00C37420" w:rsidRPr="00CC295A" w14:paraId="75291953" w14:textId="77777777" w:rsidTr="006F4E02">
        <w:tc>
          <w:tcPr>
            <w:tcW w:w="9606" w:type="dxa"/>
            <w:tcBorders>
              <w:top w:val="single" w:sz="4" w:space="0" w:color="auto"/>
              <w:left w:val="single" w:sz="4" w:space="0" w:color="auto"/>
              <w:bottom w:val="nil"/>
              <w:right w:val="single" w:sz="4" w:space="0" w:color="auto"/>
            </w:tcBorders>
          </w:tcPr>
          <w:p w14:paraId="66B5F82A" w14:textId="126C459D" w:rsidR="00C37420" w:rsidRDefault="00C37420" w:rsidP="008001D2">
            <w:pPr>
              <w:jc w:val="both"/>
              <w:rPr>
                <w:rFonts w:asciiTheme="minorHAnsi" w:hAnsiTheme="minorHAnsi"/>
                <w:b/>
              </w:rPr>
            </w:pPr>
            <w:r w:rsidRPr="00CC295A">
              <w:rPr>
                <w:rFonts w:asciiTheme="minorHAnsi" w:hAnsiTheme="minorHAnsi"/>
                <w:b/>
              </w:rPr>
              <w:lastRenderedPageBreak/>
              <w:t>Membership of Task Force</w:t>
            </w:r>
            <w:r w:rsidR="00B9130D" w:rsidRPr="00CC295A">
              <w:rPr>
                <w:rFonts w:asciiTheme="minorHAnsi" w:hAnsiTheme="minorHAnsi"/>
                <w:b/>
              </w:rPr>
              <w:t>:</w:t>
            </w:r>
            <w:r w:rsidRPr="00CC295A">
              <w:rPr>
                <w:rFonts w:asciiTheme="minorHAnsi" w:hAnsiTheme="minorHAnsi"/>
                <w:b/>
              </w:rPr>
              <w:t xml:space="preserve"> </w:t>
            </w:r>
          </w:p>
          <w:p w14:paraId="5EB74ECE" w14:textId="77777777" w:rsidR="006F4E02" w:rsidRPr="00CC295A" w:rsidRDefault="006F4E02" w:rsidP="008001D2">
            <w:pPr>
              <w:jc w:val="both"/>
              <w:rPr>
                <w:rFonts w:asciiTheme="minorHAnsi" w:hAnsiTheme="minorHAnsi"/>
              </w:rPr>
            </w:pPr>
          </w:p>
          <w:p w14:paraId="1E9686AA" w14:textId="5516C68C" w:rsidR="0091593B" w:rsidRDefault="007D349F" w:rsidP="004267FF">
            <w:pPr>
              <w:jc w:val="both"/>
              <w:rPr>
                <w:rFonts w:asciiTheme="minorHAnsi" w:hAnsiTheme="minorHAnsi"/>
              </w:rPr>
            </w:pPr>
            <w:r w:rsidRPr="009C5C28">
              <w:rPr>
                <w:rFonts w:asciiTheme="minorHAnsi" w:hAnsiTheme="minorHAnsi"/>
                <w:szCs w:val="22"/>
              </w:rPr>
              <w:t xml:space="preserve">The Task Force will be </w:t>
            </w:r>
            <w:r w:rsidR="009C5C28" w:rsidRPr="009C5C28">
              <w:rPr>
                <w:rFonts w:asciiTheme="minorHAnsi" w:hAnsiTheme="minorHAnsi"/>
                <w:szCs w:val="22"/>
              </w:rPr>
              <w:t>led by the proposer (EAPN Denmark</w:t>
            </w:r>
            <w:r w:rsidR="009E02CA" w:rsidRPr="009C5C28">
              <w:rPr>
                <w:rFonts w:asciiTheme="minorHAnsi" w:hAnsiTheme="minorHAnsi"/>
                <w:szCs w:val="22"/>
              </w:rPr>
              <w:t xml:space="preserve"> – </w:t>
            </w:r>
            <w:r w:rsidR="009C5C28" w:rsidRPr="009C5C28">
              <w:rPr>
                <w:rFonts w:asciiTheme="minorHAnsi" w:hAnsiTheme="minorHAnsi"/>
                <w:szCs w:val="22"/>
              </w:rPr>
              <w:t>Ole Meldgaard</w:t>
            </w:r>
            <w:r w:rsidRPr="009C5C28">
              <w:rPr>
                <w:rFonts w:asciiTheme="minorHAnsi" w:hAnsiTheme="minorHAnsi"/>
                <w:szCs w:val="22"/>
              </w:rPr>
              <w:t>), supported by the EAPN S</w:t>
            </w:r>
            <w:r w:rsidR="009E02CA" w:rsidRPr="009C5C28">
              <w:rPr>
                <w:rFonts w:asciiTheme="minorHAnsi" w:hAnsiTheme="minorHAnsi"/>
                <w:szCs w:val="22"/>
              </w:rPr>
              <w:t>ecretariat (Amana Ferro), and include 5 additional full members. Of these, there should be 4 representatives from National Networks, and preferably one from a European Organisation in membership of EAPN.</w:t>
            </w:r>
            <w:r w:rsidR="001C5790" w:rsidRPr="009C5C28">
              <w:rPr>
                <w:rFonts w:asciiTheme="minorHAnsi" w:hAnsiTheme="minorHAnsi"/>
              </w:rPr>
              <w:t xml:space="preserve"> </w:t>
            </w:r>
            <w:r w:rsidR="009E02CA" w:rsidRPr="009C5C28">
              <w:rPr>
                <w:rFonts w:asciiTheme="minorHAnsi" w:hAnsiTheme="minorHAnsi"/>
              </w:rPr>
              <w:t xml:space="preserve">Selection criteria include: </w:t>
            </w:r>
            <w:r w:rsidR="001C5790" w:rsidRPr="009C5C28">
              <w:rPr>
                <w:rFonts w:asciiTheme="minorHAnsi" w:hAnsiTheme="minorHAnsi"/>
              </w:rPr>
              <w:t xml:space="preserve">expertise in social policy, </w:t>
            </w:r>
            <w:r w:rsidR="009C5C28" w:rsidRPr="009C5C28">
              <w:rPr>
                <w:rFonts w:asciiTheme="minorHAnsi" w:hAnsiTheme="minorHAnsi"/>
              </w:rPr>
              <w:t xml:space="preserve">experience in working on human rights and on implementing a rights-based approach in the fight against poverty and social exclusion, knowledge of the main international human rights frameworks to be </w:t>
            </w:r>
            <w:proofErr w:type="spellStart"/>
            <w:r w:rsidR="009C5C28" w:rsidRPr="009C5C28">
              <w:rPr>
                <w:rFonts w:asciiTheme="minorHAnsi" w:hAnsiTheme="minorHAnsi"/>
              </w:rPr>
              <w:t>analysed</w:t>
            </w:r>
            <w:proofErr w:type="spellEnd"/>
            <w:r w:rsidR="006F4E02">
              <w:rPr>
                <w:rFonts w:asciiTheme="minorHAnsi" w:hAnsiTheme="minorHAnsi"/>
              </w:rPr>
              <w:t xml:space="preserve">, legal background or experience in taking legal action in the matter. </w:t>
            </w:r>
            <w:r w:rsidR="003B1744" w:rsidRPr="009C5C28">
              <w:rPr>
                <w:rFonts w:asciiTheme="minorHAnsi" w:hAnsiTheme="minorHAnsi"/>
              </w:rPr>
              <w:t>D</w:t>
            </w:r>
            <w:r w:rsidR="001C5790" w:rsidRPr="009C5C28">
              <w:rPr>
                <w:rFonts w:asciiTheme="minorHAnsi" w:hAnsiTheme="minorHAnsi"/>
              </w:rPr>
              <w:t xml:space="preserve">uring </w:t>
            </w:r>
            <w:r w:rsidR="003B1744" w:rsidRPr="009C5C28">
              <w:rPr>
                <w:rFonts w:asciiTheme="minorHAnsi" w:hAnsiTheme="minorHAnsi"/>
              </w:rPr>
              <w:t xml:space="preserve">the </w:t>
            </w:r>
            <w:r w:rsidR="001C5790" w:rsidRPr="009C5C28">
              <w:rPr>
                <w:rFonts w:asciiTheme="minorHAnsi" w:hAnsiTheme="minorHAnsi"/>
              </w:rPr>
              <w:t>selection</w:t>
            </w:r>
            <w:r w:rsidR="003B1744" w:rsidRPr="009C5C28">
              <w:rPr>
                <w:rFonts w:asciiTheme="minorHAnsi" w:hAnsiTheme="minorHAnsi"/>
              </w:rPr>
              <w:t xml:space="preserve"> process, </w:t>
            </w:r>
            <w:r w:rsidR="001C5790" w:rsidRPr="009C5C28">
              <w:rPr>
                <w:rFonts w:asciiTheme="minorHAnsi" w:hAnsiTheme="minorHAnsi"/>
              </w:rPr>
              <w:t xml:space="preserve">geographical and gender balance </w:t>
            </w:r>
            <w:r w:rsidR="003B1744" w:rsidRPr="009C5C28">
              <w:rPr>
                <w:rFonts w:asciiTheme="minorHAnsi" w:hAnsiTheme="minorHAnsi"/>
              </w:rPr>
              <w:t>will be observed as much as possible.</w:t>
            </w:r>
            <w:r w:rsidRPr="009C5C28">
              <w:rPr>
                <w:rFonts w:asciiTheme="minorHAnsi" w:hAnsiTheme="minorHAnsi"/>
              </w:rPr>
              <w:t xml:space="preserve"> It would be desirable for the Task F</w:t>
            </w:r>
            <w:r w:rsidR="003B1744" w:rsidRPr="009C5C28">
              <w:rPr>
                <w:rFonts w:asciiTheme="minorHAnsi" w:hAnsiTheme="minorHAnsi"/>
              </w:rPr>
              <w:t xml:space="preserve">orce to include one person with direct experience of </w:t>
            </w:r>
            <w:r w:rsidR="000A3E80" w:rsidRPr="009C5C28">
              <w:rPr>
                <w:rFonts w:asciiTheme="minorHAnsi" w:hAnsiTheme="minorHAnsi"/>
              </w:rPr>
              <w:t>poverty</w:t>
            </w:r>
            <w:r w:rsidR="000A3E80">
              <w:rPr>
                <w:rFonts w:asciiTheme="minorHAnsi" w:hAnsiTheme="minorHAnsi"/>
              </w:rPr>
              <w:t>.</w:t>
            </w:r>
            <w:r w:rsidR="003B1744" w:rsidRPr="009C5C28">
              <w:rPr>
                <w:rFonts w:asciiTheme="minorHAnsi" w:hAnsiTheme="minorHAnsi"/>
              </w:rPr>
              <w:t xml:space="preserve"> </w:t>
            </w:r>
          </w:p>
          <w:p w14:paraId="01B76EFA" w14:textId="5D36E907" w:rsidR="00DF58EC" w:rsidRPr="00CC295A" w:rsidRDefault="00DF58EC" w:rsidP="004267FF">
            <w:pPr>
              <w:jc w:val="both"/>
              <w:rPr>
                <w:rFonts w:asciiTheme="minorHAnsi" w:hAnsiTheme="minorHAnsi"/>
                <w:b/>
                <w:i/>
              </w:rPr>
            </w:pPr>
          </w:p>
        </w:tc>
      </w:tr>
      <w:tr w:rsidR="00C37420" w:rsidRPr="00CC295A" w14:paraId="4A9CB5DD" w14:textId="77777777" w:rsidTr="006F4E02">
        <w:tc>
          <w:tcPr>
            <w:tcW w:w="9606" w:type="dxa"/>
            <w:tcBorders>
              <w:top w:val="nil"/>
            </w:tcBorders>
          </w:tcPr>
          <w:p w14:paraId="44BD8150" w14:textId="2B07547F" w:rsidR="007D349F" w:rsidRPr="00CC295A" w:rsidRDefault="008358E3" w:rsidP="008001D2">
            <w:pPr>
              <w:jc w:val="both"/>
              <w:rPr>
                <w:rFonts w:asciiTheme="minorHAnsi" w:hAnsiTheme="minorHAnsi"/>
                <w:b/>
              </w:rPr>
            </w:pPr>
            <w:r w:rsidRPr="00CC295A">
              <w:rPr>
                <w:rFonts w:asciiTheme="minorHAnsi" w:hAnsiTheme="minorHAnsi"/>
                <w:b/>
              </w:rPr>
              <w:t>The Structure/W</w:t>
            </w:r>
            <w:r w:rsidR="00B9130D" w:rsidRPr="00CC295A">
              <w:rPr>
                <w:rFonts w:asciiTheme="minorHAnsi" w:hAnsiTheme="minorHAnsi"/>
                <w:b/>
              </w:rPr>
              <w:t>orking method and T</w:t>
            </w:r>
            <w:r w:rsidR="00C37420" w:rsidRPr="00CC295A">
              <w:rPr>
                <w:rFonts w:asciiTheme="minorHAnsi" w:hAnsiTheme="minorHAnsi"/>
                <w:b/>
              </w:rPr>
              <w:t>imeline</w:t>
            </w:r>
            <w:r w:rsidR="00B9130D" w:rsidRPr="00CC295A">
              <w:rPr>
                <w:rFonts w:asciiTheme="minorHAnsi" w:hAnsiTheme="minorHAnsi"/>
                <w:b/>
              </w:rPr>
              <w:t xml:space="preserve"> for the work of the Task Force: </w:t>
            </w:r>
          </w:p>
          <w:p w14:paraId="3516A3B8" w14:textId="77777777" w:rsidR="00C37420" w:rsidRPr="00CC295A" w:rsidRDefault="00B9130D" w:rsidP="008001D2">
            <w:pPr>
              <w:jc w:val="both"/>
              <w:rPr>
                <w:rFonts w:asciiTheme="minorHAnsi" w:hAnsiTheme="minorHAnsi"/>
              </w:rPr>
            </w:pPr>
            <w:r w:rsidRPr="00CC295A">
              <w:rPr>
                <w:rFonts w:asciiTheme="minorHAnsi" w:hAnsiTheme="minorHAnsi"/>
              </w:rPr>
              <w:t>(Please indicate how the TF should be organized, number of meetings and initial timeline)</w:t>
            </w:r>
          </w:p>
          <w:p w14:paraId="5BE00A47" w14:textId="77777777" w:rsidR="00CC295A" w:rsidRPr="00CC295A" w:rsidRDefault="00CC295A" w:rsidP="008001D2">
            <w:pPr>
              <w:jc w:val="both"/>
              <w:rPr>
                <w:rFonts w:asciiTheme="minorHAnsi" w:hAnsiTheme="minorHAnsi"/>
                <w:i/>
                <w:highlight w:val="yellow"/>
              </w:rPr>
            </w:pPr>
          </w:p>
          <w:p w14:paraId="557C6CF8" w14:textId="77777777" w:rsidR="00CC295A" w:rsidRPr="00CC295A" w:rsidRDefault="00CC295A" w:rsidP="008001D2">
            <w:pPr>
              <w:jc w:val="both"/>
              <w:rPr>
                <w:rFonts w:asciiTheme="minorHAnsi" w:hAnsiTheme="minorHAnsi"/>
                <w:b/>
              </w:rPr>
            </w:pPr>
            <w:r w:rsidRPr="00CC295A">
              <w:rPr>
                <w:rFonts w:asciiTheme="minorHAnsi" w:hAnsiTheme="minorHAnsi"/>
                <w:b/>
              </w:rPr>
              <w:t>Timeline</w:t>
            </w:r>
          </w:p>
          <w:p w14:paraId="216D3D3D" w14:textId="2DB58D31" w:rsidR="00CC295A" w:rsidRPr="00CC295A" w:rsidRDefault="00D0454C" w:rsidP="008001D2">
            <w:pPr>
              <w:jc w:val="both"/>
              <w:rPr>
                <w:rFonts w:asciiTheme="minorHAnsi" w:hAnsiTheme="minorHAnsi"/>
              </w:rPr>
            </w:pPr>
            <w:r>
              <w:rPr>
                <w:rFonts w:asciiTheme="minorHAnsi" w:hAnsiTheme="minorHAnsi"/>
              </w:rPr>
              <w:t>From April 2016 to</w:t>
            </w:r>
            <w:r w:rsidR="00CC295A" w:rsidRPr="00CC295A">
              <w:rPr>
                <w:rFonts w:asciiTheme="minorHAnsi" w:hAnsiTheme="minorHAnsi"/>
              </w:rPr>
              <w:t xml:space="preserve"> </w:t>
            </w:r>
            <w:r w:rsidR="004267FF">
              <w:rPr>
                <w:rFonts w:asciiTheme="minorHAnsi" w:hAnsiTheme="minorHAnsi"/>
              </w:rPr>
              <w:t>December 2016</w:t>
            </w:r>
          </w:p>
          <w:p w14:paraId="7A4C2034" w14:textId="77777777" w:rsidR="00CC295A" w:rsidRPr="00CC295A" w:rsidRDefault="00CC295A" w:rsidP="008001D2">
            <w:pPr>
              <w:jc w:val="both"/>
              <w:rPr>
                <w:rFonts w:asciiTheme="minorHAnsi" w:hAnsiTheme="minorHAnsi"/>
                <w:i/>
                <w:highlight w:val="yellow"/>
              </w:rPr>
            </w:pPr>
          </w:p>
          <w:p w14:paraId="272A276E" w14:textId="7BACDEAC" w:rsidR="00EB5D0C" w:rsidRPr="00EB5D0C" w:rsidRDefault="0075268A" w:rsidP="008001D2">
            <w:pPr>
              <w:jc w:val="both"/>
              <w:rPr>
                <w:rFonts w:asciiTheme="minorHAnsi" w:hAnsiTheme="minorHAnsi"/>
              </w:rPr>
            </w:pPr>
            <w:r w:rsidRPr="00EB5D0C">
              <w:rPr>
                <w:rFonts w:asciiTheme="minorHAnsi" w:hAnsiTheme="minorHAnsi"/>
              </w:rPr>
              <w:t xml:space="preserve">The </w:t>
            </w:r>
            <w:r w:rsidR="001F419C" w:rsidRPr="00EB5D0C">
              <w:rPr>
                <w:rFonts w:asciiTheme="minorHAnsi" w:hAnsiTheme="minorHAnsi"/>
              </w:rPr>
              <w:t>T</w:t>
            </w:r>
            <w:r w:rsidRPr="00EB5D0C">
              <w:rPr>
                <w:rFonts w:asciiTheme="minorHAnsi" w:hAnsiTheme="minorHAnsi"/>
              </w:rPr>
              <w:t xml:space="preserve">ask </w:t>
            </w:r>
            <w:r w:rsidR="001F419C" w:rsidRPr="00EB5D0C">
              <w:rPr>
                <w:rFonts w:asciiTheme="minorHAnsi" w:hAnsiTheme="minorHAnsi"/>
              </w:rPr>
              <w:t>F</w:t>
            </w:r>
            <w:r w:rsidRPr="00EB5D0C">
              <w:rPr>
                <w:rFonts w:asciiTheme="minorHAnsi" w:hAnsiTheme="minorHAnsi"/>
              </w:rPr>
              <w:t>orce would last</w:t>
            </w:r>
            <w:r w:rsidR="003E5F4D" w:rsidRPr="00EB5D0C">
              <w:rPr>
                <w:rFonts w:asciiTheme="minorHAnsi" w:hAnsiTheme="minorHAnsi"/>
              </w:rPr>
              <w:t xml:space="preserve"> </w:t>
            </w:r>
            <w:r w:rsidR="001F419C" w:rsidRPr="00EB5D0C">
              <w:rPr>
                <w:rFonts w:asciiTheme="minorHAnsi" w:hAnsiTheme="minorHAnsi"/>
              </w:rPr>
              <w:t xml:space="preserve">approximately </w:t>
            </w:r>
            <w:r w:rsidR="00D0454C" w:rsidRPr="00EB5D0C">
              <w:rPr>
                <w:rFonts w:asciiTheme="minorHAnsi" w:hAnsiTheme="minorHAnsi"/>
              </w:rPr>
              <w:t xml:space="preserve">nine </w:t>
            </w:r>
            <w:r w:rsidR="003E5F4D" w:rsidRPr="00EB5D0C">
              <w:rPr>
                <w:rFonts w:asciiTheme="minorHAnsi" w:hAnsiTheme="minorHAnsi"/>
              </w:rPr>
              <w:t xml:space="preserve">months </w:t>
            </w:r>
            <w:r w:rsidRPr="00EB5D0C">
              <w:rPr>
                <w:rFonts w:asciiTheme="minorHAnsi" w:hAnsiTheme="minorHAnsi"/>
              </w:rPr>
              <w:t xml:space="preserve">and </w:t>
            </w:r>
            <w:r w:rsidR="004267FF">
              <w:rPr>
                <w:rFonts w:asciiTheme="minorHAnsi" w:hAnsiTheme="minorHAnsi"/>
              </w:rPr>
              <w:t>will meet two</w:t>
            </w:r>
            <w:r w:rsidR="00BD1277" w:rsidRPr="00EB5D0C">
              <w:rPr>
                <w:rFonts w:asciiTheme="minorHAnsi" w:hAnsiTheme="minorHAnsi"/>
              </w:rPr>
              <w:t xml:space="preserve"> times.</w:t>
            </w:r>
            <w:r w:rsidR="00EB5D0C" w:rsidRPr="00EB5D0C">
              <w:rPr>
                <w:rFonts w:asciiTheme="minorHAnsi" w:hAnsiTheme="minorHAnsi"/>
              </w:rPr>
              <w:t xml:space="preserve"> Task Force members will also work in between </w:t>
            </w:r>
            <w:r w:rsidR="004267FF">
              <w:rPr>
                <w:rFonts w:asciiTheme="minorHAnsi" w:hAnsiTheme="minorHAnsi"/>
              </w:rPr>
              <w:t>meetings</w:t>
            </w:r>
            <w:r w:rsidR="00EB5D0C" w:rsidRPr="00EB5D0C">
              <w:rPr>
                <w:rFonts w:asciiTheme="minorHAnsi" w:hAnsiTheme="minorHAnsi"/>
              </w:rPr>
              <w:t xml:space="preserve">, via email and other means (Skype </w:t>
            </w:r>
            <w:proofErr w:type="spellStart"/>
            <w:r w:rsidR="00EB5D0C" w:rsidRPr="00EB5D0C">
              <w:rPr>
                <w:rFonts w:asciiTheme="minorHAnsi" w:hAnsiTheme="minorHAnsi"/>
              </w:rPr>
              <w:t>etc</w:t>
            </w:r>
            <w:proofErr w:type="spellEnd"/>
            <w:r w:rsidR="00EB5D0C" w:rsidRPr="00EB5D0C">
              <w:rPr>
                <w:rFonts w:asciiTheme="minorHAnsi" w:hAnsiTheme="minorHAnsi"/>
              </w:rPr>
              <w:t xml:space="preserve">). The final deliverable(s) will be drafted by the members of the Task Force, with Secretariat support for the finalized product. </w:t>
            </w:r>
          </w:p>
          <w:p w14:paraId="7868FFDC" w14:textId="55E7580F" w:rsidR="007D349F" w:rsidRPr="00CC295A" w:rsidRDefault="005079D9" w:rsidP="008001D2">
            <w:pPr>
              <w:jc w:val="both"/>
              <w:rPr>
                <w:rFonts w:asciiTheme="minorHAnsi" w:hAnsiTheme="minorHAnsi"/>
                <w:i/>
              </w:rPr>
            </w:pPr>
            <w:r w:rsidRPr="00CC295A">
              <w:rPr>
                <w:rFonts w:asciiTheme="minorHAnsi" w:hAnsiTheme="minorHAnsi"/>
                <w:i/>
              </w:rPr>
              <w:t xml:space="preserve"> </w:t>
            </w:r>
          </w:p>
          <w:p w14:paraId="1676562C" w14:textId="160380CB" w:rsidR="00EB5D0C" w:rsidRPr="00CC295A" w:rsidRDefault="00EB5D0C" w:rsidP="00EB5D0C">
            <w:pPr>
              <w:jc w:val="both"/>
              <w:rPr>
                <w:rFonts w:asciiTheme="minorHAnsi" w:hAnsiTheme="minorHAnsi"/>
                <w:i/>
                <w:u w:val="single"/>
              </w:rPr>
            </w:pPr>
            <w:r>
              <w:rPr>
                <w:rFonts w:asciiTheme="minorHAnsi" w:hAnsiTheme="minorHAnsi"/>
                <w:i/>
                <w:u w:val="single"/>
              </w:rPr>
              <w:t>Before the first meeting</w:t>
            </w:r>
          </w:p>
          <w:p w14:paraId="3164945E" w14:textId="57A4854D" w:rsidR="00D0454C" w:rsidRPr="00EB5D0C" w:rsidRDefault="006F4E02" w:rsidP="00EB5D0C">
            <w:pPr>
              <w:jc w:val="both"/>
              <w:rPr>
                <w:rFonts w:asciiTheme="minorHAnsi" w:hAnsiTheme="minorHAnsi"/>
              </w:rPr>
            </w:pPr>
            <w:r>
              <w:rPr>
                <w:rFonts w:asciiTheme="minorHAnsi" w:hAnsiTheme="minorHAnsi"/>
              </w:rPr>
              <w:t>Select</w:t>
            </w:r>
            <w:r w:rsidR="00D0454C" w:rsidRPr="00EB5D0C">
              <w:rPr>
                <w:rFonts w:asciiTheme="minorHAnsi" w:hAnsiTheme="minorHAnsi"/>
              </w:rPr>
              <w:t xml:space="preserve"> literature on a human rights approach to pover</w:t>
            </w:r>
            <w:r>
              <w:rPr>
                <w:rFonts w:asciiTheme="minorHAnsi" w:hAnsiTheme="minorHAnsi"/>
              </w:rPr>
              <w:t xml:space="preserve">ty and social exclusion, by </w:t>
            </w:r>
            <w:r w:rsidR="00D0454C" w:rsidRPr="00EB5D0C">
              <w:rPr>
                <w:rFonts w:asciiTheme="minorHAnsi" w:hAnsiTheme="minorHAnsi"/>
              </w:rPr>
              <w:t>T</w:t>
            </w:r>
            <w:r>
              <w:rPr>
                <w:rFonts w:asciiTheme="minorHAnsi" w:hAnsiTheme="minorHAnsi"/>
              </w:rPr>
              <w:t xml:space="preserve">ask </w:t>
            </w:r>
            <w:r w:rsidR="00D0454C" w:rsidRPr="00EB5D0C">
              <w:rPr>
                <w:rFonts w:asciiTheme="minorHAnsi" w:hAnsiTheme="minorHAnsi"/>
              </w:rPr>
              <w:t>F</w:t>
            </w:r>
            <w:r>
              <w:rPr>
                <w:rFonts w:asciiTheme="minorHAnsi" w:hAnsiTheme="minorHAnsi"/>
              </w:rPr>
              <w:t>orce</w:t>
            </w:r>
            <w:r w:rsidR="00D0454C" w:rsidRPr="00EB5D0C">
              <w:rPr>
                <w:rFonts w:asciiTheme="minorHAnsi" w:hAnsiTheme="minorHAnsi"/>
              </w:rPr>
              <w:t xml:space="preserve"> members</w:t>
            </w:r>
            <w:r>
              <w:rPr>
                <w:rFonts w:asciiTheme="minorHAnsi" w:hAnsiTheme="minorHAnsi"/>
              </w:rPr>
              <w:t>, to</w:t>
            </w:r>
            <w:r w:rsidR="00D0454C" w:rsidRPr="00EB5D0C">
              <w:rPr>
                <w:rFonts w:asciiTheme="minorHAnsi" w:hAnsiTheme="minorHAnsi"/>
              </w:rPr>
              <w:t xml:space="preserve"> be read by all members before </w:t>
            </w:r>
            <w:r>
              <w:rPr>
                <w:rFonts w:asciiTheme="minorHAnsi" w:hAnsiTheme="minorHAnsi"/>
              </w:rPr>
              <w:t xml:space="preserve">the </w:t>
            </w:r>
            <w:r w:rsidR="00D0454C" w:rsidRPr="00EB5D0C">
              <w:rPr>
                <w:rFonts w:asciiTheme="minorHAnsi" w:hAnsiTheme="minorHAnsi"/>
              </w:rPr>
              <w:t>first meeting</w:t>
            </w:r>
            <w:r>
              <w:rPr>
                <w:rFonts w:asciiTheme="minorHAnsi" w:hAnsiTheme="minorHAnsi"/>
              </w:rPr>
              <w:t>.</w:t>
            </w:r>
          </w:p>
          <w:p w14:paraId="1F70B2EE" w14:textId="77777777" w:rsidR="00EB5D0C" w:rsidRDefault="00EB5D0C" w:rsidP="00EB5D0C">
            <w:pPr>
              <w:jc w:val="both"/>
              <w:rPr>
                <w:rFonts w:asciiTheme="minorHAnsi" w:hAnsiTheme="minorHAnsi"/>
              </w:rPr>
            </w:pPr>
          </w:p>
          <w:p w14:paraId="0378141B" w14:textId="2FE1CC08" w:rsidR="00EB5D0C" w:rsidRDefault="00EB5D0C" w:rsidP="00EB5D0C">
            <w:pPr>
              <w:jc w:val="both"/>
              <w:rPr>
                <w:rFonts w:asciiTheme="minorHAnsi" w:hAnsiTheme="minorHAnsi"/>
                <w:i/>
                <w:u w:val="single"/>
              </w:rPr>
            </w:pPr>
            <w:r>
              <w:rPr>
                <w:rFonts w:asciiTheme="minorHAnsi" w:hAnsiTheme="minorHAnsi"/>
                <w:i/>
                <w:u w:val="single"/>
              </w:rPr>
              <w:t>First meeting (April-May 2016)</w:t>
            </w:r>
          </w:p>
          <w:p w14:paraId="4B845ED2" w14:textId="6FBB7826" w:rsidR="00EB5D0C" w:rsidRPr="00EB5D0C" w:rsidRDefault="006F4E02" w:rsidP="00EB5D0C">
            <w:pPr>
              <w:jc w:val="both"/>
              <w:rPr>
                <w:rFonts w:asciiTheme="minorHAnsi" w:hAnsiTheme="minorHAnsi"/>
              </w:rPr>
            </w:pPr>
            <w:r>
              <w:rPr>
                <w:rFonts w:asciiTheme="minorHAnsi" w:hAnsiTheme="minorHAnsi"/>
              </w:rPr>
              <w:t>Clarify</w:t>
            </w:r>
            <w:r w:rsidR="00EB5D0C" w:rsidRPr="00EB5D0C">
              <w:rPr>
                <w:rFonts w:asciiTheme="minorHAnsi" w:hAnsiTheme="minorHAnsi"/>
              </w:rPr>
              <w:t xml:space="preserve"> the scope of the Task Force and aim, main objectives, output and target group, by all T</w:t>
            </w:r>
            <w:r>
              <w:rPr>
                <w:rFonts w:asciiTheme="minorHAnsi" w:hAnsiTheme="minorHAnsi"/>
              </w:rPr>
              <w:t xml:space="preserve">ask </w:t>
            </w:r>
            <w:r w:rsidR="00EB5D0C" w:rsidRPr="00EB5D0C">
              <w:rPr>
                <w:rFonts w:asciiTheme="minorHAnsi" w:hAnsiTheme="minorHAnsi"/>
              </w:rPr>
              <w:t>F</w:t>
            </w:r>
            <w:r>
              <w:rPr>
                <w:rFonts w:asciiTheme="minorHAnsi" w:hAnsiTheme="minorHAnsi"/>
              </w:rPr>
              <w:t>orce members; decide</w:t>
            </w:r>
            <w:r w:rsidR="00EB5D0C" w:rsidRPr="00EB5D0C">
              <w:rPr>
                <w:rFonts w:asciiTheme="minorHAnsi" w:hAnsiTheme="minorHAnsi"/>
              </w:rPr>
              <w:t xml:space="preserve"> the detailed structure and main content of the Toolkit, and the methodo</w:t>
            </w:r>
            <w:r>
              <w:rPr>
                <w:rFonts w:asciiTheme="minorHAnsi" w:hAnsiTheme="minorHAnsi"/>
              </w:rPr>
              <w:t>logy for developing it; decide timeline, delegate</w:t>
            </w:r>
            <w:r w:rsidR="00EB5D0C" w:rsidRPr="00EB5D0C">
              <w:rPr>
                <w:rFonts w:asciiTheme="minorHAnsi" w:hAnsiTheme="minorHAnsi"/>
              </w:rPr>
              <w:t xml:space="preserve"> responsibilities to TF members, agree process till the next meeting. An outline of the discussion will be recorded in the minutes and circulated after the meeting.</w:t>
            </w:r>
          </w:p>
          <w:p w14:paraId="6AEC7AE7" w14:textId="77777777" w:rsidR="00EB5D0C" w:rsidRDefault="00EB5D0C" w:rsidP="00EB5D0C">
            <w:pPr>
              <w:ind w:left="360"/>
              <w:jc w:val="both"/>
              <w:rPr>
                <w:rFonts w:asciiTheme="minorHAnsi" w:hAnsiTheme="minorHAnsi"/>
                <w:i/>
                <w:u w:val="single"/>
              </w:rPr>
            </w:pPr>
          </w:p>
          <w:p w14:paraId="7D8EFE05" w14:textId="487428DF" w:rsidR="00EB5D0C" w:rsidRPr="00EB5D0C" w:rsidRDefault="00EB5D0C" w:rsidP="00EB5D0C">
            <w:pPr>
              <w:jc w:val="both"/>
              <w:rPr>
                <w:rFonts w:asciiTheme="minorHAnsi" w:hAnsiTheme="minorHAnsi"/>
              </w:rPr>
            </w:pPr>
            <w:r w:rsidRPr="00EB5D0C">
              <w:rPr>
                <w:rFonts w:asciiTheme="minorHAnsi" w:hAnsiTheme="minorHAnsi"/>
                <w:i/>
                <w:u w:val="single"/>
              </w:rPr>
              <w:t>Be</w:t>
            </w:r>
            <w:r>
              <w:rPr>
                <w:rFonts w:asciiTheme="minorHAnsi" w:hAnsiTheme="minorHAnsi"/>
                <w:i/>
                <w:u w:val="single"/>
              </w:rPr>
              <w:t xml:space="preserve">tween the </w:t>
            </w:r>
            <w:r w:rsidRPr="00EB5D0C">
              <w:rPr>
                <w:rFonts w:asciiTheme="minorHAnsi" w:hAnsiTheme="minorHAnsi"/>
                <w:i/>
                <w:u w:val="single"/>
              </w:rPr>
              <w:t xml:space="preserve">first </w:t>
            </w:r>
            <w:r>
              <w:rPr>
                <w:rFonts w:asciiTheme="minorHAnsi" w:hAnsiTheme="minorHAnsi"/>
                <w:i/>
                <w:u w:val="single"/>
              </w:rPr>
              <w:t xml:space="preserve">and the second </w:t>
            </w:r>
            <w:r w:rsidRPr="00EB5D0C">
              <w:rPr>
                <w:rFonts w:asciiTheme="minorHAnsi" w:hAnsiTheme="minorHAnsi"/>
                <w:i/>
                <w:u w:val="single"/>
              </w:rPr>
              <w:t>meeting</w:t>
            </w:r>
          </w:p>
          <w:p w14:paraId="76E23F14" w14:textId="77777777" w:rsidR="00EB5D0C" w:rsidRDefault="00EB5D0C" w:rsidP="00EB5D0C">
            <w:pPr>
              <w:jc w:val="both"/>
              <w:rPr>
                <w:rFonts w:asciiTheme="minorHAnsi" w:hAnsiTheme="minorHAnsi"/>
              </w:rPr>
            </w:pPr>
            <w:r>
              <w:rPr>
                <w:rFonts w:asciiTheme="minorHAnsi" w:hAnsiTheme="minorHAnsi"/>
              </w:rPr>
              <w:t xml:space="preserve">Produce a first draft of the Toolkit, in accordance with what has been agreed at the meeting. </w:t>
            </w:r>
          </w:p>
          <w:p w14:paraId="30F10F43" w14:textId="77777777" w:rsidR="00EB5D0C" w:rsidRDefault="00EB5D0C" w:rsidP="00EB5D0C">
            <w:pPr>
              <w:jc w:val="both"/>
              <w:rPr>
                <w:rFonts w:asciiTheme="minorHAnsi" w:hAnsiTheme="minorHAnsi"/>
              </w:rPr>
            </w:pPr>
          </w:p>
          <w:p w14:paraId="553A4EEA" w14:textId="5576082D" w:rsidR="00EB5D0C" w:rsidRPr="00CC295A" w:rsidRDefault="00EB5D0C" w:rsidP="00EB5D0C">
            <w:pPr>
              <w:jc w:val="both"/>
              <w:rPr>
                <w:rFonts w:asciiTheme="minorHAnsi" w:hAnsiTheme="minorHAnsi"/>
                <w:i/>
                <w:u w:val="single"/>
              </w:rPr>
            </w:pPr>
            <w:r w:rsidRPr="00CC295A">
              <w:rPr>
                <w:rFonts w:asciiTheme="minorHAnsi" w:hAnsiTheme="minorHAnsi"/>
                <w:i/>
                <w:u w:val="single"/>
              </w:rPr>
              <w:t>Second meeting</w:t>
            </w:r>
            <w:r w:rsidR="00BD33F7">
              <w:rPr>
                <w:rFonts w:asciiTheme="minorHAnsi" w:hAnsiTheme="minorHAnsi"/>
                <w:i/>
                <w:u w:val="single"/>
              </w:rPr>
              <w:t xml:space="preserve"> (Autumn 2016</w:t>
            </w:r>
            <w:r w:rsidRPr="00CC295A">
              <w:rPr>
                <w:rFonts w:asciiTheme="minorHAnsi" w:hAnsiTheme="minorHAnsi"/>
                <w:i/>
                <w:u w:val="single"/>
              </w:rPr>
              <w:t>)</w:t>
            </w:r>
          </w:p>
          <w:p w14:paraId="0BE90DFA" w14:textId="73461DD9" w:rsidR="00EB5D0C" w:rsidRDefault="00EB5D0C" w:rsidP="00EB5D0C">
            <w:pPr>
              <w:jc w:val="both"/>
              <w:rPr>
                <w:rFonts w:asciiTheme="minorHAnsi" w:hAnsiTheme="minorHAnsi"/>
              </w:rPr>
            </w:pPr>
            <w:r w:rsidRPr="00EB5D0C">
              <w:rPr>
                <w:rFonts w:asciiTheme="minorHAnsi" w:hAnsiTheme="minorHAnsi"/>
              </w:rPr>
              <w:t>Presentation and discussion of the draft Toolkit, with in-depth comments.</w:t>
            </w:r>
            <w:r w:rsidR="006F4E02">
              <w:rPr>
                <w:rFonts w:asciiTheme="minorHAnsi" w:hAnsiTheme="minorHAnsi"/>
              </w:rPr>
              <w:t xml:space="preserve"> Prepare</w:t>
            </w:r>
            <w:r w:rsidR="00BD33F7">
              <w:rPr>
                <w:rFonts w:asciiTheme="minorHAnsi" w:hAnsiTheme="minorHAnsi"/>
              </w:rPr>
              <w:t xml:space="preserve"> the presentation for the EU ISG. </w:t>
            </w:r>
            <w:r w:rsidR="004267FF">
              <w:rPr>
                <w:rFonts w:asciiTheme="minorHAnsi" w:hAnsiTheme="minorHAnsi"/>
              </w:rPr>
              <w:t>Discuss how to best use the Toolkit, dissemination etc.</w:t>
            </w:r>
          </w:p>
          <w:p w14:paraId="0BA89AB2" w14:textId="77777777" w:rsidR="00EB5D0C" w:rsidRDefault="00EB5D0C" w:rsidP="00EB5D0C">
            <w:pPr>
              <w:jc w:val="both"/>
              <w:rPr>
                <w:rFonts w:asciiTheme="minorHAnsi" w:hAnsiTheme="minorHAnsi"/>
              </w:rPr>
            </w:pPr>
          </w:p>
          <w:p w14:paraId="1A8CDDEE" w14:textId="79FB5E9A" w:rsidR="00EB5D0C" w:rsidRPr="00EB5D0C" w:rsidRDefault="004267FF" w:rsidP="00EB5D0C">
            <w:pPr>
              <w:jc w:val="both"/>
              <w:rPr>
                <w:rFonts w:asciiTheme="minorHAnsi" w:hAnsiTheme="minorHAnsi"/>
              </w:rPr>
            </w:pPr>
            <w:r>
              <w:rPr>
                <w:rFonts w:asciiTheme="minorHAnsi" w:hAnsiTheme="minorHAnsi"/>
                <w:i/>
                <w:u w:val="single"/>
              </w:rPr>
              <w:t>After</w:t>
            </w:r>
            <w:r w:rsidR="00EB5D0C">
              <w:rPr>
                <w:rFonts w:asciiTheme="minorHAnsi" w:hAnsiTheme="minorHAnsi"/>
                <w:i/>
                <w:u w:val="single"/>
              </w:rPr>
              <w:t xml:space="preserve"> the second</w:t>
            </w:r>
            <w:r w:rsidR="00EB5D0C" w:rsidRPr="00EB5D0C">
              <w:rPr>
                <w:rFonts w:asciiTheme="minorHAnsi" w:hAnsiTheme="minorHAnsi"/>
                <w:i/>
                <w:u w:val="single"/>
              </w:rPr>
              <w:t xml:space="preserve"> </w:t>
            </w:r>
            <w:r>
              <w:rPr>
                <w:rFonts w:asciiTheme="minorHAnsi" w:hAnsiTheme="minorHAnsi"/>
                <w:i/>
                <w:u w:val="single"/>
              </w:rPr>
              <w:t>meeting</w:t>
            </w:r>
          </w:p>
          <w:p w14:paraId="47E58143" w14:textId="05977EEF" w:rsidR="00C37420" w:rsidRPr="00CC295A" w:rsidRDefault="00EB5D0C" w:rsidP="006F4E02">
            <w:pPr>
              <w:jc w:val="both"/>
              <w:rPr>
                <w:rFonts w:asciiTheme="minorHAnsi" w:hAnsiTheme="minorHAnsi"/>
                <w:i/>
              </w:rPr>
            </w:pPr>
            <w:r>
              <w:rPr>
                <w:rFonts w:asciiTheme="minorHAnsi" w:hAnsiTheme="minorHAnsi"/>
              </w:rPr>
              <w:t>Collect written feedback from Task Force members</w:t>
            </w:r>
            <w:r w:rsidR="00BD33F7">
              <w:rPr>
                <w:rFonts w:asciiTheme="minorHAnsi" w:hAnsiTheme="minorHAnsi"/>
              </w:rPr>
              <w:t>, EU ISG members,</w:t>
            </w:r>
            <w:r>
              <w:rPr>
                <w:rFonts w:asciiTheme="minorHAnsi" w:hAnsiTheme="minorHAnsi"/>
              </w:rPr>
              <w:t xml:space="preserve"> and Secretariat, integrating all received feedback</w:t>
            </w:r>
            <w:r w:rsidR="00BD33F7">
              <w:rPr>
                <w:rFonts w:asciiTheme="minorHAnsi" w:hAnsiTheme="minorHAnsi"/>
              </w:rPr>
              <w:t xml:space="preserve">. </w:t>
            </w:r>
            <w:r w:rsidR="004267FF">
              <w:rPr>
                <w:rFonts w:asciiTheme="minorHAnsi" w:hAnsiTheme="minorHAnsi"/>
              </w:rPr>
              <w:t>Agree finalized version.</w:t>
            </w:r>
            <w:r w:rsidR="00BD33F7">
              <w:rPr>
                <w:rFonts w:asciiTheme="minorHAnsi" w:hAnsiTheme="minorHAnsi"/>
              </w:rPr>
              <w:t xml:space="preserve"> </w:t>
            </w:r>
          </w:p>
        </w:tc>
      </w:tr>
      <w:tr w:rsidR="00C37420" w:rsidRPr="00CC295A" w14:paraId="3FEE3E47" w14:textId="77777777" w:rsidTr="00634D41">
        <w:tc>
          <w:tcPr>
            <w:tcW w:w="9606" w:type="dxa"/>
          </w:tcPr>
          <w:p w14:paraId="78F9C6E8" w14:textId="35ACFC07" w:rsidR="00C37420" w:rsidRDefault="00C37420" w:rsidP="008001D2">
            <w:pPr>
              <w:jc w:val="both"/>
              <w:rPr>
                <w:rFonts w:asciiTheme="minorHAnsi" w:hAnsiTheme="minorHAnsi"/>
                <w:b/>
              </w:rPr>
            </w:pPr>
            <w:r w:rsidRPr="00CC295A">
              <w:rPr>
                <w:rFonts w:asciiTheme="minorHAnsi" w:hAnsiTheme="minorHAnsi"/>
                <w:b/>
              </w:rPr>
              <w:lastRenderedPageBreak/>
              <w:t xml:space="preserve">Indicative proposal re follow up </w:t>
            </w:r>
          </w:p>
          <w:p w14:paraId="3B693BA6" w14:textId="77777777" w:rsidR="004267FF" w:rsidRDefault="004267FF" w:rsidP="008001D2">
            <w:pPr>
              <w:jc w:val="both"/>
              <w:rPr>
                <w:rFonts w:asciiTheme="minorHAnsi" w:hAnsiTheme="minorHAnsi"/>
                <w:b/>
              </w:rPr>
            </w:pPr>
          </w:p>
          <w:p w14:paraId="4EE53D7D" w14:textId="0937573F" w:rsidR="00CC295A" w:rsidRDefault="004267FF" w:rsidP="008001D2">
            <w:pPr>
              <w:jc w:val="both"/>
              <w:rPr>
                <w:rFonts w:asciiTheme="minorHAnsi" w:hAnsiTheme="minorHAnsi"/>
              </w:rPr>
            </w:pPr>
            <w:r w:rsidRPr="004267FF">
              <w:rPr>
                <w:rFonts w:asciiTheme="minorHAnsi" w:hAnsiTheme="minorHAnsi"/>
              </w:rPr>
              <w:t>If possible to do so at no-cost, organize a small event</w:t>
            </w:r>
            <w:r w:rsidR="00CC295A" w:rsidRPr="00CC295A">
              <w:rPr>
                <w:rFonts w:asciiTheme="minorHAnsi" w:hAnsiTheme="minorHAnsi"/>
              </w:rPr>
              <w:t xml:space="preserve"> with participants from EAPN, Council of Europe, National Human Rights Institutions and others on how to promote respect at national level for social human rights.</w:t>
            </w:r>
            <w:r w:rsidR="001C1A25">
              <w:rPr>
                <w:rFonts w:asciiTheme="minorHAnsi" w:hAnsiTheme="minorHAnsi"/>
              </w:rPr>
              <w:t xml:space="preserve"> A small capacity building session for EAPN members, based on the Toolkit, could also be envisaged, as part of an EU ISG and/or EXCO meeting</w:t>
            </w:r>
            <w:r w:rsidR="006F4E02">
              <w:rPr>
                <w:rFonts w:asciiTheme="minorHAnsi" w:hAnsiTheme="minorHAnsi"/>
              </w:rPr>
              <w:t>, or via online methodologies</w:t>
            </w:r>
            <w:r w:rsidR="001C1A25">
              <w:rPr>
                <w:rFonts w:asciiTheme="minorHAnsi" w:hAnsiTheme="minorHAnsi"/>
              </w:rPr>
              <w:t xml:space="preserve">. The EU ISG could propose additional follow-up activities, relating to how to better mainstream the human rights approach in our daily work and discourse. </w:t>
            </w:r>
          </w:p>
          <w:p w14:paraId="6BF32E24" w14:textId="77777777" w:rsidR="001C1A25" w:rsidRDefault="001C1A25" w:rsidP="008001D2">
            <w:pPr>
              <w:jc w:val="both"/>
              <w:rPr>
                <w:rFonts w:asciiTheme="minorHAnsi" w:hAnsiTheme="minorHAnsi"/>
              </w:rPr>
            </w:pPr>
          </w:p>
          <w:p w14:paraId="36A709B8" w14:textId="77777777" w:rsidR="001C1A25" w:rsidRDefault="001C1A25" w:rsidP="008001D2">
            <w:pPr>
              <w:jc w:val="both"/>
              <w:rPr>
                <w:rFonts w:asciiTheme="minorHAnsi" w:hAnsiTheme="minorHAnsi"/>
              </w:rPr>
            </w:pPr>
          </w:p>
          <w:p w14:paraId="4B74D57A" w14:textId="77777777" w:rsidR="00CC295A" w:rsidRPr="00BD33F7" w:rsidRDefault="00CC295A" w:rsidP="008001D2">
            <w:pPr>
              <w:jc w:val="both"/>
              <w:rPr>
                <w:rFonts w:asciiTheme="minorHAnsi" w:hAnsiTheme="minorHAnsi"/>
                <w:u w:val="single"/>
              </w:rPr>
            </w:pPr>
            <w:r w:rsidRPr="00BD33F7">
              <w:rPr>
                <w:rFonts w:asciiTheme="minorHAnsi" w:hAnsiTheme="minorHAnsi"/>
                <w:u w:val="single"/>
              </w:rPr>
              <w:t>Literature (examples):</w:t>
            </w:r>
          </w:p>
          <w:p w14:paraId="6B3E09E5" w14:textId="77777777" w:rsidR="001C1A25" w:rsidRDefault="001C1A25" w:rsidP="008001D2">
            <w:pPr>
              <w:jc w:val="both"/>
            </w:pPr>
          </w:p>
          <w:p w14:paraId="5C2E86D4" w14:textId="09AFB310" w:rsidR="00CC295A" w:rsidRPr="006F4E02" w:rsidRDefault="00BD02BA" w:rsidP="006F4E02">
            <w:pPr>
              <w:pStyle w:val="ListParagraph"/>
              <w:numPr>
                <w:ilvl w:val="0"/>
                <w:numId w:val="12"/>
              </w:numPr>
              <w:jc w:val="both"/>
              <w:rPr>
                <w:rFonts w:asciiTheme="minorHAnsi" w:hAnsiTheme="minorHAnsi"/>
              </w:rPr>
            </w:pPr>
            <w:hyperlink r:id="rId8" w:history="1">
              <w:r w:rsidR="00CC295A" w:rsidRPr="006F4E02">
                <w:rPr>
                  <w:rStyle w:val="Hyperlink"/>
                  <w:rFonts w:asciiTheme="minorHAnsi" w:hAnsiTheme="minorHAnsi"/>
                </w:rPr>
                <w:t>http://www.ohchr.org/Documents/Publications/PovertyStrategiesen.pdf</w:t>
              </w:r>
            </w:hyperlink>
          </w:p>
          <w:p w14:paraId="7FF7673A" w14:textId="73B1DE7E" w:rsidR="00CC295A" w:rsidRPr="006F4E02" w:rsidRDefault="00BD02BA" w:rsidP="006F4E02">
            <w:pPr>
              <w:pStyle w:val="ListParagraph"/>
              <w:numPr>
                <w:ilvl w:val="0"/>
                <w:numId w:val="12"/>
              </w:numPr>
              <w:jc w:val="both"/>
              <w:rPr>
                <w:rFonts w:asciiTheme="minorHAnsi" w:hAnsiTheme="minorHAnsi"/>
              </w:rPr>
            </w:pPr>
            <w:hyperlink r:id="rId9" w:history="1">
              <w:r w:rsidR="00CC295A" w:rsidRPr="006F4E02">
                <w:rPr>
                  <w:rStyle w:val="Hyperlink"/>
                  <w:rFonts w:asciiTheme="minorHAnsi" w:hAnsiTheme="minorHAnsi"/>
                </w:rPr>
                <w:t>https://www1.umn.edu/humanrts/instree/povertyreductionguidelines.html</w:t>
              </w:r>
            </w:hyperlink>
          </w:p>
          <w:p w14:paraId="27200BEE" w14:textId="77777777" w:rsidR="006F4E02" w:rsidRPr="006F4E02" w:rsidRDefault="00BD02BA" w:rsidP="006F4E02">
            <w:pPr>
              <w:pStyle w:val="ListParagraph"/>
              <w:numPr>
                <w:ilvl w:val="0"/>
                <w:numId w:val="12"/>
              </w:numPr>
              <w:jc w:val="both"/>
              <w:rPr>
                <w:rStyle w:val="Hyperlink"/>
                <w:rFonts w:asciiTheme="minorHAnsi" w:hAnsiTheme="minorHAnsi"/>
                <w:color w:val="auto"/>
                <w:u w:val="none"/>
              </w:rPr>
            </w:pPr>
            <w:hyperlink r:id="rId10" w:history="1">
              <w:r w:rsidR="00CC295A" w:rsidRPr="006F4E02">
                <w:rPr>
                  <w:rStyle w:val="Hyperlink"/>
                  <w:rFonts w:asciiTheme="minorHAnsi" w:hAnsiTheme="minorHAnsi"/>
                </w:rPr>
                <w:t>http://www.un.org/disabilities/documents/workshops/principles-guidelines-hr.pdf</w:t>
              </w:r>
            </w:hyperlink>
          </w:p>
          <w:p w14:paraId="21F42D7D" w14:textId="67D9BC77" w:rsidR="00CC295A" w:rsidRPr="006F4E02" w:rsidRDefault="00BD02BA" w:rsidP="006F4E02">
            <w:pPr>
              <w:pStyle w:val="ListParagraph"/>
              <w:numPr>
                <w:ilvl w:val="0"/>
                <w:numId w:val="12"/>
              </w:numPr>
              <w:jc w:val="both"/>
              <w:rPr>
                <w:rStyle w:val="Hyperlink"/>
                <w:rFonts w:asciiTheme="minorHAnsi" w:hAnsiTheme="minorHAnsi"/>
                <w:color w:val="auto"/>
                <w:u w:val="none"/>
              </w:rPr>
            </w:pPr>
            <w:hyperlink r:id="rId11" w:history="1">
              <w:r w:rsidR="00CC295A" w:rsidRPr="006F4E02">
                <w:rPr>
                  <w:rStyle w:val="Hyperlink"/>
                  <w:rFonts w:asciiTheme="minorHAnsi" w:hAnsiTheme="minorHAnsi"/>
                </w:rPr>
                <w:t>http://www.undp.org/content/dam/aplaws/publication/en/publications/democratic-governance/dg-publications-for-website/poverty-reduction-and-human-rights-practice-note/HRPN_(poverty)En.pdf</w:t>
              </w:r>
            </w:hyperlink>
          </w:p>
          <w:p w14:paraId="2F81DAFE" w14:textId="74D5BDFB" w:rsidR="00CC295A" w:rsidRPr="006F4E02" w:rsidRDefault="00BD02BA" w:rsidP="006F4E02">
            <w:pPr>
              <w:pStyle w:val="ListParagraph"/>
              <w:numPr>
                <w:ilvl w:val="0"/>
                <w:numId w:val="12"/>
              </w:numPr>
              <w:jc w:val="both"/>
              <w:rPr>
                <w:rFonts w:asciiTheme="minorHAnsi" w:hAnsiTheme="minorHAnsi"/>
              </w:rPr>
            </w:pPr>
            <w:hyperlink r:id="rId12" w:history="1">
              <w:r w:rsidR="00CC295A" w:rsidRPr="006F4E02">
                <w:rPr>
                  <w:rStyle w:val="Hyperlink"/>
                  <w:rFonts w:asciiTheme="minorHAnsi" w:hAnsiTheme="minorHAnsi"/>
                </w:rPr>
                <w:t>http://www.ohchr.org/Documents/Publications/PovertyReductionen.pdf</w:t>
              </w:r>
            </w:hyperlink>
          </w:p>
          <w:p w14:paraId="23BB2029" w14:textId="4405905C" w:rsidR="00CC295A" w:rsidRPr="006F4E02" w:rsidRDefault="00BD02BA" w:rsidP="006F4E02">
            <w:pPr>
              <w:pStyle w:val="ListParagraph"/>
              <w:numPr>
                <w:ilvl w:val="0"/>
                <w:numId w:val="12"/>
              </w:numPr>
              <w:jc w:val="both"/>
              <w:rPr>
                <w:rFonts w:asciiTheme="minorHAnsi" w:hAnsiTheme="minorHAnsi"/>
              </w:rPr>
            </w:pPr>
            <w:hyperlink r:id="rId13" w:history="1">
              <w:r w:rsidR="00CC295A" w:rsidRPr="006F4E02">
                <w:rPr>
                  <w:rStyle w:val="Hyperlink"/>
                  <w:rFonts w:asciiTheme="minorHAnsi" w:hAnsiTheme="minorHAnsi"/>
                </w:rPr>
                <w:t>http://www.ohchr.org/Documents/Countries/NHRI/1950-UNDP-UHCHR-Toolkit-LR.pdf</w:t>
              </w:r>
            </w:hyperlink>
          </w:p>
          <w:p w14:paraId="5CCD8F39" w14:textId="255EB8D9" w:rsidR="00CC295A" w:rsidRPr="006F4E02" w:rsidRDefault="00BD02BA" w:rsidP="006F4E02">
            <w:pPr>
              <w:pStyle w:val="ListParagraph"/>
              <w:numPr>
                <w:ilvl w:val="0"/>
                <w:numId w:val="12"/>
              </w:numPr>
              <w:jc w:val="both"/>
              <w:rPr>
                <w:rStyle w:val="Hyperlink"/>
                <w:rFonts w:asciiTheme="minorHAnsi" w:hAnsiTheme="minorHAnsi"/>
                <w:color w:val="auto"/>
                <w:u w:val="none"/>
              </w:rPr>
            </w:pPr>
            <w:hyperlink r:id="rId14" w:history="1">
              <w:r w:rsidR="00CC295A" w:rsidRPr="006F4E02">
                <w:rPr>
                  <w:rStyle w:val="Hyperlink"/>
                  <w:rFonts w:asciiTheme="minorHAnsi" w:hAnsiTheme="minorHAnsi"/>
                </w:rPr>
                <w:t>http://www.cesr.org/downloads/CESR%20Briefing%20-%20Human%20Rights%20and%20Poverty%20-%20Draft%20December%202009.pdf</w:t>
              </w:r>
            </w:hyperlink>
          </w:p>
          <w:p w14:paraId="3DE61A20" w14:textId="077C4676" w:rsidR="006F4E02" w:rsidRDefault="006F4E02" w:rsidP="006F4E02">
            <w:pPr>
              <w:ind w:left="360"/>
              <w:jc w:val="both"/>
              <w:rPr>
                <w:rFonts w:asciiTheme="minorHAnsi" w:hAnsiTheme="minorHAnsi"/>
              </w:rPr>
            </w:pPr>
          </w:p>
          <w:p w14:paraId="26C01A55" w14:textId="7323B476" w:rsidR="006F4E02" w:rsidRDefault="006F4E02" w:rsidP="006F4E02">
            <w:pPr>
              <w:rPr>
                <w:rFonts w:ascii="Calibri" w:hAnsi="Calibri"/>
                <w:color w:val="1F497D"/>
                <w:lang w:val="en-IE"/>
              </w:rPr>
            </w:pPr>
            <w:r w:rsidRPr="006F4E02">
              <w:rPr>
                <w:rFonts w:asciiTheme="minorHAnsi" w:hAnsiTheme="minorHAnsi"/>
                <w:i/>
              </w:rPr>
              <w:t>See also</w:t>
            </w:r>
            <w:r>
              <w:rPr>
                <w:rFonts w:asciiTheme="minorHAnsi" w:hAnsiTheme="minorHAnsi"/>
              </w:rPr>
              <w:t xml:space="preserve">: </w:t>
            </w:r>
            <w:r w:rsidRPr="006F4E02">
              <w:rPr>
                <w:rFonts w:ascii="Calibri" w:hAnsi="Calibri"/>
                <w:lang w:val="en-GB"/>
              </w:rPr>
              <w:t xml:space="preserve">EAPN Ireland Handbook on </w:t>
            </w:r>
            <w:r w:rsidRPr="006F4E02">
              <w:rPr>
                <w:rFonts w:ascii="Calibri" w:hAnsi="Calibri"/>
                <w:i/>
                <w:lang w:val="en-GB"/>
              </w:rPr>
              <w:t>Using a Human Rights Approach to Achieve Social Inclusion and Equality</w:t>
            </w:r>
            <w:r w:rsidRPr="006F4E02">
              <w:rPr>
                <w:rFonts w:ascii="Calibri" w:hAnsi="Calibri"/>
                <w:lang w:val="en-GB"/>
              </w:rPr>
              <w:t xml:space="preserve"> (2007): </w:t>
            </w:r>
            <w:hyperlink r:id="rId15" w:history="1">
              <w:r>
                <w:rPr>
                  <w:rStyle w:val="Hyperlink"/>
                  <w:rFonts w:ascii="Calibri" w:hAnsi="Calibri"/>
                  <w:lang w:val="en-IE"/>
                </w:rPr>
                <w:t>http://www.eapn.ie/eapn/wp-content/uploads/2009/10/handbook-on-using-a-human-rights-approach-to-achieve-social-inclusion-and-equality.pdf</w:t>
              </w:r>
            </w:hyperlink>
            <w:r>
              <w:rPr>
                <w:rFonts w:ascii="Calibri" w:hAnsi="Calibri"/>
                <w:color w:val="1F497D"/>
                <w:lang w:val="en-IE"/>
              </w:rPr>
              <w:t>.</w:t>
            </w:r>
          </w:p>
          <w:p w14:paraId="3BCEF9F8" w14:textId="187F26E2" w:rsidR="00B6237E" w:rsidRDefault="00B6237E" w:rsidP="006F4E02">
            <w:pPr>
              <w:rPr>
                <w:rFonts w:ascii="Calibri" w:hAnsi="Calibri"/>
                <w:color w:val="1F497D"/>
                <w:lang w:val="en-IE"/>
              </w:rPr>
            </w:pPr>
          </w:p>
          <w:p w14:paraId="61037B26" w14:textId="1FB26927" w:rsidR="00B6237E" w:rsidRPr="00B6237E" w:rsidRDefault="00B6237E" w:rsidP="006F4E02">
            <w:pPr>
              <w:rPr>
                <w:rFonts w:asciiTheme="minorHAnsi" w:hAnsiTheme="minorHAnsi"/>
              </w:rPr>
            </w:pPr>
            <w:r w:rsidRPr="00B6237E">
              <w:rPr>
                <w:rFonts w:asciiTheme="minorHAnsi" w:hAnsiTheme="minorHAnsi"/>
                <w:i/>
              </w:rPr>
              <w:t xml:space="preserve">See also: </w:t>
            </w:r>
            <w:r>
              <w:rPr>
                <w:rFonts w:asciiTheme="minorHAnsi" w:hAnsiTheme="minorHAnsi"/>
              </w:rPr>
              <w:t xml:space="preserve">EQUINET- European Network of Equality Bodies, </w:t>
            </w:r>
            <w:r w:rsidRPr="00B6237E">
              <w:rPr>
                <w:rFonts w:asciiTheme="minorHAnsi" w:hAnsiTheme="minorHAnsi"/>
                <w:i/>
              </w:rPr>
              <w:t>Equality Bodies Contributing to the Protection, Respect, and Fulfillment of Economic and Social Rights</w:t>
            </w:r>
            <w:r>
              <w:rPr>
                <w:rFonts w:asciiTheme="minorHAnsi" w:hAnsiTheme="minorHAnsi"/>
              </w:rPr>
              <w:t xml:space="preserve"> (2015): </w:t>
            </w:r>
            <w:hyperlink r:id="rId16" w:history="1">
              <w:r w:rsidRPr="00F940B0">
                <w:rPr>
                  <w:rStyle w:val="Hyperlink"/>
                  <w:rFonts w:asciiTheme="minorHAnsi" w:hAnsiTheme="minorHAnsi"/>
                </w:rPr>
                <w:t>http://www.equineteurope.org/IMG/pdf/economic_and_social_rights_electronic-3.pdf</w:t>
              </w:r>
            </w:hyperlink>
            <w:r>
              <w:rPr>
                <w:rFonts w:asciiTheme="minorHAnsi" w:hAnsiTheme="minorHAnsi"/>
              </w:rPr>
              <w:t xml:space="preserve"> </w:t>
            </w:r>
          </w:p>
          <w:p w14:paraId="310FA308" w14:textId="3ECF7743" w:rsidR="00C37420" w:rsidRPr="00CC295A" w:rsidRDefault="00C37420" w:rsidP="008001D2">
            <w:pPr>
              <w:jc w:val="both"/>
              <w:rPr>
                <w:rFonts w:asciiTheme="minorHAnsi" w:hAnsiTheme="minorHAnsi"/>
                <w:i/>
              </w:rPr>
            </w:pPr>
          </w:p>
        </w:tc>
      </w:tr>
    </w:tbl>
    <w:p w14:paraId="31D7F180" w14:textId="77777777" w:rsidR="00C37420" w:rsidRPr="00CC295A" w:rsidRDefault="00C37420" w:rsidP="008001D2">
      <w:pPr>
        <w:tabs>
          <w:tab w:val="left" w:pos="1350"/>
          <w:tab w:val="left" w:pos="1440"/>
        </w:tabs>
        <w:jc w:val="both"/>
        <w:rPr>
          <w:rFonts w:asciiTheme="minorHAnsi" w:hAnsiTheme="minorHAnsi"/>
          <w:szCs w:val="22"/>
        </w:rPr>
      </w:pPr>
    </w:p>
    <w:p w14:paraId="44588ED2" w14:textId="77777777" w:rsidR="00C37420" w:rsidRPr="00CC295A" w:rsidRDefault="00C37420" w:rsidP="008001D2">
      <w:pPr>
        <w:tabs>
          <w:tab w:val="left" w:pos="1350"/>
          <w:tab w:val="left" w:pos="1440"/>
        </w:tabs>
        <w:jc w:val="both"/>
        <w:outlineLvl w:val="0"/>
        <w:rPr>
          <w:rFonts w:asciiTheme="minorHAnsi" w:hAnsiTheme="minorHAnsi"/>
          <w:b/>
          <w:szCs w:val="22"/>
        </w:rPr>
      </w:pPr>
    </w:p>
    <w:sectPr w:rsidR="00C37420" w:rsidRPr="00CC295A" w:rsidSect="000F3EC8">
      <w:headerReference w:type="default" r:id="rId17"/>
      <w:footerReference w:type="default" r:id="rId18"/>
      <w:pgSz w:w="12240" w:h="15840"/>
      <w:pgMar w:top="1418"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BA0F7" w14:textId="77777777" w:rsidR="009B39C4" w:rsidRDefault="009B39C4" w:rsidP="003E5F4D">
      <w:r>
        <w:separator/>
      </w:r>
    </w:p>
  </w:endnote>
  <w:endnote w:type="continuationSeparator" w:id="0">
    <w:p w14:paraId="5BD9F5D5" w14:textId="77777777" w:rsidR="009B39C4" w:rsidRDefault="009B39C4" w:rsidP="003E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EE0FD" w14:textId="426810F2" w:rsidR="003E5F4D" w:rsidRDefault="0091593B">
    <w:pPr>
      <w:pStyle w:val="Footer"/>
      <w:jc w:val="right"/>
    </w:pPr>
    <w:r>
      <w:fldChar w:fldCharType="begin"/>
    </w:r>
    <w:r>
      <w:instrText xml:space="preserve"> PAGE   \* MERGEFORMAT </w:instrText>
    </w:r>
    <w:r>
      <w:fldChar w:fldCharType="separate"/>
    </w:r>
    <w:r w:rsidR="00BD02BA">
      <w:rPr>
        <w:noProof/>
      </w:rPr>
      <w:t>4</w:t>
    </w:r>
    <w:r>
      <w:rPr>
        <w:noProof/>
      </w:rPr>
      <w:fldChar w:fldCharType="end"/>
    </w:r>
  </w:p>
  <w:p w14:paraId="5B3A0B52" w14:textId="77777777" w:rsidR="003E5F4D" w:rsidRDefault="003E5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A8BE5" w14:textId="77777777" w:rsidR="009B39C4" w:rsidRDefault="009B39C4" w:rsidP="003E5F4D">
      <w:r>
        <w:separator/>
      </w:r>
    </w:p>
  </w:footnote>
  <w:footnote w:type="continuationSeparator" w:id="0">
    <w:p w14:paraId="5F6CBA29" w14:textId="77777777" w:rsidR="009B39C4" w:rsidRDefault="009B39C4" w:rsidP="003E5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DB27" w14:textId="583B8CB1" w:rsidR="00BD02BA" w:rsidRPr="00BD02BA" w:rsidRDefault="00BD02BA" w:rsidP="00BD02BA">
    <w:pPr>
      <w:pStyle w:val="Header"/>
      <w:jc w:val="right"/>
      <w:rPr>
        <w:rFonts w:asciiTheme="minorHAnsi" w:hAnsiTheme="minorHAnsi"/>
        <w:b/>
        <w:sz w:val="32"/>
        <w:szCs w:val="32"/>
      </w:rPr>
    </w:pPr>
    <w:r w:rsidRPr="00BD02BA">
      <w:rPr>
        <w:rFonts w:asciiTheme="minorHAnsi" w:hAnsiTheme="minorHAnsi"/>
        <w:b/>
        <w:sz w:val="32"/>
        <w:szCs w:val="32"/>
      </w:rPr>
      <w:t>3a</w:t>
    </w:r>
  </w:p>
  <w:p w14:paraId="37C57422" w14:textId="77777777" w:rsidR="00BD02BA" w:rsidRDefault="00BD0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D7958"/>
    <w:multiLevelType w:val="hybridMultilevel"/>
    <w:tmpl w:val="EDF6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57007"/>
    <w:multiLevelType w:val="hybridMultilevel"/>
    <w:tmpl w:val="1D50E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671D52"/>
    <w:multiLevelType w:val="hybridMultilevel"/>
    <w:tmpl w:val="F550A2D0"/>
    <w:lvl w:ilvl="0" w:tplc="EBE0B8B2">
      <w:start w:val="54"/>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85510E"/>
    <w:multiLevelType w:val="hybridMultilevel"/>
    <w:tmpl w:val="03E0EE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B5F8B"/>
    <w:multiLevelType w:val="hybridMultilevel"/>
    <w:tmpl w:val="416C4264"/>
    <w:lvl w:ilvl="0" w:tplc="7DD033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05902"/>
    <w:multiLevelType w:val="hybridMultilevel"/>
    <w:tmpl w:val="3ED26EFA"/>
    <w:lvl w:ilvl="0" w:tplc="410CEFD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7320087"/>
    <w:multiLevelType w:val="hybridMultilevel"/>
    <w:tmpl w:val="0D1C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756C0"/>
    <w:multiLevelType w:val="hybridMultilevel"/>
    <w:tmpl w:val="8CFE528A"/>
    <w:lvl w:ilvl="0" w:tplc="06206866">
      <w:start w:val="1"/>
      <w:numFmt w:val="bullet"/>
      <w:lvlText w:val="-"/>
      <w:lvlJc w:val="left"/>
      <w:pPr>
        <w:tabs>
          <w:tab w:val="num" w:pos="720"/>
        </w:tabs>
        <w:ind w:left="720" w:hanging="360"/>
      </w:pPr>
      <w:rPr>
        <w:rFonts w:ascii="@MS Mincho" w:eastAsia="@MS Mincho" w:hAnsi="@MS Mincho" w:cs="@MS Mincho"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D80DBD"/>
    <w:multiLevelType w:val="hybridMultilevel"/>
    <w:tmpl w:val="73D8A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E69D2"/>
    <w:multiLevelType w:val="hybridMultilevel"/>
    <w:tmpl w:val="D3A26B9A"/>
    <w:lvl w:ilvl="0" w:tplc="06206866">
      <w:start w:val="1"/>
      <w:numFmt w:val="bullet"/>
      <w:lvlText w:val="-"/>
      <w:lvlJc w:val="left"/>
      <w:pPr>
        <w:tabs>
          <w:tab w:val="num" w:pos="720"/>
        </w:tabs>
        <w:ind w:left="720" w:hanging="360"/>
      </w:pPr>
      <w:rPr>
        <w:rFonts w:ascii="@MS Mincho" w:eastAsia="@MS Mincho" w:hAnsi="@MS Mincho" w:cs="@MS Mincho"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44E04"/>
    <w:multiLevelType w:val="hybridMultilevel"/>
    <w:tmpl w:val="8EB42E3A"/>
    <w:lvl w:ilvl="0" w:tplc="6AE8C7FC">
      <w:numFmt w:val="bullet"/>
      <w:lvlText w:val="-"/>
      <w:lvlJc w:val="left"/>
      <w:pPr>
        <w:ind w:left="720" w:hanging="360"/>
      </w:pPr>
      <w:rPr>
        <w:rFonts w:ascii="Calibri" w:eastAsia="Times New Roman" w:hAnsi="Calibri" w:cs="Times New Roman"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7D45C6E"/>
    <w:multiLevelType w:val="hybridMultilevel"/>
    <w:tmpl w:val="572EE280"/>
    <w:lvl w:ilvl="0" w:tplc="06206866">
      <w:start w:val="1"/>
      <w:numFmt w:val="bullet"/>
      <w:lvlText w:val="-"/>
      <w:lvlJc w:val="left"/>
      <w:pPr>
        <w:tabs>
          <w:tab w:val="num" w:pos="720"/>
        </w:tabs>
        <w:ind w:left="720" w:hanging="360"/>
      </w:pPr>
      <w:rPr>
        <w:rFonts w:ascii="@MS Mincho" w:eastAsia="@MS Mincho" w:hAnsi="@MS Mincho" w:cs="@MS Mincho"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3966EF"/>
    <w:multiLevelType w:val="hybridMultilevel"/>
    <w:tmpl w:val="5E44C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D451B6D"/>
    <w:multiLevelType w:val="hybridMultilevel"/>
    <w:tmpl w:val="9438A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9"/>
  </w:num>
  <w:num w:numId="5">
    <w:abstractNumId w:val="6"/>
  </w:num>
  <w:num w:numId="6">
    <w:abstractNumId w:val="8"/>
  </w:num>
  <w:num w:numId="7">
    <w:abstractNumId w:val="0"/>
  </w:num>
  <w:num w:numId="8">
    <w:abstractNumId w:val="13"/>
  </w:num>
  <w:num w:numId="9">
    <w:abstractNumId w:val="10"/>
  </w:num>
  <w:num w:numId="10">
    <w:abstractNumId w:val="3"/>
  </w:num>
  <w:num w:numId="11">
    <w:abstractNumId w:val="4"/>
  </w:num>
  <w:num w:numId="12">
    <w:abstractNumId w:val="5"/>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14"/>
    <w:rsid w:val="00004A88"/>
    <w:rsid w:val="00005C2F"/>
    <w:rsid w:val="00036A18"/>
    <w:rsid w:val="00037805"/>
    <w:rsid w:val="00042ADB"/>
    <w:rsid w:val="00047D34"/>
    <w:rsid w:val="0007598D"/>
    <w:rsid w:val="0008147F"/>
    <w:rsid w:val="00094DC7"/>
    <w:rsid w:val="00095AC0"/>
    <w:rsid w:val="000A3E80"/>
    <w:rsid w:val="000B368D"/>
    <w:rsid w:val="000B4610"/>
    <w:rsid w:val="000F3EC8"/>
    <w:rsid w:val="00110722"/>
    <w:rsid w:val="001C1A25"/>
    <w:rsid w:val="001C5790"/>
    <w:rsid w:val="001F419C"/>
    <w:rsid w:val="00224E1E"/>
    <w:rsid w:val="00255A4C"/>
    <w:rsid w:val="00264791"/>
    <w:rsid w:val="00282A1D"/>
    <w:rsid w:val="00284D1E"/>
    <w:rsid w:val="0029031B"/>
    <w:rsid w:val="002C1854"/>
    <w:rsid w:val="002E3424"/>
    <w:rsid w:val="00324D91"/>
    <w:rsid w:val="003627EA"/>
    <w:rsid w:val="0037353D"/>
    <w:rsid w:val="003745A3"/>
    <w:rsid w:val="0039187D"/>
    <w:rsid w:val="003A5963"/>
    <w:rsid w:val="003A75A5"/>
    <w:rsid w:val="003B1744"/>
    <w:rsid w:val="003E5A06"/>
    <w:rsid w:val="003E5F4D"/>
    <w:rsid w:val="00403241"/>
    <w:rsid w:val="004267FF"/>
    <w:rsid w:val="00465743"/>
    <w:rsid w:val="0047264E"/>
    <w:rsid w:val="00483C11"/>
    <w:rsid w:val="004A4053"/>
    <w:rsid w:val="004D63A3"/>
    <w:rsid w:val="005023DE"/>
    <w:rsid w:val="005079D9"/>
    <w:rsid w:val="00513ADF"/>
    <w:rsid w:val="005332D4"/>
    <w:rsid w:val="00547540"/>
    <w:rsid w:val="00576E37"/>
    <w:rsid w:val="005F6314"/>
    <w:rsid w:val="00624F38"/>
    <w:rsid w:val="00634D41"/>
    <w:rsid w:val="00637745"/>
    <w:rsid w:val="00691D2E"/>
    <w:rsid w:val="006E7008"/>
    <w:rsid w:val="006F2D5A"/>
    <w:rsid w:val="006F4E02"/>
    <w:rsid w:val="007411D4"/>
    <w:rsid w:val="0075268A"/>
    <w:rsid w:val="00776BFB"/>
    <w:rsid w:val="007D349F"/>
    <w:rsid w:val="007D4D5B"/>
    <w:rsid w:val="007F0F29"/>
    <w:rsid w:val="007F41D2"/>
    <w:rsid w:val="007F6811"/>
    <w:rsid w:val="008001D2"/>
    <w:rsid w:val="008036B1"/>
    <w:rsid w:val="0082364D"/>
    <w:rsid w:val="008358E3"/>
    <w:rsid w:val="008529CD"/>
    <w:rsid w:val="00863635"/>
    <w:rsid w:val="00865BE8"/>
    <w:rsid w:val="008702FF"/>
    <w:rsid w:val="00870BBA"/>
    <w:rsid w:val="008A3E90"/>
    <w:rsid w:val="008B2E14"/>
    <w:rsid w:val="008B755B"/>
    <w:rsid w:val="008C19FF"/>
    <w:rsid w:val="008C296B"/>
    <w:rsid w:val="008C4079"/>
    <w:rsid w:val="008D299D"/>
    <w:rsid w:val="008F2CA1"/>
    <w:rsid w:val="0091593B"/>
    <w:rsid w:val="00920A2E"/>
    <w:rsid w:val="00926C66"/>
    <w:rsid w:val="00936949"/>
    <w:rsid w:val="00944D5F"/>
    <w:rsid w:val="009623A6"/>
    <w:rsid w:val="00985916"/>
    <w:rsid w:val="009B234D"/>
    <w:rsid w:val="009B39C4"/>
    <w:rsid w:val="009C5C28"/>
    <w:rsid w:val="009C5D8A"/>
    <w:rsid w:val="009E02CA"/>
    <w:rsid w:val="009F397F"/>
    <w:rsid w:val="009F7A6D"/>
    <w:rsid w:val="00A913EE"/>
    <w:rsid w:val="00AB71C3"/>
    <w:rsid w:val="00AF104C"/>
    <w:rsid w:val="00AF555F"/>
    <w:rsid w:val="00B6237E"/>
    <w:rsid w:val="00B72FA0"/>
    <w:rsid w:val="00B737C6"/>
    <w:rsid w:val="00B90E74"/>
    <w:rsid w:val="00B9130D"/>
    <w:rsid w:val="00B92D1A"/>
    <w:rsid w:val="00BA72BB"/>
    <w:rsid w:val="00BD02BA"/>
    <w:rsid w:val="00BD1277"/>
    <w:rsid w:val="00BD33F7"/>
    <w:rsid w:val="00BF0455"/>
    <w:rsid w:val="00BF6405"/>
    <w:rsid w:val="00BF7EC2"/>
    <w:rsid w:val="00C00639"/>
    <w:rsid w:val="00C010BE"/>
    <w:rsid w:val="00C16EBF"/>
    <w:rsid w:val="00C37420"/>
    <w:rsid w:val="00C63708"/>
    <w:rsid w:val="00C90ADC"/>
    <w:rsid w:val="00C92155"/>
    <w:rsid w:val="00CC295A"/>
    <w:rsid w:val="00CE535E"/>
    <w:rsid w:val="00CF0200"/>
    <w:rsid w:val="00D0454C"/>
    <w:rsid w:val="00D2676F"/>
    <w:rsid w:val="00D31FD8"/>
    <w:rsid w:val="00D4024B"/>
    <w:rsid w:val="00D43FF3"/>
    <w:rsid w:val="00DC3F43"/>
    <w:rsid w:val="00DF58EC"/>
    <w:rsid w:val="00E31FCE"/>
    <w:rsid w:val="00E674AC"/>
    <w:rsid w:val="00E70635"/>
    <w:rsid w:val="00E70D6E"/>
    <w:rsid w:val="00E949B1"/>
    <w:rsid w:val="00EA0FB2"/>
    <w:rsid w:val="00EB5D0C"/>
    <w:rsid w:val="00ED23D6"/>
    <w:rsid w:val="00ED46AA"/>
    <w:rsid w:val="00F25A61"/>
    <w:rsid w:val="00F3399C"/>
    <w:rsid w:val="00F44C27"/>
    <w:rsid w:val="00F64945"/>
    <w:rsid w:val="00F76BEB"/>
    <w:rsid w:val="00F85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7C27"/>
  <w15:docId w15:val="{20B569DF-A9DD-4ED5-AAC7-77A80306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14"/>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37"/>
    <w:pPr>
      <w:ind w:left="720"/>
      <w:contextualSpacing/>
    </w:pPr>
  </w:style>
  <w:style w:type="character" w:styleId="Hyperlink">
    <w:name w:val="Hyperlink"/>
    <w:uiPriority w:val="99"/>
    <w:unhideWhenUsed/>
    <w:rsid w:val="00D43FF3"/>
    <w:rPr>
      <w:color w:val="0000FF"/>
      <w:u w:val="single"/>
    </w:rPr>
  </w:style>
  <w:style w:type="paragraph" w:styleId="BalloonText">
    <w:name w:val="Balloon Text"/>
    <w:basedOn w:val="Normal"/>
    <w:link w:val="BalloonTextChar"/>
    <w:uiPriority w:val="99"/>
    <w:semiHidden/>
    <w:unhideWhenUsed/>
    <w:rsid w:val="00CE535E"/>
    <w:rPr>
      <w:rFonts w:ascii="Tahoma" w:hAnsi="Tahoma"/>
      <w:sz w:val="16"/>
      <w:szCs w:val="16"/>
    </w:rPr>
  </w:style>
  <w:style w:type="character" w:customStyle="1" w:styleId="BalloonTextChar">
    <w:name w:val="Balloon Text Char"/>
    <w:link w:val="BalloonText"/>
    <w:uiPriority w:val="99"/>
    <w:semiHidden/>
    <w:rsid w:val="00CE535E"/>
    <w:rPr>
      <w:rFonts w:ascii="Tahoma" w:eastAsia="Times New Roman" w:hAnsi="Tahoma" w:cs="Tahoma"/>
      <w:sz w:val="16"/>
      <w:szCs w:val="16"/>
      <w:lang w:val="en-US" w:eastAsia="en-US"/>
    </w:rPr>
  </w:style>
  <w:style w:type="character" w:styleId="CommentReference">
    <w:name w:val="annotation reference"/>
    <w:uiPriority w:val="99"/>
    <w:semiHidden/>
    <w:unhideWhenUsed/>
    <w:rsid w:val="00F3399C"/>
    <w:rPr>
      <w:sz w:val="16"/>
      <w:szCs w:val="16"/>
    </w:rPr>
  </w:style>
  <w:style w:type="paragraph" w:styleId="CommentText">
    <w:name w:val="annotation text"/>
    <w:basedOn w:val="Normal"/>
    <w:link w:val="CommentTextChar"/>
    <w:uiPriority w:val="99"/>
    <w:semiHidden/>
    <w:unhideWhenUsed/>
    <w:rsid w:val="00F3399C"/>
    <w:rPr>
      <w:sz w:val="20"/>
      <w:szCs w:val="20"/>
    </w:rPr>
  </w:style>
  <w:style w:type="character" w:customStyle="1" w:styleId="CommentTextChar">
    <w:name w:val="Comment Text Char"/>
    <w:link w:val="CommentText"/>
    <w:uiPriority w:val="99"/>
    <w:semiHidden/>
    <w:rsid w:val="00F3399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3399C"/>
    <w:rPr>
      <w:b/>
      <w:bCs/>
    </w:rPr>
  </w:style>
  <w:style w:type="character" w:customStyle="1" w:styleId="CommentSubjectChar">
    <w:name w:val="Comment Subject Char"/>
    <w:link w:val="CommentSubject"/>
    <w:uiPriority w:val="99"/>
    <w:semiHidden/>
    <w:rsid w:val="00F3399C"/>
    <w:rPr>
      <w:rFonts w:ascii="Times New Roman" w:eastAsia="Times New Roman" w:hAnsi="Times New Roman"/>
      <w:b/>
      <w:bCs/>
      <w:lang w:val="en-US" w:eastAsia="en-US"/>
    </w:rPr>
  </w:style>
  <w:style w:type="paragraph" w:styleId="Header">
    <w:name w:val="header"/>
    <w:basedOn w:val="Normal"/>
    <w:link w:val="HeaderChar"/>
    <w:uiPriority w:val="99"/>
    <w:unhideWhenUsed/>
    <w:rsid w:val="003E5F4D"/>
    <w:pPr>
      <w:tabs>
        <w:tab w:val="center" w:pos="4513"/>
        <w:tab w:val="right" w:pos="9026"/>
      </w:tabs>
    </w:pPr>
  </w:style>
  <w:style w:type="character" w:customStyle="1" w:styleId="HeaderChar">
    <w:name w:val="Header Char"/>
    <w:link w:val="Header"/>
    <w:uiPriority w:val="99"/>
    <w:rsid w:val="003E5F4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E5F4D"/>
    <w:pPr>
      <w:tabs>
        <w:tab w:val="center" w:pos="4513"/>
        <w:tab w:val="right" w:pos="9026"/>
      </w:tabs>
    </w:pPr>
  </w:style>
  <w:style w:type="character" w:customStyle="1" w:styleId="FooterChar">
    <w:name w:val="Footer Char"/>
    <w:link w:val="Footer"/>
    <w:uiPriority w:val="99"/>
    <w:rsid w:val="003E5F4D"/>
    <w:rPr>
      <w:rFonts w:ascii="Times New Roman" w:eastAsia="Times New Roman" w:hAnsi="Times New Roman"/>
      <w:sz w:val="24"/>
      <w:szCs w:val="24"/>
      <w:lang w:val="en-US" w:eastAsia="en-US"/>
    </w:rPr>
  </w:style>
  <w:style w:type="paragraph" w:styleId="PlainText">
    <w:name w:val="Plain Text"/>
    <w:basedOn w:val="Normal"/>
    <w:link w:val="PlainTextChar"/>
    <w:uiPriority w:val="99"/>
    <w:unhideWhenUsed/>
    <w:rsid w:val="001F419C"/>
    <w:rPr>
      <w:rFonts w:ascii="Calibri" w:eastAsia="Calibri" w:hAnsi="Calibri"/>
      <w:color w:val="002060"/>
    </w:rPr>
  </w:style>
  <w:style w:type="character" w:customStyle="1" w:styleId="PlainTextChar">
    <w:name w:val="Plain Text Char"/>
    <w:link w:val="PlainText"/>
    <w:uiPriority w:val="99"/>
    <w:rsid w:val="001F419C"/>
    <w:rPr>
      <w:color w:val="00206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37765">
      <w:bodyDiv w:val="1"/>
      <w:marLeft w:val="0"/>
      <w:marRight w:val="0"/>
      <w:marTop w:val="0"/>
      <w:marBottom w:val="0"/>
      <w:divBdr>
        <w:top w:val="none" w:sz="0" w:space="0" w:color="auto"/>
        <w:left w:val="none" w:sz="0" w:space="0" w:color="auto"/>
        <w:bottom w:val="none" w:sz="0" w:space="0" w:color="auto"/>
        <w:right w:val="none" w:sz="0" w:space="0" w:color="auto"/>
      </w:divBdr>
    </w:div>
    <w:div w:id="856965905">
      <w:bodyDiv w:val="1"/>
      <w:marLeft w:val="0"/>
      <w:marRight w:val="0"/>
      <w:marTop w:val="0"/>
      <w:marBottom w:val="0"/>
      <w:divBdr>
        <w:top w:val="none" w:sz="0" w:space="0" w:color="auto"/>
        <w:left w:val="none" w:sz="0" w:space="0" w:color="auto"/>
        <w:bottom w:val="none" w:sz="0" w:space="0" w:color="auto"/>
        <w:right w:val="none" w:sz="0" w:space="0" w:color="auto"/>
      </w:divBdr>
    </w:div>
    <w:div w:id="9875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Documents/Publications/PovertyStrategiesen.pdf" TargetMode="External"/><Relationship Id="rId13" Type="http://schemas.openxmlformats.org/officeDocument/2006/relationships/hyperlink" Target="http://www.ohchr.org/Documents/Countries/NHRI/1950-UNDP-UHCHR-Toolkit-LR.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e@kofoedsskole.dk" TargetMode="External"/><Relationship Id="rId12" Type="http://schemas.openxmlformats.org/officeDocument/2006/relationships/hyperlink" Target="http://www.ohchr.org/Documents/Publications/PovertyReductione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quineteurope.org/IMG/pdf/economic_and_social_rights_electronic-3.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content/dam/aplaws/publication/en/publications/democratic-governance/dg-publications-for-website/poverty-reduction-and-human-rights-practice-note/HRPN_(poverty)En.pdf" TargetMode="External"/><Relationship Id="rId5" Type="http://schemas.openxmlformats.org/officeDocument/2006/relationships/footnotes" Target="footnotes.xml"/><Relationship Id="rId15" Type="http://schemas.openxmlformats.org/officeDocument/2006/relationships/hyperlink" Target="http://www.eapn.ie/eapn/wp-content/uploads/2009/10/handbook-on-using-a-human-rights-approach-to-achieve-social-inclusion-and-equality.pdf" TargetMode="External"/><Relationship Id="rId10" Type="http://schemas.openxmlformats.org/officeDocument/2006/relationships/hyperlink" Target="http://www.un.org/disabilities/documents/workshops/principles-guidelines-hr.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1.umn.edu/humanrts/instree/povertyreductionguidelines.html" TargetMode="External"/><Relationship Id="rId14" Type="http://schemas.openxmlformats.org/officeDocument/2006/relationships/hyperlink" Target="http://www.cesr.org/downloads/CESR%20Briefing%20-%20Human%20Rights%20and%20Poverty%20-%20Draft%20December%202009.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1714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11120</CharactersWithSpaces>
  <SharedDoc>false</SharedDoc>
  <HLinks>
    <vt:vector size="6" baseType="variant">
      <vt:variant>
        <vt:i4>4063244</vt:i4>
      </vt:variant>
      <vt:variant>
        <vt:i4>0</vt:i4>
      </vt:variant>
      <vt:variant>
        <vt:i4>0</vt:i4>
      </vt:variant>
      <vt:variant>
        <vt:i4>5</vt:i4>
      </vt:variant>
      <vt:variant>
        <vt:lpwstr>mailto:bmarija63@gmail.com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Jones</dc:creator>
  <cp:lastModifiedBy>Rebecca Lee</cp:lastModifiedBy>
  <cp:revision>4</cp:revision>
  <dcterms:created xsi:type="dcterms:W3CDTF">2016-01-26T13:44:00Z</dcterms:created>
  <dcterms:modified xsi:type="dcterms:W3CDTF">2016-06-10T09:56:00Z</dcterms:modified>
</cp:coreProperties>
</file>