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9EE4" w14:textId="77777777" w:rsidR="00B778E8" w:rsidRPr="00DA6724" w:rsidRDefault="00083581" w:rsidP="00083581">
      <w:pPr>
        <w:jc w:val="center"/>
        <w:rPr>
          <w:rFonts w:cstheme="minorHAnsi"/>
        </w:rPr>
      </w:pPr>
      <w:r w:rsidRPr="00DA6724">
        <w:rPr>
          <w:rFonts w:cstheme="minorHAnsi"/>
          <w:b/>
          <w:noProof/>
          <w:lang w:eastAsia="en-GB"/>
        </w:rPr>
        <w:drawing>
          <wp:inline distT="0" distB="0" distL="0" distR="0" wp14:anchorId="787899B6" wp14:editId="45ADCA16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B6B6B" w14:textId="77777777" w:rsidR="007F69EF" w:rsidRPr="00DA6724" w:rsidRDefault="007F69EF" w:rsidP="00B778E8">
      <w:pPr>
        <w:jc w:val="center"/>
        <w:rPr>
          <w:rFonts w:eastAsia="Times New Roman" w:cstheme="minorHAnsi"/>
          <w:b/>
        </w:rPr>
      </w:pPr>
      <w:bookmarkStart w:id="0" w:name="_Hlk503953892"/>
      <w:r w:rsidRPr="00DA6724">
        <w:rPr>
          <w:rFonts w:eastAsia="Times New Roman" w:cstheme="minorHAnsi"/>
          <w:b/>
        </w:rPr>
        <w:t>Notes of</w:t>
      </w:r>
      <w:r w:rsidR="00B778E8" w:rsidRPr="00DA6724">
        <w:rPr>
          <w:rFonts w:eastAsia="Times New Roman" w:cstheme="minorHAnsi"/>
          <w:b/>
        </w:rPr>
        <w:t xml:space="preserve"> Bureau meeting </w:t>
      </w:r>
      <w:bookmarkEnd w:id="0"/>
    </w:p>
    <w:p w14:paraId="1714B281" w14:textId="77777777" w:rsidR="00B778E8" w:rsidRPr="00DA6724" w:rsidRDefault="007F69EF" w:rsidP="00B778E8">
      <w:pPr>
        <w:jc w:val="center"/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 xml:space="preserve"> 23</w:t>
      </w:r>
      <w:r w:rsidR="00ED040C" w:rsidRPr="00DA6724">
        <w:rPr>
          <w:rFonts w:eastAsia="Times New Roman" w:cstheme="minorHAnsi"/>
          <w:b/>
        </w:rPr>
        <w:t xml:space="preserve"> May </w:t>
      </w:r>
      <w:r w:rsidR="00B778E8" w:rsidRPr="00DA6724">
        <w:rPr>
          <w:rFonts w:eastAsia="Times New Roman" w:cstheme="minorHAnsi"/>
          <w:b/>
        </w:rPr>
        <w:t>2018</w:t>
      </w:r>
      <w:r w:rsidR="00083581" w:rsidRPr="00DA6724">
        <w:rPr>
          <w:rFonts w:eastAsia="Times New Roman" w:cstheme="minorHAnsi"/>
          <w:b/>
        </w:rPr>
        <w:t xml:space="preserve">, </w:t>
      </w:r>
      <w:r w:rsidR="00B778E8" w:rsidRPr="00DA6724">
        <w:rPr>
          <w:rFonts w:eastAsia="Times New Roman" w:cstheme="minorHAnsi"/>
          <w:b/>
        </w:rPr>
        <w:t>10 – 11 30 CET</w:t>
      </w:r>
    </w:p>
    <w:p w14:paraId="1010AF0C" w14:textId="77777777" w:rsidR="007F69EF" w:rsidRPr="00DA6724" w:rsidRDefault="00D16ABD" w:rsidP="00B778E8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 xml:space="preserve">Participants: </w:t>
      </w:r>
      <w:r w:rsidR="007F69EF" w:rsidRPr="00DA6724">
        <w:rPr>
          <w:rFonts w:eastAsia="Times New Roman" w:cstheme="minorHAnsi"/>
          <w:b/>
        </w:rPr>
        <w:t>Sergio, Carlos, Maria, Leo</w:t>
      </w:r>
    </w:p>
    <w:p w14:paraId="6B180AF7" w14:textId="77777777" w:rsidR="00D16ABD" w:rsidRPr="00DA6724" w:rsidRDefault="00D16ABD" w:rsidP="00B778E8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Apologies: Peter, Vilborg, Jasmina, Saviour</w:t>
      </w:r>
    </w:p>
    <w:p w14:paraId="14699AFF" w14:textId="77777777" w:rsidR="00B778E8" w:rsidRPr="00DA6724" w:rsidRDefault="00B778E8" w:rsidP="00B778E8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Notes of last meeting</w:t>
      </w:r>
    </w:p>
    <w:p w14:paraId="326BE674" w14:textId="77777777" w:rsidR="007F69EF" w:rsidRPr="00DA6724" w:rsidRDefault="007F69EF" w:rsidP="00B778E8">
      <w:pPr>
        <w:rPr>
          <w:rFonts w:eastAsia="Times New Roman" w:cstheme="minorHAnsi"/>
        </w:rPr>
      </w:pPr>
      <w:r w:rsidRPr="00DA6724">
        <w:rPr>
          <w:rFonts w:eastAsia="Times New Roman" w:cstheme="minorHAnsi"/>
        </w:rPr>
        <w:t>Agreed</w:t>
      </w:r>
      <w:r w:rsidR="00D16ABD" w:rsidRPr="00DA6724">
        <w:rPr>
          <w:rFonts w:eastAsia="Times New Roman" w:cstheme="minorHAnsi"/>
        </w:rPr>
        <w:t>, removing the reference to using the 2012 process for if there are more than 2 candidates for the role of President.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D16ABD" w:rsidRPr="00DA6724" w14:paraId="4A9DDD8E" w14:textId="77777777" w:rsidTr="00B8562A">
        <w:tc>
          <w:tcPr>
            <w:tcW w:w="14668" w:type="dxa"/>
            <w:gridSpan w:val="3"/>
          </w:tcPr>
          <w:p w14:paraId="7074C45B" w14:textId="77777777" w:rsidR="00D16ABD" w:rsidRPr="00DA6724" w:rsidRDefault="00D16ABD" w:rsidP="00B778E8">
            <w:pPr>
              <w:rPr>
                <w:rFonts w:eastAsia="Times New Roman" w:cstheme="minorHAnsi"/>
                <w:b/>
              </w:rPr>
            </w:pPr>
            <w:r w:rsidRPr="00DA6724">
              <w:rPr>
                <w:rFonts w:eastAsia="Times New Roman" w:cstheme="minorHAnsi"/>
                <w:b/>
              </w:rPr>
              <w:t>Action</w:t>
            </w:r>
          </w:p>
        </w:tc>
      </w:tr>
      <w:tr w:rsidR="00D16ABD" w:rsidRPr="00DA6724" w14:paraId="0EBFFC99" w14:textId="77777777" w:rsidTr="00D16ABD">
        <w:tc>
          <w:tcPr>
            <w:tcW w:w="4889" w:type="dxa"/>
          </w:tcPr>
          <w:p w14:paraId="25496C3A" w14:textId="77777777" w:rsidR="00D16ABD" w:rsidRPr="00DA6724" w:rsidRDefault="00D16ABD" w:rsidP="00B778E8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A1. Locate relevant documents on election process</w:t>
            </w:r>
          </w:p>
        </w:tc>
        <w:tc>
          <w:tcPr>
            <w:tcW w:w="4889" w:type="dxa"/>
          </w:tcPr>
          <w:p w14:paraId="0CC9A62B" w14:textId="77777777" w:rsidR="00D16ABD" w:rsidRPr="00DA6724" w:rsidRDefault="00D16ABD" w:rsidP="00B778E8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Leo</w:t>
            </w:r>
          </w:p>
        </w:tc>
        <w:tc>
          <w:tcPr>
            <w:tcW w:w="4890" w:type="dxa"/>
          </w:tcPr>
          <w:p w14:paraId="2EF882D5" w14:textId="77777777" w:rsidR="00D16ABD" w:rsidRPr="00DA6724" w:rsidRDefault="00D16ABD" w:rsidP="00B778E8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End May</w:t>
            </w:r>
          </w:p>
        </w:tc>
      </w:tr>
    </w:tbl>
    <w:p w14:paraId="764A3D8A" w14:textId="77777777" w:rsidR="00D16ABD" w:rsidRPr="00DA6724" w:rsidRDefault="00D16ABD" w:rsidP="00B778E8">
      <w:pPr>
        <w:rPr>
          <w:rFonts w:eastAsia="Times New Roman" w:cstheme="minorHAnsi"/>
        </w:rPr>
      </w:pPr>
    </w:p>
    <w:p w14:paraId="1927CDAC" w14:textId="77777777" w:rsidR="00B778E8" w:rsidRPr="00DA6724" w:rsidRDefault="00B778E8" w:rsidP="00B778E8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US"/>
        </w:rPr>
      </w:pPr>
      <w:r w:rsidRPr="00DA6724">
        <w:rPr>
          <w:rFonts w:asciiTheme="minorHAnsi" w:hAnsiTheme="minorHAnsi" w:cstheme="minorHAnsi"/>
          <w:b/>
          <w:sz w:val="22"/>
          <w:szCs w:val="22"/>
          <w:lang w:val="en-GB"/>
        </w:rPr>
        <w:t xml:space="preserve">10 05 – 10 </w:t>
      </w:r>
      <w:proofErr w:type="gramStart"/>
      <w:r w:rsidR="00083581" w:rsidRPr="00DA6724">
        <w:rPr>
          <w:rFonts w:asciiTheme="minorHAnsi" w:hAnsiTheme="minorHAnsi" w:cstheme="minorHAnsi"/>
          <w:b/>
          <w:sz w:val="22"/>
          <w:szCs w:val="22"/>
          <w:lang w:val="en-GB"/>
        </w:rPr>
        <w:t>25</w:t>
      </w:r>
      <w:r w:rsidRPr="00DA672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="00ED040C" w:rsidRPr="00DA6724">
        <w:rPr>
          <w:rFonts w:asciiTheme="minorHAnsi" w:hAnsiTheme="minorHAnsi" w:cstheme="minorHAnsi"/>
          <w:b/>
          <w:sz w:val="22"/>
          <w:szCs w:val="22"/>
          <w:lang w:val="en-GB"/>
        </w:rPr>
        <w:t>July</w:t>
      </w:r>
      <w:proofErr w:type="gramEnd"/>
      <w:r w:rsidR="00ED040C" w:rsidRPr="00DA672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Ex Co</w:t>
      </w:r>
      <w:r w:rsidR="00083581" w:rsidRPr="00DA672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planning</w:t>
      </w:r>
    </w:p>
    <w:p w14:paraId="270A00C0" w14:textId="77777777" w:rsidR="00D16ABD" w:rsidRPr="00DA6724" w:rsidRDefault="00D16ABD" w:rsidP="00B778E8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Key points from discussion</w:t>
      </w:r>
    </w:p>
    <w:p w14:paraId="45CB813E" w14:textId="77777777" w:rsidR="00D16ABD" w:rsidRPr="00DA6724" w:rsidRDefault="00D16ABD" w:rsidP="00D16ABD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 w:rsidRPr="00DA6724">
        <w:rPr>
          <w:rFonts w:eastAsia="Times New Roman" w:cstheme="minorHAnsi"/>
        </w:rPr>
        <w:t>Need to include space for an evaluation of the Policy Conference</w:t>
      </w:r>
    </w:p>
    <w:p w14:paraId="2B2A09E8" w14:textId="77777777" w:rsidR="00FC1EBA" w:rsidRPr="00DA6724" w:rsidRDefault="00D16ABD" w:rsidP="00FC1EBA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 w:rsidRPr="00DA6724">
        <w:rPr>
          <w:rFonts w:eastAsia="Times New Roman" w:cstheme="minorHAnsi"/>
        </w:rPr>
        <w:t>Bureau will need a background document about risk management (budgets, cashflow, staffing) in advance of the Ex Co discussion</w:t>
      </w:r>
      <w:r w:rsidR="00FC1EBA" w:rsidRPr="00DA6724">
        <w:rPr>
          <w:rFonts w:eastAsia="Times New Roman" w:cstheme="minorHAnsi"/>
        </w:rPr>
        <w:t xml:space="preserve"> – though we might consider allocating slightly less time than proposed to this</w:t>
      </w:r>
    </w:p>
    <w:p w14:paraId="06CACFB8" w14:textId="77777777" w:rsidR="00D16ABD" w:rsidRPr="00DA6724" w:rsidRDefault="00D16ABD" w:rsidP="00D16ABD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 w:rsidRPr="00DA6724">
        <w:rPr>
          <w:rFonts w:eastAsia="Times New Roman" w:cstheme="minorHAnsi"/>
        </w:rPr>
        <w:t>Need an update on projects (including Re-invest), as well as a consideration of EMIN3, EEA and DEAR funding options. It will be important to take our time for EMIN3 and DEAR – we need to avoid rushing decisions through without giving them the proper consideration.</w:t>
      </w:r>
    </w:p>
    <w:p w14:paraId="2D8F6F6E" w14:textId="77777777" w:rsidR="00D16ABD" w:rsidRPr="00DA6724" w:rsidRDefault="00D16ABD" w:rsidP="00B778E8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D16ABD" w:rsidRPr="00DA6724" w14:paraId="49EBBEB0" w14:textId="77777777" w:rsidTr="00D16ABD">
        <w:tc>
          <w:tcPr>
            <w:tcW w:w="14668" w:type="dxa"/>
            <w:gridSpan w:val="3"/>
          </w:tcPr>
          <w:p w14:paraId="72B2A187" w14:textId="77777777" w:rsidR="00D16ABD" w:rsidRPr="00DA6724" w:rsidRDefault="00D16ABD" w:rsidP="00B778E8">
            <w:pPr>
              <w:rPr>
                <w:rFonts w:eastAsia="Times New Roman" w:cstheme="minorHAnsi"/>
                <w:b/>
              </w:rPr>
            </w:pPr>
            <w:r w:rsidRPr="00DA6724">
              <w:rPr>
                <w:rFonts w:eastAsia="Times New Roman" w:cstheme="minorHAnsi"/>
                <w:b/>
              </w:rPr>
              <w:t>D1. Include a political discussion</w:t>
            </w:r>
            <w:r w:rsidR="00FC1EBA" w:rsidRPr="00DA6724">
              <w:rPr>
                <w:rFonts w:eastAsia="Times New Roman" w:cstheme="minorHAnsi"/>
                <w:b/>
              </w:rPr>
              <w:t xml:space="preserve"> (current political developments at EU level about which we should be aware)</w:t>
            </w:r>
            <w:r w:rsidRPr="00DA6724">
              <w:rPr>
                <w:rFonts w:eastAsia="Times New Roman" w:cstheme="minorHAnsi"/>
                <w:b/>
              </w:rPr>
              <w:t xml:space="preserve"> including the MFF, rather than a discussion of the EAPN Vision and Values, which should come under the Strategic Thinking process</w:t>
            </w:r>
          </w:p>
        </w:tc>
      </w:tr>
      <w:tr w:rsidR="00D16ABD" w:rsidRPr="00DA6724" w14:paraId="249A2BCF" w14:textId="77777777" w:rsidTr="009C53F7">
        <w:tc>
          <w:tcPr>
            <w:tcW w:w="14668" w:type="dxa"/>
            <w:gridSpan w:val="3"/>
          </w:tcPr>
          <w:p w14:paraId="73FF4F82" w14:textId="77777777" w:rsidR="00D16ABD" w:rsidRPr="00DA6724" w:rsidRDefault="00D16ABD" w:rsidP="009C53F7">
            <w:pPr>
              <w:rPr>
                <w:rFonts w:eastAsia="Times New Roman" w:cstheme="minorHAnsi"/>
                <w:b/>
              </w:rPr>
            </w:pPr>
            <w:r w:rsidRPr="00DA6724">
              <w:rPr>
                <w:rFonts w:eastAsia="Times New Roman" w:cstheme="minorHAnsi"/>
                <w:b/>
              </w:rPr>
              <w:lastRenderedPageBreak/>
              <w:t>Action</w:t>
            </w:r>
          </w:p>
        </w:tc>
      </w:tr>
      <w:tr w:rsidR="00D16ABD" w:rsidRPr="00DA6724" w14:paraId="77A50696" w14:textId="77777777" w:rsidTr="009C53F7">
        <w:tc>
          <w:tcPr>
            <w:tcW w:w="4889" w:type="dxa"/>
          </w:tcPr>
          <w:p w14:paraId="498F6829" w14:textId="77777777" w:rsidR="00D16ABD" w:rsidRPr="00DA6724" w:rsidRDefault="00D16ABD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A2. Update risk management table and share with Bureau</w:t>
            </w:r>
          </w:p>
        </w:tc>
        <w:tc>
          <w:tcPr>
            <w:tcW w:w="4889" w:type="dxa"/>
          </w:tcPr>
          <w:p w14:paraId="1D9BBD12" w14:textId="77777777" w:rsidR="00D16ABD" w:rsidRPr="00DA6724" w:rsidRDefault="00D16ABD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Leo</w:t>
            </w:r>
          </w:p>
        </w:tc>
        <w:tc>
          <w:tcPr>
            <w:tcW w:w="4890" w:type="dxa"/>
          </w:tcPr>
          <w:p w14:paraId="7AB11CA6" w14:textId="77777777" w:rsidR="00D16ABD" w:rsidRPr="00DA6724" w:rsidRDefault="00D16ABD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8 June</w:t>
            </w:r>
          </w:p>
        </w:tc>
      </w:tr>
      <w:tr w:rsidR="00FC1EBA" w:rsidRPr="00DA6724" w14:paraId="19FFC6B9" w14:textId="77777777" w:rsidTr="009C53F7">
        <w:tc>
          <w:tcPr>
            <w:tcW w:w="4889" w:type="dxa"/>
          </w:tcPr>
          <w:p w14:paraId="10FA931E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A3. Find space in agenda for projects, and prepare background</w:t>
            </w:r>
          </w:p>
        </w:tc>
        <w:tc>
          <w:tcPr>
            <w:tcW w:w="4889" w:type="dxa"/>
          </w:tcPr>
          <w:p w14:paraId="77EAABA7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Leo, with Magda, Fintan and Sian</w:t>
            </w:r>
          </w:p>
        </w:tc>
        <w:tc>
          <w:tcPr>
            <w:tcW w:w="4890" w:type="dxa"/>
          </w:tcPr>
          <w:p w14:paraId="00C829FF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14 June</w:t>
            </w:r>
          </w:p>
        </w:tc>
      </w:tr>
      <w:tr w:rsidR="00FC1EBA" w:rsidRPr="00DA6724" w14:paraId="297B554D" w14:textId="77777777" w:rsidTr="009C53F7">
        <w:tc>
          <w:tcPr>
            <w:tcW w:w="4889" w:type="dxa"/>
          </w:tcPr>
          <w:p w14:paraId="04776BB2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A4. Prepare the political discussion</w:t>
            </w:r>
          </w:p>
        </w:tc>
        <w:tc>
          <w:tcPr>
            <w:tcW w:w="4889" w:type="dxa"/>
          </w:tcPr>
          <w:p w14:paraId="746B4B63" w14:textId="77777777" w:rsidR="00FC1EBA" w:rsidRPr="00DA6724" w:rsidRDefault="00DA6724" w:rsidP="00DA6724">
            <w:pPr>
              <w:tabs>
                <w:tab w:val="left" w:pos="2970"/>
              </w:tabs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team</w:t>
            </w:r>
          </w:p>
        </w:tc>
        <w:tc>
          <w:tcPr>
            <w:tcW w:w="4890" w:type="dxa"/>
          </w:tcPr>
          <w:p w14:paraId="5338149B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 xml:space="preserve">21 June </w:t>
            </w:r>
          </w:p>
        </w:tc>
      </w:tr>
    </w:tbl>
    <w:p w14:paraId="7B844063" w14:textId="77777777" w:rsidR="00D16ABD" w:rsidRPr="00DA6724" w:rsidRDefault="00D16ABD" w:rsidP="00B778E8">
      <w:pPr>
        <w:rPr>
          <w:rFonts w:eastAsia="Times New Roman" w:cstheme="minorHAnsi"/>
          <w:b/>
        </w:rPr>
      </w:pPr>
    </w:p>
    <w:p w14:paraId="1BA718DE" w14:textId="77777777" w:rsidR="00B778E8" w:rsidRPr="00DA6724" w:rsidRDefault="00ED040C" w:rsidP="00B778E8">
      <w:pPr>
        <w:pStyle w:val="Title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A6724">
        <w:rPr>
          <w:rFonts w:asciiTheme="minorHAnsi" w:hAnsiTheme="minorHAnsi" w:cstheme="minorHAnsi"/>
          <w:b/>
          <w:sz w:val="22"/>
          <w:szCs w:val="22"/>
          <w:lang w:val="en-GB"/>
        </w:rPr>
        <w:t>Finances</w:t>
      </w:r>
      <w:r w:rsidR="00083581" w:rsidRPr="00DA672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priorities</w:t>
      </w:r>
    </w:p>
    <w:p w14:paraId="7471BCB6" w14:textId="77777777" w:rsidR="00FC1EBA" w:rsidRPr="00DA6724" w:rsidRDefault="00FC1EBA" w:rsidP="00FC1EBA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Key points from discussion</w:t>
      </w:r>
    </w:p>
    <w:p w14:paraId="4A617792" w14:textId="1C051389" w:rsidR="00220C87" w:rsidRPr="00DA6724" w:rsidRDefault="00945EBA" w:rsidP="00220C87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>
        <w:rPr>
          <w:rFonts w:eastAsia="Times New Roman" w:cstheme="minorHAnsi"/>
        </w:rPr>
        <w:t>Maria and Carlos</w:t>
      </w:r>
      <w:r w:rsidR="00220C87" w:rsidRPr="00DA6724">
        <w:rPr>
          <w:rFonts w:eastAsia="Times New Roman" w:cstheme="minorHAnsi"/>
        </w:rPr>
        <w:t xml:space="preserve"> do not want to engage in discussions about alter</w:t>
      </w:r>
      <w:r w:rsidR="00DA6724">
        <w:rPr>
          <w:rFonts w:eastAsia="Times New Roman" w:cstheme="minorHAnsi"/>
        </w:rPr>
        <w:t>ing</w:t>
      </w:r>
      <w:r w:rsidR="00220C87" w:rsidRPr="00DA6724">
        <w:rPr>
          <w:rFonts w:eastAsia="Times New Roman" w:cstheme="minorHAnsi"/>
        </w:rPr>
        <w:t xml:space="preserve"> the structure</w:t>
      </w:r>
      <w:r w:rsidR="00DA6724">
        <w:rPr>
          <w:rFonts w:eastAsia="Times New Roman" w:cstheme="minorHAnsi"/>
        </w:rPr>
        <w:t>, size, number of length of meeting</w:t>
      </w:r>
      <w:r w:rsidR="00220C87" w:rsidRPr="00DA6724">
        <w:rPr>
          <w:rFonts w:eastAsia="Times New Roman" w:cstheme="minorHAnsi"/>
        </w:rPr>
        <w:t xml:space="preserve"> of the Ex Co. </w:t>
      </w:r>
    </w:p>
    <w:p w14:paraId="1834F3C8" w14:textId="77777777" w:rsidR="00220C87" w:rsidRPr="00DA6724" w:rsidRDefault="00220C87" w:rsidP="00220C87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 w:rsidRPr="00DA6724">
        <w:rPr>
          <w:rFonts w:eastAsia="Times New Roman" w:cstheme="minorHAnsi"/>
        </w:rPr>
        <w:t>When money is freed up in the future, it would make sense to have procedures for how we decide on reallocations – especially given that the Commission now allows for much more reallocation within and between budget lines.</w:t>
      </w:r>
    </w:p>
    <w:p w14:paraId="42790E08" w14:textId="77777777" w:rsidR="00220C87" w:rsidRPr="00DA6724" w:rsidRDefault="00220C87" w:rsidP="00220C87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 w:rsidRPr="00DA6724">
        <w:rPr>
          <w:rFonts w:eastAsia="Times New Roman" w:cstheme="minorHAnsi"/>
        </w:rPr>
        <w:t>We need to plan how we rebuild our social res</w:t>
      </w:r>
      <w:bookmarkStart w:id="1" w:name="_GoBack"/>
      <w:bookmarkEnd w:id="1"/>
      <w:r w:rsidRPr="00DA6724">
        <w:rPr>
          <w:rFonts w:eastAsia="Times New Roman" w:cstheme="minorHAnsi"/>
        </w:rPr>
        <w:t xml:space="preserve">erves – membership fees are one options, with X% being allocated to the reserves each year. This is a discussion to revisit. </w:t>
      </w:r>
    </w:p>
    <w:p w14:paraId="391C2299" w14:textId="77777777" w:rsidR="00FC1EBA" w:rsidRPr="00DA6724" w:rsidRDefault="00FC1EBA" w:rsidP="00FC1EBA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C1EBA" w:rsidRPr="00DA6724" w14:paraId="3D87040F" w14:textId="77777777" w:rsidTr="00FC1EBA">
        <w:tc>
          <w:tcPr>
            <w:tcW w:w="14668" w:type="dxa"/>
          </w:tcPr>
          <w:p w14:paraId="07680B52" w14:textId="77777777" w:rsidR="00FC1EBA" w:rsidRPr="00DA6724" w:rsidRDefault="00FC1EBA" w:rsidP="00FC1EBA">
            <w:pPr>
              <w:spacing w:after="160" w:line="259" w:lineRule="auto"/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 xml:space="preserve">D3. We should be prudent and allocate half of the </w:t>
            </w:r>
            <w:r w:rsidR="00220C87" w:rsidRPr="00DA6724">
              <w:rPr>
                <w:rFonts w:eastAsia="Times New Roman" w:cstheme="minorHAnsi"/>
              </w:rPr>
              <w:t>35000 euros</w:t>
            </w:r>
            <w:r w:rsidRPr="00DA6724">
              <w:rPr>
                <w:rFonts w:eastAsia="Times New Roman" w:cstheme="minorHAnsi"/>
              </w:rPr>
              <w:t xml:space="preserve"> </w:t>
            </w:r>
            <w:proofErr w:type="gramStart"/>
            <w:r w:rsidRPr="00DA6724">
              <w:rPr>
                <w:rFonts w:eastAsia="Times New Roman" w:cstheme="minorHAnsi"/>
              </w:rPr>
              <w:t>now, and</w:t>
            </w:r>
            <w:proofErr w:type="gramEnd"/>
            <w:r w:rsidRPr="00DA6724">
              <w:rPr>
                <w:rFonts w:eastAsia="Times New Roman" w:cstheme="minorHAnsi"/>
              </w:rPr>
              <w:t xml:space="preserve"> evaluate our savings on 15 June when we know about the national contracts. We prioritise the PeP Support Officer and the Fundraising Training.</w:t>
            </w:r>
          </w:p>
        </w:tc>
      </w:tr>
    </w:tbl>
    <w:p w14:paraId="7FB380EC" w14:textId="77777777" w:rsidR="00FC1EBA" w:rsidRPr="00DA6724" w:rsidRDefault="00FC1EBA" w:rsidP="00FC1EBA">
      <w:pPr>
        <w:rPr>
          <w:rFonts w:eastAsia="Times New Roman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FC1EBA" w:rsidRPr="00DA6724" w14:paraId="71F1DE17" w14:textId="77777777" w:rsidTr="009C53F7">
        <w:tc>
          <w:tcPr>
            <w:tcW w:w="14668" w:type="dxa"/>
            <w:gridSpan w:val="3"/>
          </w:tcPr>
          <w:p w14:paraId="2465D6E5" w14:textId="77777777" w:rsidR="00FC1EBA" w:rsidRPr="00DA6724" w:rsidRDefault="00FC1EBA" w:rsidP="009C53F7">
            <w:pPr>
              <w:rPr>
                <w:rFonts w:eastAsia="Times New Roman" w:cstheme="minorHAnsi"/>
                <w:b/>
              </w:rPr>
            </w:pPr>
            <w:r w:rsidRPr="00DA6724">
              <w:rPr>
                <w:rFonts w:eastAsia="Times New Roman" w:cstheme="minorHAnsi"/>
                <w:b/>
              </w:rPr>
              <w:t>Action</w:t>
            </w:r>
          </w:p>
        </w:tc>
      </w:tr>
      <w:tr w:rsidR="00FC1EBA" w:rsidRPr="00DA6724" w14:paraId="18DAF25C" w14:textId="77777777" w:rsidTr="009C53F7">
        <w:tc>
          <w:tcPr>
            <w:tcW w:w="4889" w:type="dxa"/>
          </w:tcPr>
          <w:p w14:paraId="66E1FC75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</w:t>
            </w:r>
            <w:r w:rsidR="00220C87" w:rsidRPr="00DA6724">
              <w:rPr>
                <w:rFonts w:eastAsia="Times New Roman" w:cstheme="minorHAnsi"/>
              </w:rPr>
              <w:t>5</w:t>
            </w:r>
            <w:r w:rsidRPr="00DA6724">
              <w:rPr>
                <w:rFonts w:eastAsia="Times New Roman" w:cstheme="minorHAnsi"/>
              </w:rPr>
              <w:t xml:space="preserve">. </w:t>
            </w:r>
            <w:r w:rsidR="00220C87" w:rsidRPr="00DA6724">
              <w:rPr>
                <w:rFonts w:eastAsia="Times New Roman" w:cstheme="minorHAnsi"/>
              </w:rPr>
              <w:t>Recruit a PeP Support Officer with the available finance</w:t>
            </w:r>
          </w:p>
        </w:tc>
        <w:tc>
          <w:tcPr>
            <w:tcW w:w="4889" w:type="dxa"/>
          </w:tcPr>
          <w:p w14:paraId="069F081F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Leo</w:t>
            </w:r>
          </w:p>
        </w:tc>
        <w:tc>
          <w:tcPr>
            <w:tcW w:w="4890" w:type="dxa"/>
          </w:tcPr>
          <w:p w14:paraId="1E074B28" w14:textId="77777777" w:rsidR="00FC1EBA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Aim to start in early August</w:t>
            </w:r>
          </w:p>
        </w:tc>
      </w:tr>
      <w:tr w:rsidR="00FC1EBA" w:rsidRPr="00DA6724" w14:paraId="4A9A03F9" w14:textId="77777777" w:rsidTr="009C53F7">
        <w:tc>
          <w:tcPr>
            <w:tcW w:w="4889" w:type="dxa"/>
          </w:tcPr>
          <w:p w14:paraId="22906913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</w:t>
            </w:r>
            <w:r w:rsidR="00220C87" w:rsidRPr="00DA6724">
              <w:rPr>
                <w:rFonts w:eastAsia="Times New Roman" w:cstheme="minorHAnsi"/>
              </w:rPr>
              <w:t>6. Evaluate savings on 15 June</w:t>
            </w:r>
          </w:p>
        </w:tc>
        <w:tc>
          <w:tcPr>
            <w:tcW w:w="4889" w:type="dxa"/>
          </w:tcPr>
          <w:p w14:paraId="191BB37B" w14:textId="77777777" w:rsidR="00FC1EBA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Philippe and Leo</w:t>
            </w:r>
          </w:p>
        </w:tc>
        <w:tc>
          <w:tcPr>
            <w:tcW w:w="4890" w:type="dxa"/>
          </w:tcPr>
          <w:p w14:paraId="56C1244A" w14:textId="77777777" w:rsidR="00FC1EBA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15 June</w:t>
            </w:r>
          </w:p>
        </w:tc>
      </w:tr>
      <w:tr w:rsidR="00FC1EBA" w:rsidRPr="00DA6724" w14:paraId="09502F32" w14:textId="77777777" w:rsidTr="009C53F7">
        <w:tc>
          <w:tcPr>
            <w:tcW w:w="4889" w:type="dxa"/>
          </w:tcPr>
          <w:p w14:paraId="1197402D" w14:textId="77777777" w:rsidR="00FC1EBA" w:rsidRPr="00DA6724" w:rsidRDefault="00FC1EBA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</w:t>
            </w:r>
            <w:r w:rsidR="00220C87" w:rsidRPr="00DA6724">
              <w:rPr>
                <w:rFonts w:eastAsia="Times New Roman" w:cstheme="minorHAnsi"/>
              </w:rPr>
              <w:t>7</w:t>
            </w:r>
            <w:r w:rsidRPr="00DA6724">
              <w:rPr>
                <w:rFonts w:eastAsia="Times New Roman" w:cstheme="minorHAnsi"/>
              </w:rPr>
              <w:t xml:space="preserve">. </w:t>
            </w:r>
            <w:r w:rsidR="00220C87" w:rsidRPr="00DA6724">
              <w:rPr>
                <w:rFonts w:eastAsia="Times New Roman" w:cstheme="minorHAnsi"/>
              </w:rPr>
              <w:t>Draft procedures for future reallocations</w:t>
            </w:r>
          </w:p>
        </w:tc>
        <w:tc>
          <w:tcPr>
            <w:tcW w:w="4889" w:type="dxa"/>
          </w:tcPr>
          <w:p w14:paraId="7285B438" w14:textId="77777777" w:rsidR="00FC1EBA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Treasurers TBC</w:t>
            </w:r>
          </w:p>
        </w:tc>
        <w:tc>
          <w:tcPr>
            <w:tcW w:w="4890" w:type="dxa"/>
          </w:tcPr>
          <w:p w14:paraId="0E5FB930" w14:textId="77777777" w:rsidR="00FC1EBA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TBC</w:t>
            </w:r>
            <w:r w:rsidR="00FC1EBA" w:rsidRPr="00DA6724">
              <w:rPr>
                <w:rFonts w:eastAsia="Times New Roman" w:cstheme="minorHAnsi"/>
              </w:rPr>
              <w:t xml:space="preserve"> </w:t>
            </w:r>
          </w:p>
        </w:tc>
      </w:tr>
      <w:tr w:rsidR="00220C87" w:rsidRPr="00DA6724" w14:paraId="71D58987" w14:textId="77777777" w:rsidTr="009C53F7">
        <w:tc>
          <w:tcPr>
            <w:tcW w:w="4889" w:type="dxa"/>
          </w:tcPr>
          <w:p w14:paraId="642F52F3" w14:textId="77777777" w:rsidR="00220C87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A8. Prepare a future discussion on building up social reserves</w:t>
            </w:r>
          </w:p>
        </w:tc>
        <w:tc>
          <w:tcPr>
            <w:tcW w:w="4889" w:type="dxa"/>
          </w:tcPr>
          <w:p w14:paraId="068E208D" w14:textId="77777777" w:rsidR="00220C87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Treasurers TBC</w:t>
            </w:r>
          </w:p>
        </w:tc>
        <w:tc>
          <w:tcPr>
            <w:tcW w:w="4890" w:type="dxa"/>
          </w:tcPr>
          <w:p w14:paraId="158386C2" w14:textId="77777777" w:rsidR="00220C87" w:rsidRPr="00DA6724" w:rsidRDefault="00220C87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TBC</w:t>
            </w:r>
          </w:p>
        </w:tc>
      </w:tr>
    </w:tbl>
    <w:p w14:paraId="280A0412" w14:textId="77777777" w:rsidR="00890927" w:rsidRDefault="00890927" w:rsidP="00083581">
      <w:pPr>
        <w:rPr>
          <w:rFonts w:eastAsia="Times New Roman" w:cstheme="minorHAnsi"/>
          <w:b/>
        </w:rPr>
      </w:pPr>
    </w:p>
    <w:p w14:paraId="234ADC1D" w14:textId="77777777" w:rsidR="00DA6724" w:rsidRPr="00DA6724" w:rsidRDefault="00DA6724" w:rsidP="00083581">
      <w:pPr>
        <w:rPr>
          <w:rFonts w:eastAsia="Times New Roman" w:cstheme="minorHAnsi"/>
          <w:b/>
        </w:rPr>
      </w:pPr>
    </w:p>
    <w:p w14:paraId="09EB1982" w14:textId="77777777" w:rsidR="00B778E8" w:rsidRPr="00DA6724" w:rsidRDefault="0062718A" w:rsidP="00B778E8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US"/>
        </w:rPr>
      </w:pPr>
      <w:r w:rsidRPr="00DA6724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EAPN and </w:t>
      </w:r>
      <w:hyperlink r:id="rId6" w:history="1">
        <w:r w:rsidRPr="00DA672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 xml:space="preserve">General </w:t>
        </w:r>
        <w:r w:rsidR="001122CB" w:rsidRPr="00DA672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>D</w:t>
        </w:r>
        <w:r w:rsidRPr="00DA672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 xml:space="preserve">ata </w:t>
        </w:r>
        <w:r w:rsidR="001122CB" w:rsidRPr="00DA672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>P</w:t>
        </w:r>
        <w:r w:rsidRPr="00DA672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 xml:space="preserve">rotection </w:t>
        </w:r>
        <w:r w:rsidR="001122CB" w:rsidRPr="00DA672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>R</w:t>
        </w:r>
        <w:r w:rsidRPr="00DA6724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>egulation</w:t>
        </w:r>
      </w:hyperlink>
    </w:p>
    <w:p w14:paraId="1B3E42F5" w14:textId="77777777" w:rsidR="00220C87" w:rsidRPr="00DA6724" w:rsidRDefault="00220C87" w:rsidP="00220C87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Key points from discussion</w:t>
      </w:r>
    </w:p>
    <w:p w14:paraId="3E9B635B" w14:textId="77777777" w:rsidR="00220C87" w:rsidRPr="00DA6724" w:rsidRDefault="00DA6724" w:rsidP="00DA6724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 w:rsidRPr="00DA6724">
        <w:rPr>
          <w:rFonts w:eastAsia="Times New Roman" w:cstheme="minorHAnsi"/>
        </w:rPr>
        <w:t xml:space="preserve">Leo gave an overview of EAPN’s actions to date and </w:t>
      </w:r>
      <w:proofErr w:type="gramStart"/>
      <w:r w:rsidRPr="00DA6724">
        <w:rPr>
          <w:rFonts w:eastAsia="Times New Roman" w:cstheme="minorHAnsi"/>
        </w:rPr>
        <w:t>future plans</w:t>
      </w:r>
      <w:proofErr w:type="gramEnd"/>
      <w:r w:rsidRPr="00DA6724">
        <w:rPr>
          <w:rFonts w:eastAsia="Times New Roman" w:cstheme="minorHAnsi"/>
        </w:rPr>
        <w:t xml:space="preserve"> for GDPR.</w:t>
      </w:r>
    </w:p>
    <w:p w14:paraId="6A3F764B" w14:textId="77777777" w:rsidR="00DA6724" w:rsidRPr="00DA6724" w:rsidRDefault="00DA6724" w:rsidP="00DA6724">
      <w:pPr>
        <w:pStyle w:val="ListParagraph"/>
        <w:numPr>
          <w:ilvl w:val="0"/>
          <w:numId w:val="24"/>
        </w:numPr>
        <w:rPr>
          <w:rFonts w:eastAsia="Times New Roman" w:cstheme="minorHAnsi"/>
        </w:rPr>
      </w:pPr>
      <w:r w:rsidRPr="00DA6724">
        <w:rPr>
          <w:rFonts w:eastAsia="Times New Roman" w:cstheme="minorHAnsi"/>
        </w:rPr>
        <w:t>Different countries are having different interpretations of GDPR, and thus EAPN members will need to follow the legislation in their country. There will not be a ‘one size fits all’ approach.</w:t>
      </w:r>
    </w:p>
    <w:p w14:paraId="1FAA0C17" w14:textId="77777777" w:rsidR="00DA6724" w:rsidRPr="00DA6724" w:rsidRDefault="00DA6724" w:rsidP="00DA6724">
      <w:pPr>
        <w:rPr>
          <w:rFonts w:eastAsia="Times New Roman" w:cstheme="minorHAnsi"/>
          <w:b/>
        </w:rPr>
      </w:pPr>
      <w:r w:rsidRPr="00DA6724">
        <w:rPr>
          <w:rFonts w:eastAsia="Times New Roman" w:cstheme="minorHAnsi"/>
          <w:b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20C87" w:rsidRPr="00DA6724" w14:paraId="34123595" w14:textId="77777777" w:rsidTr="00220C87">
        <w:tc>
          <w:tcPr>
            <w:tcW w:w="14668" w:type="dxa"/>
          </w:tcPr>
          <w:p w14:paraId="599E96F6" w14:textId="77777777" w:rsidR="00220C87" w:rsidRPr="00DA6724" w:rsidRDefault="00DA6724" w:rsidP="00B778E8">
            <w:pPr>
              <w:rPr>
                <w:rFonts w:cstheme="minorHAnsi"/>
              </w:rPr>
            </w:pPr>
            <w:r w:rsidRPr="00DA6724">
              <w:rPr>
                <w:rFonts w:cstheme="minorHAnsi"/>
              </w:rPr>
              <w:t>D4. Bureau agrees with the definition of ‘legitimate interest’ proposed by Rebecca and Leo</w:t>
            </w:r>
          </w:p>
        </w:tc>
      </w:tr>
    </w:tbl>
    <w:p w14:paraId="399E6348" w14:textId="77777777" w:rsidR="00DA6724" w:rsidRPr="00DA6724" w:rsidRDefault="00DA6724" w:rsidP="00B778E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  <w:gridCol w:w="4890"/>
      </w:tblGrid>
      <w:tr w:rsidR="00DA6724" w:rsidRPr="00DA6724" w14:paraId="7B463EA5" w14:textId="77777777" w:rsidTr="009C53F7">
        <w:tc>
          <w:tcPr>
            <w:tcW w:w="14668" w:type="dxa"/>
            <w:gridSpan w:val="3"/>
          </w:tcPr>
          <w:p w14:paraId="0C5385F2" w14:textId="77777777" w:rsidR="00DA6724" w:rsidRPr="00DA6724" w:rsidRDefault="00DA6724" w:rsidP="009C53F7">
            <w:pPr>
              <w:rPr>
                <w:rFonts w:eastAsia="Times New Roman" w:cstheme="minorHAnsi"/>
                <w:b/>
              </w:rPr>
            </w:pPr>
            <w:r w:rsidRPr="00DA6724">
              <w:rPr>
                <w:rFonts w:eastAsia="Times New Roman" w:cstheme="minorHAnsi"/>
                <w:b/>
              </w:rPr>
              <w:t>Action</w:t>
            </w:r>
          </w:p>
        </w:tc>
      </w:tr>
      <w:tr w:rsidR="00DA6724" w:rsidRPr="00DA6724" w14:paraId="4CA84685" w14:textId="77777777" w:rsidTr="009C53F7">
        <w:tc>
          <w:tcPr>
            <w:tcW w:w="4889" w:type="dxa"/>
          </w:tcPr>
          <w:p w14:paraId="50DE46D0" w14:textId="77777777" w:rsidR="00DA6724" w:rsidRPr="00DA6724" w:rsidRDefault="00DA6724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A9. Continue implementing the GDPR plan</w:t>
            </w:r>
          </w:p>
        </w:tc>
        <w:tc>
          <w:tcPr>
            <w:tcW w:w="4889" w:type="dxa"/>
          </w:tcPr>
          <w:p w14:paraId="7A4F719A" w14:textId="77777777" w:rsidR="00DA6724" w:rsidRPr="00DA6724" w:rsidRDefault="00DA6724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Staff team, under leadership of Rebecca, Data Controller.</w:t>
            </w:r>
          </w:p>
        </w:tc>
        <w:tc>
          <w:tcPr>
            <w:tcW w:w="4890" w:type="dxa"/>
          </w:tcPr>
          <w:p w14:paraId="54C60B31" w14:textId="77777777" w:rsidR="00DA6724" w:rsidRPr="00DA6724" w:rsidRDefault="00DA6724" w:rsidP="009C53F7">
            <w:pPr>
              <w:rPr>
                <w:rFonts w:eastAsia="Times New Roman" w:cstheme="minorHAnsi"/>
              </w:rPr>
            </w:pPr>
            <w:r w:rsidRPr="00DA6724">
              <w:rPr>
                <w:rFonts w:eastAsia="Times New Roman" w:cstheme="minorHAnsi"/>
              </w:rPr>
              <w:t>Ongoing</w:t>
            </w:r>
          </w:p>
        </w:tc>
      </w:tr>
    </w:tbl>
    <w:p w14:paraId="6EA62F7C" w14:textId="77777777" w:rsidR="004964C4" w:rsidRPr="00DA6724" w:rsidRDefault="004964C4" w:rsidP="00B778E8">
      <w:pPr>
        <w:rPr>
          <w:rFonts w:cstheme="minorHAnsi"/>
        </w:rPr>
      </w:pPr>
    </w:p>
    <w:sectPr w:rsidR="004964C4" w:rsidRPr="00DA6724" w:rsidSect="0008358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E1E"/>
    <w:multiLevelType w:val="hybridMultilevel"/>
    <w:tmpl w:val="35103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306A"/>
    <w:multiLevelType w:val="hybridMultilevel"/>
    <w:tmpl w:val="143A7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DCD"/>
    <w:multiLevelType w:val="hybridMultilevel"/>
    <w:tmpl w:val="9474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6157"/>
    <w:multiLevelType w:val="hybridMultilevel"/>
    <w:tmpl w:val="3C92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3A83"/>
    <w:multiLevelType w:val="hybridMultilevel"/>
    <w:tmpl w:val="089A6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767D4"/>
    <w:multiLevelType w:val="hybridMultilevel"/>
    <w:tmpl w:val="D874707E"/>
    <w:lvl w:ilvl="0" w:tplc="944EE2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0CC3"/>
    <w:multiLevelType w:val="hybridMultilevel"/>
    <w:tmpl w:val="E6A27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B0206"/>
    <w:multiLevelType w:val="hybridMultilevel"/>
    <w:tmpl w:val="93F469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F1561"/>
    <w:multiLevelType w:val="hybridMultilevel"/>
    <w:tmpl w:val="A85A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459"/>
    <w:multiLevelType w:val="hybridMultilevel"/>
    <w:tmpl w:val="FFB8FF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B21118"/>
    <w:multiLevelType w:val="hybridMultilevel"/>
    <w:tmpl w:val="E6A27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B339E"/>
    <w:multiLevelType w:val="hybridMultilevel"/>
    <w:tmpl w:val="588C5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C7C53"/>
    <w:multiLevelType w:val="hybridMultilevel"/>
    <w:tmpl w:val="E1204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56D1"/>
    <w:multiLevelType w:val="hybridMultilevel"/>
    <w:tmpl w:val="6DEEE308"/>
    <w:lvl w:ilvl="0" w:tplc="27F097F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3482"/>
    <w:multiLevelType w:val="hybridMultilevel"/>
    <w:tmpl w:val="899460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3E57"/>
    <w:multiLevelType w:val="hybridMultilevel"/>
    <w:tmpl w:val="4C908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2748"/>
    <w:multiLevelType w:val="hybridMultilevel"/>
    <w:tmpl w:val="20247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878EF"/>
    <w:multiLevelType w:val="hybridMultilevel"/>
    <w:tmpl w:val="588C5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05D92"/>
    <w:multiLevelType w:val="hybridMultilevel"/>
    <w:tmpl w:val="588C5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685499"/>
    <w:multiLevelType w:val="hybridMultilevel"/>
    <w:tmpl w:val="F0D8338A"/>
    <w:lvl w:ilvl="0" w:tplc="1952B8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D1CCF"/>
    <w:multiLevelType w:val="hybridMultilevel"/>
    <w:tmpl w:val="2480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7F6"/>
    <w:multiLevelType w:val="hybridMultilevel"/>
    <w:tmpl w:val="5D1EB254"/>
    <w:lvl w:ilvl="0" w:tplc="64FED4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B57F1"/>
    <w:multiLevelType w:val="hybridMultilevel"/>
    <w:tmpl w:val="E30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7AA5"/>
    <w:multiLevelType w:val="hybridMultilevel"/>
    <w:tmpl w:val="2AFC4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3"/>
  </w:num>
  <w:num w:numId="5">
    <w:abstractNumId w:val="9"/>
  </w:num>
  <w:num w:numId="6">
    <w:abstractNumId w:val="1"/>
  </w:num>
  <w:num w:numId="7">
    <w:abstractNumId w:val="21"/>
  </w:num>
  <w:num w:numId="8">
    <w:abstractNumId w:val="4"/>
  </w:num>
  <w:num w:numId="9">
    <w:abstractNumId w:val="22"/>
  </w:num>
  <w:num w:numId="10">
    <w:abstractNumId w:val="16"/>
  </w:num>
  <w:num w:numId="11">
    <w:abstractNumId w:val="11"/>
  </w:num>
  <w:num w:numId="12">
    <w:abstractNumId w:val="5"/>
  </w:num>
  <w:num w:numId="13">
    <w:abstractNumId w:val="17"/>
  </w:num>
  <w:num w:numId="14">
    <w:abstractNumId w:val="3"/>
  </w:num>
  <w:num w:numId="15">
    <w:abstractNumId w:val="7"/>
  </w:num>
  <w:num w:numId="16">
    <w:abstractNumId w:val="20"/>
  </w:num>
  <w:num w:numId="17">
    <w:abstractNumId w:val="13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E8"/>
    <w:rsid w:val="000255BB"/>
    <w:rsid w:val="00066276"/>
    <w:rsid w:val="00083581"/>
    <w:rsid w:val="000A0CFB"/>
    <w:rsid w:val="001122CB"/>
    <w:rsid w:val="001A2690"/>
    <w:rsid w:val="001C5FBE"/>
    <w:rsid w:val="00220C87"/>
    <w:rsid w:val="00230DDD"/>
    <w:rsid w:val="002E36B8"/>
    <w:rsid w:val="0033096D"/>
    <w:rsid w:val="003920E9"/>
    <w:rsid w:val="00433A7C"/>
    <w:rsid w:val="004964C4"/>
    <w:rsid w:val="005669CC"/>
    <w:rsid w:val="005E3BFC"/>
    <w:rsid w:val="005F2F28"/>
    <w:rsid w:val="0062718A"/>
    <w:rsid w:val="00633FA1"/>
    <w:rsid w:val="00653FDE"/>
    <w:rsid w:val="00734333"/>
    <w:rsid w:val="007F69EF"/>
    <w:rsid w:val="00842C48"/>
    <w:rsid w:val="00852E56"/>
    <w:rsid w:val="00890927"/>
    <w:rsid w:val="00945EBA"/>
    <w:rsid w:val="00960754"/>
    <w:rsid w:val="00A0073F"/>
    <w:rsid w:val="00A81D30"/>
    <w:rsid w:val="00AC73DD"/>
    <w:rsid w:val="00AE5571"/>
    <w:rsid w:val="00B44333"/>
    <w:rsid w:val="00B669F5"/>
    <w:rsid w:val="00B778E8"/>
    <w:rsid w:val="00BB4EFB"/>
    <w:rsid w:val="00BD60EA"/>
    <w:rsid w:val="00C15CB1"/>
    <w:rsid w:val="00CE1CF7"/>
    <w:rsid w:val="00D16ABD"/>
    <w:rsid w:val="00D24572"/>
    <w:rsid w:val="00DA6724"/>
    <w:rsid w:val="00DE0143"/>
    <w:rsid w:val="00E42288"/>
    <w:rsid w:val="00E60545"/>
    <w:rsid w:val="00EA2476"/>
    <w:rsid w:val="00ED040C"/>
    <w:rsid w:val="00FA23FB"/>
    <w:rsid w:val="00FB538A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0747"/>
  <w15:chartTrackingRefBased/>
  <w15:docId w15:val="{C1D755B4-2A1F-429D-8424-0028B171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E8"/>
    <w:pPr>
      <w:ind w:left="720"/>
      <w:contextualSpacing/>
    </w:pPr>
  </w:style>
  <w:style w:type="paragraph" w:customStyle="1" w:styleId="Title1">
    <w:name w:val="Title1"/>
    <w:basedOn w:val="Normal"/>
    <w:rsid w:val="00B778E8"/>
    <w:pPr>
      <w:shd w:val="clear" w:color="auto" w:fill="993366"/>
      <w:spacing w:after="120" w:line="240" w:lineRule="auto"/>
      <w:ind w:left="-357" w:right="-335"/>
      <w:jc w:val="center"/>
    </w:pPr>
    <w:rPr>
      <w:rFonts w:ascii="Calibri" w:eastAsia="Times New Roman" w:hAnsi="Calibri" w:cs="Times New Roman"/>
      <w:color w:val="FFFFFF"/>
      <w:sz w:val="28"/>
      <w:szCs w:val="20"/>
      <w:lang w:val="fr-BE" w:eastAsia="fr-BE"/>
    </w:rPr>
  </w:style>
  <w:style w:type="table" w:styleId="TableGrid">
    <w:name w:val="Table Grid"/>
    <w:basedOn w:val="TableNormal"/>
    <w:uiPriority w:val="39"/>
    <w:rsid w:val="00B7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8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1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gdp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2018-05-25T13:18:00Z</dcterms:created>
  <dcterms:modified xsi:type="dcterms:W3CDTF">2018-08-09T10:41:00Z</dcterms:modified>
</cp:coreProperties>
</file>