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85" w:rsidRPr="00971BD6" w:rsidRDefault="00EA4A85" w:rsidP="00EA4A8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971BD6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7C79CBF4" wp14:editId="67923BC3">
            <wp:extent cx="1828800" cy="1219200"/>
            <wp:effectExtent l="0" t="0" r="0" b="0"/>
            <wp:docPr id="1" name="Picture 1" descr="C:\Users\Leo\AppData\Local\Microsoft\Windows\INetCacheContent.Word\Logo EA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AppData\Local\Microsoft\Windows\INetCacheContent.Word\Logo EAP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79" cy="12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85" w:rsidRPr="00971BD6" w:rsidRDefault="00EA4A85" w:rsidP="00EA4A85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971BD6">
        <w:rPr>
          <w:rFonts w:asciiTheme="minorHAnsi" w:hAnsiTheme="minorHAnsi" w:cstheme="minorHAnsi"/>
          <w:sz w:val="22"/>
          <w:szCs w:val="22"/>
        </w:rPr>
        <w:t>Bureau meeting 4 July 2017</w:t>
      </w:r>
    </w:p>
    <w:p w:rsidR="00CE1CF7" w:rsidRDefault="00CE1CF7"/>
    <w:p w:rsidR="00EA4A85" w:rsidRDefault="00EA4A85" w:rsidP="00EA4A85">
      <w:pPr>
        <w:jc w:val="center"/>
        <w:rPr>
          <w:b/>
          <w:u w:val="single"/>
        </w:rPr>
      </w:pPr>
      <w:r w:rsidRPr="00EA4A85">
        <w:rPr>
          <w:b/>
          <w:u w:val="single"/>
        </w:rPr>
        <w:t>Overview of decisions taken and action points</w:t>
      </w:r>
    </w:p>
    <w:p w:rsidR="00EA4A85" w:rsidRDefault="00EA4A85" w:rsidP="00EA4A85">
      <w:pPr>
        <w:jc w:val="center"/>
        <w:rPr>
          <w:b/>
          <w:u w:val="single"/>
        </w:rPr>
      </w:pPr>
      <w:r>
        <w:rPr>
          <w:b/>
          <w:u w:val="single"/>
        </w:rPr>
        <w:t>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4A85" w:rsidRPr="00971BD6" w:rsidTr="004A703B">
        <w:tc>
          <w:tcPr>
            <w:tcW w:w="9016" w:type="dxa"/>
            <w:shd w:val="clear" w:color="auto" w:fill="FF0000"/>
          </w:tcPr>
          <w:p w:rsidR="00EA4A85" w:rsidRPr="00971BD6" w:rsidRDefault="00EA4A85" w:rsidP="004A703B">
            <w:pPr>
              <w:rPr>
                <w:rFonts w:cstheme="minorHAnsi"/>
              </w:rPr>
            </w:pPr>
            <w:bookmarkStart w:id="0" w:name="_GoBack"/>
            <w:bookmarkEnd w:id="0"/>
            <w:r w:rsidRPr="00971BD6">
              <w:rPr>
                <w:rFonts w:cstheme="minorHAnsi"/>
              </w:rPr>
              <w:t xml:space="preserve">D1. We will hire someone external, for 2.5 – 3 days a week (depending on precise funds available, salary etc), to support on the PeP. It shouldn’t </w:t>
            </w:r>
            <w:proofErr w:type="gramStart"/>
            <w:r w:rsidRPr="00971BD6">
              <w:rPr>
                <w:rFonts w:cstheme="minorHAnsi"/>
              </w:rPr>
              <w:t>be someone who is</w:t>
            </w:r>
            <w:proofErr w:type="gramEnd"/>
            <w:r w:rsidRPr="00971BD6">
              <w:rPr>
                <w:rFonts w:cstheme="minorHAnsi"/>
              </w:rPr>
              <w:t xml:space="preserve"> already working or attached with EAPN. Should be on the PeP, not MD. </w:t>
            </w:r>
          </w:p>
        </w:tc>
      </w:tr>
      <w:tr w:rsidR="00EA4A85" w:rsidRPr="00971BD6" w:rsidTr="004A703B">
        <w:tc>
          <w:tcPr>
            <w:tcW w:w="9016" w:type="dxa"/>
            <w:shd w:val="clear" w:color="auto" w:fill="FF0000"/>
          </w:tcPr>
          <w:p w:rsidR="00EA4A85" w:rsidRPr="00971BD6" w:rsidRDefault="00EA4A85" w:rsidP="004A70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D2. We will </w:t>
            </w:r>
            <w:r w:rsidRPr="00971BD6">
              <w:rPr>
                <w:rFonts w:cstheme="minorHAnsi"/>
              </w:rPr>
              <w:t xml:space="preserve">make EC understand that this meeting needs staff to work on this throughout the year, and we will thus discuss whether we can prioritize in our existing agreements. </w:t>
            </w:r>
          </w:p>
        </w:tc>
      </w:tr>
      <w:tr w:rsidR="00EA4A85" w:rsidRPr="00971BD6" w:rsidTr="004A703B">
        <w:tc>
          <w:tcPr>
            <w:tcW w:w="9016" w:type="dxa"/>
            <w:shd w:val="clear" w:color="auto" w:fill="FF0000"/>
          </w:tcPr>
          <w:p w:rsidR="00EA4A85" w:rsidRDefault="00EA4A85" w:rsidP="004A703B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 xml:space="preserve">D3. The Bureau agrees on the proposed salary grid, which should come into play on 5 July 2017.  </w:t>
            </w:r>
          </w:p>
        </w:tc>
      </w:tr>
      <w:tr w:rsidR="00EA4A85" w:rsidRPr="00971BD6" w:rsidTr="004A703B">
        <w:tc>
          <w:tcPr>
            <w:tcW w:w="9016" w:type="dxa"/>
            <w:shd w:val="clear" w:color="auto" w:fill="FF0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>D4</w:t>
            </w:r>
            <w:r w:rsidRPr="00971BD6">
              <w:rPr>
                <w:rFonts w:cstheme="minorHAnsi"/>
              </w:rPr>
              <w:t>. EAPN should not be giving networks money if they are not doing the work for which the money is allocated</w:t>
            </w:r>
          </w:p>
        </w:tc>
      </w:tr>
      <w:tr w:rsidR="00EA4A85" w:rsidRPr="00971BD6" w:rsidTr="004A703B">
        <w:tc>
          <w:tcPr>
            <w:tcW w:w="9016" w:type="dxa"/>
            <w:shd w:val="clear" w:color="auto" w:fill="FF0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>D5</w:t>
            </w:r>
            <w:r w:rsidRPr="00971BD6">
              <w:rPr>
                <w:rFonts w:cstheme="minorHAnsi"/>
              </w:rPr>
              <w:t>. This decision will stand as of 2017, on the understanding that we make members aware of what is happening and why.</w:t>
            </w:r>
          </w:p>
        </w:tc>
      </w:tr>
      <w:tr w:rsidR="00EA4A85" w:rsidRPr="00971BD6" w:rsidTr="004A703B">
        <w:tc>
          <w:tcPr>
            <w:tcW w:w="9016" w:type="dxa"/>
            <w:shd w:val="clear" w:color="auto" w:fill="FF0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>D6</w:t>
            </w:r>
            <w:r w:rsidRPr="00971BD6">
              <w:rPr>
                <w:rFonts w:cstheme="minorHAnsi"/>
              </w:rPr>
              <w:t>. This needs to be made even more explicit in future contracts</w:t>
            </w:r>
          </w:p>
        </w:tc>
      </w:tr>
      <w:tr w:rsidR="00EA4A85" w:rsidRPr="00971BD6" w:rsidTr="004A703B">
        <w:tc>
          <w:tcPr>
            <w:tcW w:w="9016" w:type="dxa"/>
            <w:shd w:val="clear" w:color="auto" w:fill="FF0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>D7</w:t>
            </w:r>
            <w:r w:rsidRPr="00971BD6">
              <w:rPr>
                <w:rFonts w:cstheme="minorHAnsi"/>
              </w:rPr>
              <w:t>. EAPN Europe will support the request of EAPN Italy</w:t>
            </w:r>
            <w:r>
              <w:rPr>
                <w:rFonts w:cstheme="minorHAnsi"/>
              </w:rPr>
              <w:t xml:space="preserve"> (press release on migration)</w:t>
            </w:r>
          </w:p>
        </w:tc>
      </w:tr>
      <w:tr w:rsidR="00EA4A85" w:rsidRPr="00971BD6" w:rsidTr="004A703B">
        <w:tc>
          <w:tcPr>
            <w:tcW w:w="9016" w:type="dxa"/>
            <w:shd w:val="clear" w:color="auto" w:fill="FF0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>D8</w:t>
            </w:r>
            <w:r w:rsidRPr="00971BD6">
              <w:rPr>
                <w:rFonts w:cstheme="minorHAnsi"/>
              </w:rPr>
              <w:t>. EAPN Italy will be asked to provide the draft press release</w:t>
            </w:r>
          </w:p>
        </w:tc>
      </w:tr>
      <w:tr w:rsidR="00EA4A85" w:rsidRPr="00971BD6" w:rsidTr="004A703B">
        <w:tc>
          <w:tcPr>
            <w:tcW w:w="9016" w:type="dxa"/>
            <w:shd w:val="clear" w:color="auto" w:fill="FF0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>D9</w:t>
            </w:r>
            <w:r w:rsidRPr="00971BD6">
              <w:rPr>
                <w:rFonts w:cstheme="minorHAnsi"/>
              </w:rPr>
              <w:t>. Sergio will lead on this for the Bureau, with an aim of finalizing in time to allow EAPN Spain to use on Thursday</w:t>
            </w:r>
          </w:p>
        </w:tc>
      </w:tr>
    </w:tbl>
    <w:p w:rsidR="00EA4A85" w:rsidRDefault="00EA4A85" w:rsidP="00EA4A85">
      <w:pPr>
        <w:jc w:val="center"/>
        <w:rPr>
          <w:b/>
          <w:u w:val="single"/>
        </w:rPr>
      </w:pPr>
      <w:r>
        <w:rPr>
          <w:b/>
          <w:u w:val="single"/>
        </w:rPr>
        <w:br/>
        <w:t>Action points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490"/>
        <w:gridCol w:w="1252"/>
        <w:gridCol w:w="66"/>
        <w:gridCol w:w="1203"/>
        <w:gridCol w:w="1005"/>
      </w:tblGrid>
      <w:tr w:rsidR="00EA4A85" w:rsidRPr="00971BD6" w:rsidTr="00EA4A85">
        <w:tc>
          <w:tcPr>
            <w:tcW w:w="5490" w:type="dxa"/>
            <w:shd w:val="clear" w:color="auto" w:fill="FFFF00"/>
          </w:tcPr>
          <w:p w:rsidR="00EA4A85" w:rsidRPr="00971BD6" w:rsidRDefault="00EA4A85" w:rsidP="004A703B">
            <w:pPr>
              <w:rPr>
                <w:rFonts w:cstheme="minorHAnsi"/>
                <w:b/>
              </w:rPr>
            </w:pPr>
            <w:r w:rsidRPr="00971BD6">
              <w:rPr>
                <w:rFonts w:cstheme="minorHAnsi"/>
                <w:b/>
              </w:rPr>
              <w:t>Action point</w:t>
            </w:r>
          </w:p>
        </w:tc>
        <w:tc>
          <w:tcPr>
            <w:tcW w:w="1318" w:type="dxa"/>
            <w:gridSpan w:val="2"/>
            <w:shd w:val="clear" w:color="auto" w:fill="FFFF00"/>
          </w:tcPr>
          <w:p w:rsidR="00EA4A85" w:rsidRPr="00971BD6" w:rsidRDefault="00EA4A85" w:rsidP="004A703B">
            <w:pPr>
              <w:rPr>
                <w:rFonts w:cstheme="minorHAnsi"/>
                <w:b/>
              </w:rPr>
            </w:pPr>
            <w:r w:rsidRPr="00971BD6">
              <w:rPr>
                <w:rFonts w:cstheme="minorHAnsi"/>
                <w:b/>
              </w:rPr>
              <w:t>Responsible</w:t>
            </w:r>
          </w:p>
        </w:tc>
        <w:tc>
          <w:tcPr>
            <w:tcW w:w="1203" w:type="dxa"/>
            <w:shd w:val="clear" w:color="auto" w:fill="FFFF00"/>
          </w:tcPr>
          <w:p w:rsidR="00EA4A85" w:rsidRPr="00971BD6" w:rsidRDefault="00EA4A85" w:rsidP="004A703B">
            <w:pPr>
              <w:rPr>
                <w:rFonts w:cstheme="minorHAnsi"/>
                <w:b/>
              </w:rPr>
            </w:pPr>
            <w:r w:rsidRPr="00971BD6">
              <w:rPr>
                <w:rFonts w:cstheme="minorHAnsi"/>
                <w:b/>
              </w:rPr>
              <w:t>Deadline</w:t>
            </w:r>
          </w:p>
        </w:tc>
        <w:tc>
          <w:tcPr>
            <w:tcW w:w="1005" w:type="dxa"/>
            <w:shd w:val="clear" w:color="auto" w:fill="FFFF00"/>
          </w:tcPr>
          <w:p w:rsidR="00EA4A85" w:rsidRPr="00971BD6" w:rsidRDefault="00EA4A85" w:rsidP="004A70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Status</w:t>
            </w:r>
          </w:p>
        </w:tc>
      </w:tr>
      <w:tr w:rsidR="00EA4A85" w:rsidRPr="00971BD6" w:rsidTr="00EA4A85">
        <w:tc>
          <w:tcPr>
            <w:tcW w:w="5490" w:type="dxa"/>
            <w:shd w:val="clear" w:color="auto" w:fill="00B050"/>
          </w:tcPr>
          <w:p w:rsidR="00EA4A85" w:rsidRPr="00971BD6" w:rsidRDefault="00EA4A85" w:rsidP="004A703B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 xml:space="preserve">A1. Create job description and start </w:t>
            </w:r>
            <w:proofErr w:type="gramStart"/>
            <w:r w:rsidRPr="00971BD6">
              <w:rPr>
                <w:rFonts w:cstheme="minorHAnsi"/>
              </w:rPr>
              <w:t xml:space="preserve">process </w:t>
            </w:r>
            <w:r>
              <w:rPr>
                <w:rFonts w:cstheme="minorHAnsi"/>
              </w:rPr>
              <w:t xml:space="preserve"> (</w:t>
            </w:r>
            <w:proofErr w:type="gramEnd"/>
            <w:r>
              <w:rPr>
                <w:rFonts w:cstheme="minorHAnsi"/>
              </w:rPr>
              <w:t>PeP Support Officer role)</w:t>
            </w:r>
          </w:p>
        </w:tc>
        <w:tc>
          <w:tcPr>
            <w:tcW w:w="1318" w:type="dxa"/>
            <w:gridSpan w:val="2"/>
            <w:shd w:val="clear" w:color="auto" w:fill="00B050"/>
          </w:tcPr>
          <w:p w:rsidR="00EA4A85" w:rsidRPr="00971BD6" w:rsidRDefault="00EA4A85" w:rsidP="004A703B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Leo</w:t>
            </w:r>
          </w:p>
        </w:tc>
        <w:tc>
          <w:tcPr>
            <w:tcW w:w="1203" w:type="dxa"/>
            <w:shd w:val="clear" w:color="auto" w:fill="00B050"/>
          </w:tcPr>
          <w:p w:rsidR="00EA4A85" w:rsidRPr="00971BD6" w:rsidRDefault="00EA4A85" w:rsidP="004A703B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ASAP</w:t>
            </w:r>
          </w:p>
        </w:tc>
        <w:tc>
          <w:tcPr>
            <w:tcW w:w="1005" w:type="dxa"/>
            <w:shd w:val="clear" w:color="auto" w:fill="00B050"/>
          </w:tcPr>
          <w:p w:rsidR="00EA4A85" w:rsidRPr="00971BD6" w:rsidRDefault="00EA4A85" w:rsidP="004A703B">
            <w:pPr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</w:tr>
      <w:tr w:rsidR="00EA4A85" w:rsidRPr="00971BD6" w:rsidTr="00EA4A85">
        <w:tc>
          <w:tcPr>
            <w:tcW w:w="5490" w:type="dxa"/>
            <w:shd w:val="clear" w:color="auto" w:fill="00B050"/>
          </w:tcPr>
          <w:p w:rsidR="00EA4A85" w:rsidRPr="00971BD6" w:rsidRDefault="00EA4A85" w:rsidP="004A703B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 xml:space="preserve">A2. Discuss with staff team </w:t>
            </w:r>
            <w:r>
              <w:rPr>
                <w:rFonts w:cstheme="minorHAnsi"/>
              </w:rPr>
              <w:t>(PeP Support Officer role)</w:t>
            </w:r>
          </w:p>
        </w:tc>
        <w:tc>
          <w:tcPr>
            <w:tcW w:w="1318" w:type="dxa"/>
            <w:gridSpan w:val="2"/>
            <w:shd w:val="clear" w:color="auto" w:fill="00B050"/>
          </w:tcPr>
          <w:p w:rsidR="00EA4A85" w:rsidRPr="00971BD6" w:rsidRDefault="00EA4A85" w:rsidP="004A703B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Leo</w:t>
            </w:r>
          </w:p>
        </w:tc>
        <w:tc>
          <w:tcPr>
            <w:tcW w:w="1203" w:type="dxa"/>
            <w:shd w:val="clear" w:color="auto" w:fill="00B050"/>
          </w:tcPr>
          <w:p w:rsidR="00EA4A85" w:rsidRPr="00971BD6" w:rsidRDefault="00EA4A85" w:rsidP="004A703B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ASAP</w:t>
            </w:r>
          </w:p>
        </w:tc>
        <w:tc>
          <w:tcPr>
            <w:tcW w:w="1005" w:type="dxa"/>
            <w:shd w:val="clear" w:color="auto" w:fill="00B050"/>
          </w:tcPr>
          <w:p w:rsidR="00EA4A85" w:rsidRPr="00971BD6" w:rsidRDefault="00EA4A85" w:rsidP="004A703B">
            <w:pPr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</w:tr>
      <w:tr w:rsidR="00EA4A85" w:rsidRPr="00971BD6" w:rsidTr="00EA4A85">
        <w:tc>
          <w:tcPr>
            <w:tcW w:w="5490" w:type="dxa"/>
            <w:shd w:val="clear" w:color="auto" w:fill="FFC000"/>
          </w:tcPr>
          <w:p w:rsidR="00EA4A85" w:rsidRPr="00971BD6" w:rsidRDefault="00EA4A85" w:rsidP="004A703B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 xml:space="preserve">A3. Write a background note explaining how this came about (for historical records) </w:t>
            </w:r>
            <w:r>
              <w:rPr>
                <w:rFonts w:cstheme="minorHAnsi"/>
              </w:rPr>
              <w:t>(revised salary grid)</w:t>
            </w:r>
          </w:p>
        </w:tc>
        <w:tc>
          <w:tcPr>
            <w:tcW w:w="1252" w:type="dxa"/>
            <w:shd w:val="clear" w:color="auto" w:fill="FFC000"/>
          </w:tcPr>
          <w:p w:rsidR="00EA4A85" w:rsidRPr="00971BD6" w:rsidRDefault="00EA4A85" w:rsidP="004A703B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Leo</w:t>
            </w:r>
          </w:p>
        </w:tc>
        <w:tc>
          <w:tcPr>
            <w:tcW w:w="1269" w:type="dxa"/>
            <w:gridSpan w:val="2"/>
            <w:shd w:val="clear" w:color="auto" w:fill="FFC000"/>
          </w:tcPr>
          <w:p w:rsidR="00EA4A85" w:rsidRPr="00971BD6" w:rsidRDefault="00EA4A85" w:rsidP="004A703B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End July</w:t>
            </w:r>
          </w:p>
        </w:tc>
        <w:tc>
          <w:tcPr>
            <w:tcW w:w="1005" w:type="dxa"/>
            <w:shd w:val="clear" w:color="auto" w:fill="FFC000"/>
          </w:tcPr>
          <w:p w:rsidR="00EA4A85" w:rsidRPr="00971BD6" w:rsidRDefault="00EA4A85" w:rsidP="004A703B">
            <w:pPr>
              <w:rPr>
                <w:rFonts w:cstheme="minorHAnsi"/>
              </w:rPr>
            </w:pPr>
            <w:r>
              <w:rPr>
                <w:rFonts w:cstheme="minorHAnsi"/>
              </w:rPr>
              <w:t>Not done</w:t>
            </w:r>
          </w:p>
        </w:tc>
      </w:tr>
      <w:tr w:rsidR="00EA4A85" w:rsidRPr="00971BD6" w:rsidTr="00EA4A85">
        <w:tc>
          <w:tcPr>
            <w:tcW w:w="5490" w:type="dxa"/>
            <w:shd w:val="clear" w:color="auto" w:fill="FFC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 xml:space="preserve">A4. Write an email to members about this </w:t>
            </w:r>
            <w:r>
              <w:rPr>
                <w:rFonts w:cstheme="minorHAnsi"/>
              </w:rPr>
              <w:t>(contracts, and the decision to not pay members if they do not deliver on the work agreed in the contracts)</w:t>
            </w:r>
          </w:p>
        </w:tc>
        <w:tc>
          <w:tcPr>
            <w:tcW w:w="1318" w:type="dxa"/>
            <w:gridSpan w:val="2"/>
            <w:shd w:val="clear" w:color="auto" w:fill="FFC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Leo and Bureau</w:t>
            </w:r>
          </w:p>
        </w:tc>
        <w:tc>
          <w:tcPr>
            <w:tcW w:w="1203" w:type="dxa"/>
            <w:shd w:val="clear" w:color="auto" w:fill="FFC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End July</w:t>
            </w:r>
          </w:p>
        </w:tc>
        <w:tc>
          <w:tcPr>
            <w:tcW w:w="1005" w:type="dxa"/>
            <w:shd w:val="clear" w:color="auto" w:fill="FFC000"/>
          </w:tcPr>
          <w:p w:rsidR="00EA4A85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>Not done</w:t>
            </w:r>
          </w:p>
        </w:tc>
      </w:tr>
      <w:tr w:rsidR="00EA4A85" w:rsidRPr="00971BD6" w:rsidTr="00EA4A85">
        <w:tc>
          <w:tcPr>
            <w:tcW w:w="5490" w:type="dxa"/>
            <w:shd w:val="clear" w:color="auto" w:fill="FFC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A5. Highlight at Ex Co meeting</w:t>
            </w:r>
            <w:r>
              <w:rPr>
                <w:rFonts w:cstheme="minorHAnsi"/>
              </w:rPr>
              <w:t xml:space="preserve"> (contracts decision, as in A4)</w:t>
            </w:r>
          </w:p>
        </w:tc>
        <w:tc>
          <w:tcPr>
            <w:tcW w:w="1318" w:type="dxa"/>
            <w:gridSpan w:val="2"/>
            <w:shd w:val="clear" w:color="auto" w:fill="FFC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Leo and Bureau</w:t>
            </w:r>
          </w:p>
        </w:tc>
        <w:tc>
          <w:tcPr>
            <w:tcW w:w="1203" w:type="dxa"/>
            <w:shd w:val="clear" w:color="auto" w:fill="FFC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October</w:t>
            </w:r>
          </w:p>
        </w:tc>
        <w:tc>
          <w:tcPr>
            <w:tcW w:w="1005" w:type="dxa"/>
            <w:shd w:val="clear" w:color="auto" w:fill="FFC000"/>
          </w:tcPr>
          <w:p w:rsidR="00EA4A85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>Not done</w:t>
            </w:r>
          </w:p>
        </w:tc>
      </w:tr>
      <w:tr w:rsidR="00EA4A85" w:rsidRPr="00971BD6" w:rsidTr="00EA4A85">
        <w:tc>
          <w:tcPr>
            <w:tcW w:w="5490" w:type="dxa"/>
            <w:shd w:val="clear" w:color="auto" w:fill="FFC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A6. Make contracts more explicit</w:t>
            </w:r>
          </w:p>
        </w:tc>
        <w:tc>
          <w:tcPr>
            <w:tcW w:w="1318" w:type="dxa"/>
            <w:gridSpan w:val="2"/>
            <w:shd w:val="clear" w:color="auto" w:fill="FFC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Philippe</w:t>
            </w:r>
          </w:p>
        </w:tc>
        <w:tc>
          <w:tcPr>
            <w:tcW w:w="1203" w:type="dxa"/>
            <w:shd w:val="clear" w:color="auto" w:fill="FFC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October</w:t>
            </w:r>
          </w:p>
        </w:tc>
        <w:tc>
          <w:tcPr>
            <w:tcW w:w="1005" w:type="dxa"/>
            <w:shd w:val="clear" w:color="auto" w:fill="FFC000"/>
          </w:tcPr>
          <w:p w:rsidR="00EA4A85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>Not done</w:t>
            </w:r>
          </w:p>
        </w:tc>
      </w:tr>
      <w:tr w:rsidR="00EA4A85" w:rsidRPr="00971BD6" w:rsidTr="00EA4A85">
        <w:tc>
          <w:tcPr>
            <w:tcW w:w="5490" w:type="dxa"/>
            <w:shd w:val="clear" w:color="auto" w:fill="FFC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A7. Discuss how to improve gathering info with Policy Team</w:t>
            </w:r>
          </w:p>
        </w:tc>
        <w:tc>
          <w:tcPr>
            <w:tcW w:w="1318" w:type="dxa"/>
            <w:gridSpan w:val="2"/>
            <w:shd w:val="clear" w:color="auto" w:fill="FFC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Leo</w:t>
            </w:r>
          </w:p>
        </w:tc>
        <w:tc>
          <w:tcPr>
            <w:tcW w:w="1203" w:type="dxa"/>
            <w:shd w:val="clear" w:color="auto" w:fill="FFC00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 xml:space="preserve">September </w:t>
            </w:r>
          </w:p>
        </w:tc>
        <w:tc>
          <w:tcPr>
            <w:tcW w:w="1005" w:type="dxa"/>
            <w:shd w:val="clear" w:color="auto" w:fill="FFC000"/>
          </w:tcPr>
          <w:p w:rsidR="00EA4A85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>Not done</w:t>
            </w:r>
          </w:p>
        </w:tc>
      </w:tr>
      <w:tr w:rsidR="00EA4A85" w:rsidRPr="00971BD6" w:rsidTr="00EA4A85">
        <w:tc>
          <w:tcPr>
            <w:tcW w:w="5490" w:type="dxa"/>
            <w:shd w:val="clear" w:color="auto" w:fill="00B05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 xml:space="preserve">A8. Contact EAPN Italy </w:t>
            </w:r>
            <w:r>
              <w:rPr>
                <w:rFonts w:cstheme="minorHAnsi"/>
              </w:rPr>
              <w:t>(migration press release)</w:t>
            </w:r>
          </w:p>
        </w:tc>
        <w:tc>
          <w:tcPr>
            <w:tcW w:w="1318" w:type="dxa"/>
            <w:gridSpan w:val="2"/>
            <w:shd w:val="clear" w:color="auto" w:fill="00B05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Sergio</w:t>
            </w:r>
          </w:p>
        </w:tc>
        <w:tc>
          <w:tcPr>
            <w:tcW w:w="1203" w:type="dxa"/>
            <w:shd w:val="clear" w:color="auto" w:fill="00B05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4 July</w:t>
            </w:r>
          </w:p>
        </w:tc>
        <w:tc>
          <w:tcPr>
            <w:tcW w:w="1005" w:type="dxa"/>
            <w:shd w:val="clear" w:color="auto" w:fill="00B050"/>
          </w:tcPr>
          <w:p w:rsidR="00EA4A85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</w:tr>
      <w:tr w:rsidR="00EA4A85" w:rsidRPr="00971BD6" w:rsidTr="00EA4A85">
        <w:tc>
          <w:tcPr>
            <w:tcW w:w="5490" w:type="dxa"/>
            <w:shd w:val="clear" w:color="auto" w:fill="00B05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A9. Finalise press release</w:t>
            </w:r>
          </w:p>
        </w:tc>
        <w:tc>
          <w:tcPr>
            <w:tcW w:w="1318" w:type="dxa"/>
            <w:gridSpan w:val="2"/>
            <w:shd w:val="clear" w:color="auto" w:fill="00B05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 xml:space="preserve">EAPN Italy, Sergio, </w:t>
            </w:r>
            <w:r w:rsidRPr="00971BD6">
              <w:rPr>
                <w:rFonts w:cstheme="minorHAnsi"/>
              </w:rPr>
              <w:lastRenderedPageBreak/>
              <w:t>Bureau, staff</w:t>
            </w:r>
          </w:p>
        </w:tc>
        <w:tc>
          <w:tcPr>
            <w:tcW w:w="1203" w:type="dxa"/>
            <w:shd w:val="clear" w:color="auto" w:fill="00B05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lastRenderedPageBreak/>
              <w:t>5 July</w:t>
            </w:r>
          </w:p>
        </w:tc>
        <w:tc>
          <w:tcPr>
            <w:tcW w:w="1005" w:type="dxa"/>
            <w:shd w:val="clear" w:color="auto" w:fill="00B050"/>
          </w:tcPr>
          <w:p w:rsidR="00EA4A85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</w:tr>
      <w:tr w:rsidR="00EA4A85" w:rsidRPr="00971BD6" w:rsidTr="00EA4A85">
        <w:tc>
          <w:tcPr>
            <w:tcW w:w="5490" w:type="dxa"/>
            <w:shd w:val="clear" w:color="auto" w:fill="00B05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A10. Highlight on website, social media etc</w:t>
            </w:r>
          </w:p>
        </w:tc>
        <w:tc>
          <w:tcPr>
            <w:tcW w:w="1318" w:type="dxa"/>
            <w:gridSpan w:val="2"/>
            <w:shd w:val="clear" w:color="auto" w:fill="00B05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Claudia</w:t>
            </w:r>
          </w:p>
        </w:tc>
        <w:tc>
          <w:tcPr>
            <w:tcW w:w="1203" w:type="dxa"/>
            <w:shd w:val="clear" w:color="auto" w:fill="00B05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6 July</w:t>
            </w:r>
          </w:p>
        </w:tc>
        <w:tc>
          <w:tcPr>
            <w:tcW w:w="1005" w:type="dxa"/>
            <w:shd w:val="clear" w:color="auto" w:fill="00B050"/>
          </w:tcPr>
          <w:p w:rsidR="00EA4A85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</w:tr>
      <w:tr w:rsidR="00EA4A85" w:rsidRPr="00971BD6" w:rsidTr="00EA4A85">
        <w:tc>
          <w:tcPr>
            <w:tcW w:w="5490" w:type="dxa"/>
            <w:shd w:val="clear" w:color="auto" w:fill="00B05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A11. Use statement</w:t>
            </w:r>
          </w:p>
        </w:tc>
        <w:tc>
          <w:tcPr>
            <w:tcW w:w="1318" w:type="dxa"/>
            <w:gridSpan w:val="2"/>
            <w:shd w:val="clear" w:color="auto" w:fill="00B05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>Members</w:t>
            </w:r>
          </w:p>
        </w:tc>
        <w:tc>
          <w:tcPr>
            <w:tcW w:w="1203" w:type="dxa"/>
            <w:shd w:val="clear" w:color="auto" w:fill="00B050"/>
          </w:tcPr>
          <w:p w:rsidR="00EA4A85" w:rsidRPr="00971BD6" w:rsidRDefault="00EA4A85" w:rsidP="00EA4A85">
            <w:pPr>
              <w:rPr>
                <w:rFonts w:cstheme="minorHAnsi"/>
              </w:rPr>
            </w:pPr>
            <w:r w:rsidRPr="00971BD6">
              <w:rPr>
                <w:rFonts w:cstheme="minorHAnsi"/>
              </w:rPr>
              <w:t xml:space="preserve">6 July </w:t>
            </w:r>
          </w:p>
        </w:tc>
        <w:tc>
          <w:tcPr>
            <w:tcW w:w="1005" w:type="dxa"/>
            <w:shd w:val="clear" w:color="auto" w:fill="00B050"/>
          </w:tcPr>
          <w:p w:rsidR="00EA4A85" w:rsidRDefault="00EA4A85" w:rsidP="00EA4A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Done – we know that </w:t>
            </w:r>
            <w:proofErr w:type="spellStart"/>
            <w:r>
              <w:rPr>
                <w:rFonts w:cstheme="minorHAnsi"/>
              </w:rPr>
              <w:t>Serbai</w:t>
            </w:r>
            <w:proofErr w:type="spellEnd"/>
            <w:r>
              <w:rPr>
                <w:rFonts w:cstheme="minorHAnsi"/>
              </w:rPr>
              <w:t>, Romania and Portugal used it.</w:t>
            </w:r>
          </w:p>
        </w:tc>
      </w:tr>
    </w:tbl>
    <w:p w:rsidR="00EA4A85" w:rsidRPr="00EA4A85" w:rsidRDefault="00EA4A85" w:rsidP="00EA4A85">
      <w:pPr>
        <w:jc w:val="center"/>
        <w:rPr>
          <w:b/>
          <w:u w:val="single"/>
        </w:rPr>
      </w:pPr>
    </w:p>
    <w:sectPr w:rsidR="00EA4A85" w:rsidRPr="00EA4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85"/>
    <w:rsid w:val="00734333"/>
    <w:rsid w:val="00CE1CF7"/>
    <w:rsid w:val="00E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85DF"/>
  <w15:chartTrackingRefBased/>
  <w15:docId w15:val="{988FB7DF-7E73-40E4-860F-D5EC57E3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A8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A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EA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1885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dcterms:created xsi:type="dcterms:W3CDTF">2017-08-24T07:22:00Z</dcterms:created>
  <dcterms:modified xsi:type="dcterms:W3CDTF">2017-08-24T07:31:00Z</dcterms:modified>
</cp:coreProperties>
</file>