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46CF0F" w14:textId="13CC4236" w:rsidR="00404999" w:rsidRDefault="00896DAF" w:rsidP="00404999">
      <w:pPr>
        <w:jc w:val="center"/>
        <w:rPr>
          <w:noProof/>
          <w:lang w:val="en-US"/>
        </w:rPr>
      </w:pPr>
      <w:r>
        <w:rPr>
          <w:rFonts w:ascii="Calibri" w:hAnsi="Calibri" w:cs="Calibri"/>
          <w:b/>
          <w:i/>
          <w:noProof/>
          <w:sz w:val="28"/>
          <w:lang w:eastAsia="en-GB"/>
        </w:rPr>
        <w:drawing>
          <wp:anchor distT="0" distB="0" distL="114300" distR="114300" simplePos="0" relativeHeight="251658240" behindDoc="1" locked="0" layoutInCell="1" allowOverlap="1" wp14:anchorId="192C9583" wp14:editId="594F4E6C">
            <wp:simplePos x="0" y="0"/>
            <wp:positionH relativeFrom="column">
              <wp:posOffset>1911350</wp:posOffset>
            </wp:positionH>
            <wp:positionV relativeFrom="paragraph">
              <wp:posOffset>-427355</wp:posOffset>
            </wp:positionV>
            <wp:extent cx="1440000" cy="907200"/>
            <wp:effectExtent l="0" t="0" r="8255" b="7620"/>
            <wp:wrapNone/>
            <wp:docPr id="1" name="Picture 1" descr="Logo EAPN 1coul no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EAPN 1coul noir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000" cy="90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E14D01C" w14:textId="77777777" w:rsidR="0004455E" w:rsidRPr="00CE33D3" w:rsidRDefault="0004455E" w:rsidP="00404999">
      <w:pPr>
        <w:jc w:val="center"/>
        <w:rPr>
          <w:rFonts w:ascii="Calibri" w:hAnsi="Calibri" w:cs="Calibri"/>
          <w:b/>
          <w:sz w:val="24"/>
          <w:szCs w:val="24"/>
        </w:rPr>
      </w:pPr>
    </w:p>
    <w:p w14:paraId="68AA8F7E" w14:textId="77777777" w:rsidR="00CE33D3" w:rsidRDefault="00CE33D3" w:rsidP="00404999">
      <w:pPr>
        <w:jc w:val="center"/>
        <w:rPr>
          <w:rFonts w:ascii="Calibri" w:hAnsi="Calibri" w:cs="Calibri"/>
          <w:b/>
          <w:sz w:val="40"/>
        </w:rPr>
      </w:pPr>
    </w:p>
    <w:p w14:paraId="6846CF39" w14:textId="77777777" w:rsidR="00404999" w:rsidRPr="00B84D41" w:rsidRDefault="00404999" w:rsidP="00395B5F">
      <w:pPr>
        <w:ind w:left="-567" w:right="-482"/>
        <w:rPr>
          <w:rFonts w:ascii="Calibri" w:hAnsi="Calibri" w:cs="Calibri"/>
          <w:b/>
          <w:sz w:val="24"/>
        </w:rPr>
      </w:pPr>
    </w:p>
    <w:p w14:paraId="48CDF1D6" w14:textId="6C36E80F" w:rsidR="00220C0E" w:rsidRDefault="00BA27CB" w:rsidP="004B404D">
      <w:pPr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Terms of Reference for: </w:t>
      </w:r>
      <w:r w:rsidR="006A2615">
        <w:rPr>
          <w:rFonts w:ascii="Calibri" w:hAnsi="Calibri" w:cs="Calibri"/>
          <w:b/>
          <w:sz w:val="24"/>
          <w:szCs w:val="24"/>
        </w:rPr>
        <w:t xml:space="preserve">EAPN’s </w:t>
      </w:r>
      <w:r>
        <w:rPr>
          <w:rFonts w:ascii="Calibri" w:hAnsi="Calibri" w:cs="Calibri"/>
          <w:b/>
          <w:sz w:val="24"/>
          <w:szCs w:val="24"/>
        </w:rPr>
        <w:t xml:space="preserve">Assessment </w:t>
      </w:r>
      <w:r w:rsidR="004B404D">
        <w:rPr>
          <w:rFonts w:ascii="Calibri" w:hAnsi="Calibri" w:cs="Calibri"/>
          <w:b/>
          <w:sz w:val="24"/>
          <w:szCs w:val="24"/>
        </w:rPr>
        <w:t>Report on Europe 2020 and European Semester’s delivery on P</w:t>
      </w:r>
      <w:r w:rsidR="006A2615">
        <w:rPr>
          <w:rFonts w:ascii="Calibri" w:hAnsi="Calibri" w:cs="Calibri"/>
          <w:b/>
          <w:sz w:val="24"/>
          <w:szCs w:val="24"/>
        </w:rPr>
        <w:t>overty</w:t>
      </w:r>
      <w:r w:rsidR="004B404D">
        <w:rPr>
          <w:rFonts w:ascii="Calibri" w:hAnsi="Calibri" w:cs="Calibri"/>
          <w:b/>
          <w:sz w:val="24"/>
          <w:szCs w:val="24"/>
        </w:rPr>
        <w:t>/</w:t>
      </w:r>
      <w:r w:rsidR="006A2615">
        <w:rPr>
          <w:rFonts w:ascii="Calibri" w:hAnsi="Calibri" w:cs="Calibri"/>
          <w:b/>
          <w:sz w:val="24"/>
          <w:szCs w:val="24"/>
        </w:rPr>
        <w:t>social exclusion</w:t>
      </w:r>
      <w:r w:rsidR="004B404D">
        <w:rPr>
          <w:rFonts w:ascii="Calibri" w:hAnsi="Calibri" w:cs="Calibri"/>
          <w:b/>
          <w:sz w:val="24"/>
          <w:szCs w:val="24"/>
        </w:rPr>
        <w:t xml:space="preserve"> and participation</w:t>
      </w:r>
    </w:p>
    <w:p w14:paraId="6DBEB019" w14:textId="53647477" w:rsidR="00BA27CB" w:rsidRPr="0004455E" w:rsidRDefault="00BA27CB" w:rsidP="00BA27CB">
      <w:pPr>
        <w:ind w:left="-567" w:right="-482"/>
        <w:jc w:val="center"/>
        <w:rPr>
          <w:rFonts w:ascii="Calibri" w:hAnsi="Calibri" w:cs="Calibri"/>
          <w:b/>
          <w:sz w:val="24"/>
        </w:rPr>
      </w:pPr>
    </w:p>
    <w:p w14:paraId="03A95730" w14:textId="643A5BEC" w:rsidR="00A61DDC" w:rsidRDefault="00220C0E" w:rsidP="00395B5F">
      <w:pPr>
        <w:overflowPunct/>
        <w:ind w:left="-567" w:right="-482"/>
        <w:jc w:val="both"/>
        <w:textAlignment w:val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  <w:lang w:eastAsia="fr-BE"/>
        </w:rPr>
        <w:t xml:space="preserve">Scope of the </w:t>
      </w:r>
      <w:r w:rsidR="004B404D">
        <w:rPr>
          <w:rFonts w:ascii="Calibri" w:hAnsi="Calibri" w:cs="Calibri"/>
          <w:sz w:val="24"/>
          <w:szCs w:val="24"/>
          <w:u w:val="single"/>
        </w:rPr>
        <w:t>Assessment Report</w:t>
      </w:r>
    </w:p>
    <w:p w14:paraId="58AC9811" w14:textId="77777777" w:rsidR="004B404D" w:rsidRDefault="004B404D" w:rsidP="00395B5F">
      <w:pPr>
        <w:overflowPunct/>
        <w:ind w:left="-567" w:right="-482"/>
        <w:jc w:val="both"/>
        <w:textAlignment w:val="auto"/>
        <w:rPr>
          <w:rFonts w:ascii="Calibri" w:hAnsi="Calibri" w:cs="Calibri"/>
          <w:i/>
          <w:iCs/>
          <w:sz w:val="24"/>
          <w:szCs w:val="24"/>
        </w:rPr>
      </w:pPr>
    </w:p>
    <w:p w14:paraId="2DE56020" w14:textId="2D2431AB" w:rsidR="004B404D" w:rsidRDefault="004B404D" w:rsidP="00395B5F">
      <w:pPr>
        <w:overflowPunct/>
        <w:ind w:left="-567" w:right="-482"/>
        <w:jc w:val="both"/>
        <w:textAlignment w:val="auto"/>
        <w:rPr>
          <w:rFonts w:ascii="Calibri" w:hAnsi="Calibri" w:cs="Calibri"/>
          <w:i/>
          <w:iCs/>
          <w:sz w:val="24"/>
          <w:szCs w:val="24"/>
        </w:rPr>
      </w:pPr>
      <w:r w:rsidRPr="00C74C96">
        <w:rPr>
          <w:rFonts w:ascii="Calibri" w:hAnsi="Calibri" w:cs="Calibri"/>
          <w:sz w:val="24"/>
          <w:szCs w:val="24"/>
        </w:rPr>
        <w:t xml:space="preserve">The objectives </w:t>
      </w:r>
      <w:r w:rsidR="00BA27CB">
        <w:rPr>
          <w:rFonts w:ascii="Calibri" w:hAnsi="Calibri" w:cs="Calibri"/>
          <w:sz w:val="24"/>
          <w:szCs w:val="24"/>
        </w:rPr>
        <w:t>of the Assessment Report</w:t>
      </w:r>
      <w:r>
        <w:rPr>
          <w:rFonts w:ascii="Calibri" w:hAnsi="Calibri" w:cs="Calibri"/>
          <w:i/>
          <w:iCs/>
          <w:sz w:val="24"/>
          <w:szCs w:val="24"/>
        </w:rPr>
        <w:t>:</w:t>
      </w:r>
    </w:p>
    <w:p w14:paraId="07414EDD" w14:textId="77777777" w:rsidR="00594159" w:rsidRDefault="00594159" w:rsidP="00395B5F">
      <w:pPr>
        <w:overflowPunct/>
        <w:ind w:left="-567" w:right="-482"/>
        <w:jc w:val="both"/>
        <w:textAlignment w:val="auto"/>
        <w:rPr>
          <w:rFonts w:ascii="Calibri" w:hAnsi="Calibri" w:cs="Calibri"/>
          <w:i/>
          <w:iCs/>
          <w:sz w:val="24"/>
          <w:szCs w:val="24"/>
        </w:rPr>
      </w:pPr>
    </w:p>
    <w:p w14:paraId="4D28FF38" w14:textId="65009772" w:rsidR="004B404D" w:rsidRPr="003A1BCA" w:rsidRDefault="004B404D" w:rsidP="003A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left="-567" w:right="-482"/>
        <w:jc w:val="both"/>
        <w:textAlignment w:val="auto"/>
        <w:rPr>
          <w:rFonts w:ascii="Calibri" w:hAnsi="Calibri" w:cs="Calibri"/>
          <w:sz w:val="24"/>
          <w:szCs w:val="24"/>
        </w:rPr>
      </w:pPr>
      <w:r w:rsidRPr="003A1BCA">
        <w:rPr>
          <w:rFonts w:ascii="Calibri" w:hAnsi="Calibri" w:cs="Calibri"/>
          <w:sz w:val="24"/>
          <w:szCs w:val="24"/>
        </w:rPr>
        <w:t xml:space="preserve">1) </w:t>
      </w:r>
      <w:r w:rsidRPr="003A1BCA">
        <w:rPr>
          <w:rFonts w:ascii="Calibri" w:hAnsi="Calibri" w:cs="Calibri"/>
          <w:b/>
          <w:bCs/>
          <w:sz w:val="24"/>
          <w:szCs w:val="24"/>
        </w:rPr>
        <w:t>to evaluate progress</w:t>
      </w:r>
      <w:r w:rsidRPr="003A1BCA">
        <w:rPr>
          <w:rFonts w:ascii="Calibri" w:hAnsi="Calibri" w:cs="Calibri"/>
          <w:sz w:val="24"/>
          <w:szCs w:val="24"/>
        </w:rPr>
        <w:t xml:space="preserve"> made towards the poverty and other key social targets (employment and education) and the effectiveness of national policy from the perspective of EAPN members</w:t>
      </w:r>
      <w:r w:rsidR="00C74C96" w:rsidRPr="003A1BCA">
        <w:rPr>
          <w:rFonts w:ascii="Calibri" w:hAnsi="Calibri" w:cs="Calibri"/>
          <w:sz w:val="24"/>
          <w:szCs w:val="24"/>
        </w:rPr>
        <w:t>/PeP.</w:t>
      </w:r>
    </w:p>
    <w:p w14:paraId="5AE34250" w14:textId="450392F4" w:rsidR="00C74C96" w:rsidRPr="003A1BCA" w:rsidRDefault="00C74C96" w:rsidP="003A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left="-567" w:right="-482"/>
        <w:jc w:val="both"/>
        <w:textAlignment w:val="auto"/>
        <w:rPr>
          <w:rFonts w:ascii="Calibri" w:hAnsi="Calibri" w:cs="Calibri"/>
          <w:sz w:val="24"/>
          <w:szCs w:val="24"/>
        </w:rPr>
      </w:pPr>
      <w:r w:rsidRPr="003A1BCA">
        <w:rPr>
          <w:rFonts w:ascii="Calibri" w:hAnsi="Calibri" w:cs="Calibri"/>
          <w:sz w:val="24"/>
          <w:szCs w:val="24"/>
        </w:rPr>
        <w:t xml:space="preserve">2) </w:t>
      </w:r>
      <w:r w:rsidRPr="003A1BCA">
        <w:rPr>
          <w:rFonts w:ascii="Calibri" w:hAnsi="Calibri" w:cs="Calibri"/>
          <w:b/>
          <w:bCs/>
          <w:sz w:val="24"/>
          <w:szCs w:val="24"/>
        </w:rPr>
        <w:t>to assess the impact</w:t>
      </w:r>
      <w:r w:rsidRPr="003A1BCA">
        <w:rPr>
          <w:rFonts w:ascii="Calibri" w:hAnsi="Calibri" w:cs="Calibri"/>
          <w:sz w:val="24"/>
          <w:szCs w:val="24"/>
        </w:rPr>
        <w:t xml:space="preserve"> of the European Semester instruments in achieving the required results and engaging people experiencing poverty and civil society organizations</w:t>
      </w:r>
    </w:p>
    <w:p w14:paraId="35296B7D" w14:textId="27D2ECE0" w:rsidR="00C74C96" w:rsidRPr="003A1BCA" w:rsidRDefault="00C74C96" w:rsidP="003A1BC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/>
        <w:ind w:left="-567" w:right="-482"/>
        <w:jc w:val="both"/>
        <w:textAlignment w:val="auto"/>
        <w:rPr>
          <w:rFonts w:ascii="Calibri" w:hAnsi="Calibri" w:cs="Calibri"/>
          <w:sz w:val="24"/>
          <w:szCs w:val="24"/>
        </w:rPr>
      </w:pPr>
      <w:r w:rsidRPr="003A1BCA">
        <w:rPr>
          <w:rFonts w:ascii="Calibri" w:hAnsi="Calibri" w:cs="Calibri"/>
          <w:sz w:val="24"/>
          <w:szCs w:val="24"/>
        </w:rPr>
        <w:t xml:space="preserve">3) </w:t>
      </w:r>
      <w:r w:rsidRPr="003A1BCA">
        <w:rPr>
          <w:rFonts w:ascii="Calibri" w:hAnsi="Calibri" w:cs="Calibri"/>
          <w:b/>
          <w:bCs/>
          <w:sz w:val="24"/>
          <w:szCs w:val="24"/>
        </w:rPr>
        <w:t>to highlight key upcoming challenges and make recommendations</w:t>
      </w:r>
      <w:r w:rsidRPr="003A1BCA">
        <w:rPr>
          <w:rFonts w:ascii="Calibri" w:hAnsi="Calibri" w:cs="Calibri"/>
          <w:sz w:val="24"/>
          <w:szCs w:val="24"/>
        </w:rPr>
        <w:t xml:space="preserve"> for the future period, linked to the EAPN post 2020 position paper.</w:t>
      </w:r>
    </w:p>
    <w:p w14:paraId="5EACA51D" w14:textId="77777777" w:rsidR="00BA27CB" w:rsidRDefault="00BA27CB" w:rsidP="00BA27CB">
      <w:pPr>
        <w:ind w:right="-482"/>
        <w:jc w:val="both"/>
        <w:rPr>
          <w:rFonts w:ascii="Calibri" w:hAnsi="Calibri" w:cs="Calibri"/>
          <w:sz w:val="24"/>
          <w:szCs w:val="24"/>
          <w:u w:val="single"/>
        </w:rPr>
      </w:pPr>
    </w:p>
    <w:p w14:paraId="5F674CA5" w14:textId="305241A2" w:rsidR="003A1BCA" w:rsidRPr="00BA27CB" w:rsidRDefault="00BD4C35" w:rsidP="00BA27CB">
      <w:pPr>
        <w:pStyle w:val="ListParagraph"/>
        <w:numPr>
          <w:ilvl w:val="0"/>
          <w:numId w:val="9"/>
        </w:numPr>
        <w:ind w:right="-482"/>
        <w:jc w:val="both"/>
        <w:rPr>
          <w:rFonts w:cs="Calibri"/>
          <w:sz w:val="24"/>
          <w:szCs w:val="24"/>
        </w:rPr>
      </w:pPr>
      <w:r w:rsidRPr="00BA27CB">
        <w:rPr>
          <w:rFonts w:cs="Calibri"/>
          <w:sz w:val="24"/>
          <w:szCs w:val="24"/>
        </w:rPr>
        <w:t xml:space="preserve">The paper will </w:t>
      </w:r>
      <w:r w:rsidR="00C74C96" w:rsidRPr="00BA27CB">
        <w:rPr>
          <w:rFonts w:cs="Calibri"/>
          <w:sz w:val="24"/>
          <w:szCs w:val="24"/>
        </w:rPr>
        <w:t>assess the current state of play and trends</w:t>
      </w:r>
      <w:r w:rsidR="003A1BCA" w:rsidRPr="00BA27CB">
        <w:rPr>
          <w:rFonts w:cs="Calibri"/>
          <w:sz w:val="24"/>
          <w:szCs w:val="24"/>
        </w:rPr>
        <w:t xml:space="preserve"> on poverty and social exclusion data, specifically the poverty, employment and education targets,</w:t>
      </w:r>
      <w:r w:rsidR="00C74C96" w:rsidRPr="00BA27CB">
        <w:rPr>
          <w:rFonts w:cs="Calibri"/>
          <w:sz w:val="24"/>
          <w:szCs w:val="24"/>
        </w:rPr>
        <w:t xml:space="preserve"> during the period 2000-2010, drawing on EU secondary sources: Eurostat, the Joint Employment Report, ESDE, </w:t>
      </w:r>
      <w:r w:rsidR="003A1BCA" w:rsidRPr="00BA27CB">
        <w:rPr>
          <w:rFonts w:cs="Calibri"/>
          <w:sz w:val="24"/>
          <w:szCs w:val="24"/>
        </w:rPr>
        <w:t>as well as</w:t>
      </w:r>
      <w:r w:rsidR="000F58E1" w:rsidRPr="00BA27CB">
        <w:rPr>
          <w:rFonts w:cs="Calibri"/>
          <w:sz w:val="24"/>
          <w:szCs w:val="24"/>
        </w:rPr>
        <w:t xml:space="preserve"> </w:t>
      </w:r>
      <w:r w:rsidR="003A1BCA" w:rsidRPr="00BA27CB">
        <w:rPr>
          <w:rFonts w:cs="Calibri"/>
          <w:sz w:val="24"/>
          <w:szCs w:val="24"/>
        </w:rPr>
        <w:t>EAPN</w:t>
      </w:r>
      <w:r w:rsidR="0039743E" w:rsidRPr="00BA27CB">
        <w:rPr>
          <w:rFonts w:cs="Calibri"/>
          <w:sz w:val="24"/>
          <w:szCs w:val="24"/>
        </w:rPr>
        <w:t xml:space="preserve"> publications and</w:t>
      </w:r>
      <w:r w:rsidR="003A1BCA" w:rsidRPr="00BA27CB">
        <w:rPr>
          <w:rFonts w:cs="Calibri"/>
          <w:sz w:val="24"/>
          <w:szCs w:val="24"/>
        </w:rPr>
        <w:t xml:space="preserve"> members national evidence. </w:t>
      </w:r>
    </w:p>
    <w:p w14:paraId="5A9369E6" w14:textId="3BDEA425" w:rsidR="003A1BCA" w:rsidRDefault="003A1BCA" w:rsidP="00BA27CB">
      <w:pPr>
        <w:pStyle w:val="ListParagraph"/>
        <w:numPr>
          <w:ilvl w:val="0"/>
          <w:numId w:val="9"/>
        </w:numPr>
        <w:ind w:right="-482"/>
        <w:jc w:val="both"/>
        <w:rPr>
          <w:rFonts w:cs="Calibri"/>
          <w:sz w:val="24"/>
          <w:szCs w:val="24"/>
        </w:rPr>
      </w:pPr>
      <w:r w:rsidRPr="000F58E1">
        <w:rPr>
          <w:rFonts w:cs="Calibri"/>
          <w:sz w:val="24"/>
          <w:szCs w:val="24"/>
        </w:rPr>
        <w:t xml:space="preserve">It will more qualitatively assess </w:t>
      </w:r>
      <w:r w:rsidR="000F58E1" w:rsidRPr="000F58E1">
        <w:rPr>
          <w:rFonts w:cs="Calibri"/>
          <w:sz w:val="24"/>
          <w:szCs w:val="24"/>
        </w:rPr>
        <w:t xml:space="preserve">national </w:t>
      </w:r>
      <w:r w:rsidRPr="000F58E1">
        <w:rPr>
          <w:rFonts w:cs="Calibri"/>
          <w:sz w:val="24"/>
          <w:szCs w:val="24"/>
        </w:rPr>
        <w:t xml:space="preserve">policy developments and </w:t>
      </w:r>
      <w:r w:rsidR="0039743E">
        <w:rPr>
          <w:rFonts w:cs="Calibri"/>
          <w:sz w:val="24"/>
          <w:szCs w:val="24"/>
        </w:rPr>
        <w:t xml:space="preserve">their </w:t>
      </w:r>
      <w:r w:rsidRPr="000F58E1">
        <w:rPr>
          <w:rFonts w:cs="Calibri"/>
          <w:sz w:val="24"/>
          <w:szCs w:val="24"/>
        </w:rPr>
        <w:t>impact, and the role that the European Semester has played</w:t>
      </w:r>
      <w:r w:rsidR="0039743E">
        <w:rPr>
          <w:rFonts w:cs="Calibri"/>
          <w:sz w:val="24"/>
          <w:szCs w:val="24"/>
        </w:rPr>
        <w:t>, particularly the Country Reports and the CSRs</w:t>
      </w:r>
      <w:r w:rsidR="000F58E1" w:rsidRPr="000F58E1">
        <w:rPr>
          <w:rFonts w:cs="Calibri"/>
          <w:sz w:val="24"/>
          <w:szCs w:val="24"/>
        </w:rPr>
        <w:t xml:space="preserve"> drawing on national experience and examples. This should include</w:t>
      </w:r>
      <w:r w:rsidR="000F58E1">
        <w:rPr>
          <w:rFonts w:cs="Calibri"/>
          <w:sz w:val="24"/>
          <w:szCs w:val="24"/>
        </w:rPr>
        <w:t xml:space="preserve"> testimonials/case studies from people experiencing poverty</w:t>
      </w:r>
      <w:r w:rsidR="0039743E">
        <w:rPr>
          <w:rFonts w:cs="Calibri"/>
          <w:sz w:val="24"/>
          <w:szCs w:val="24"/>
        </w:rPr>
        <w:t xml:space="preserve"> as well as examples from EAPN publications</w:t>
      </w:r>
      <w:r w:rsidR="00594159">
        <w:rPr>
          <w:rFonts w:cs="Calibri"/>
          <w:sz w:val="24"/>
          <w:szCs w:val="24"/>
        </w:rPr>
        <w:t xml:space="preserve"> as well as the SPC/EMCO evaluation and other assessments.</w:t>
      </w:r>
    </w:p>
    <w:p w14:paraId="0A3D0175" w14:textId="36E2423D" w:rsidR="000F58E1" w:rsidRPr="000F58E1" w:rsidRDefault="000F58E1" w:rsidP="00BA27CB">
      <w:pPr>
        <w:pStyle w:val="ListParagraph"/>
        <w:numPr>
          <w:ilvl w:val="0"/>
          <w:numId w:val="9"/>
        </w:numPr>
        <w:ind w:right="-48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It will summarize key learnings, messages and recommendations, in the current context of the New EU leadership and Drivers, linked to the EAPN Position Paper and other work.</w:t>
      </w:r>
    </w:p>
    <w:p w14:paraId="0E922FC6" w14:textId="31EFFE50" w:rsidR="00E134D1" w:rsidRPr="00594159" w:rsidRDefault="000F58E1" w:rsidP="00BA27CB">
      <w:pPr>
        <w:pStyle w:val="ListParagraph"/>
        <w:numPr>
          <w:ilvl w:val="0"/>
          <w:numId w:val="9"/>
        </w:numPr>
        <w:ind w:right="-482"/>
        <w:jc w:val="both"/>
        <w:rPr>
          <w:rFonts w:cs="Calibri"/>
          <w:sz w:val="24"/>
          <w:szCs w:val="24"/>
        </w:rPr>
      </w:pPr>
      <w:r w:rsidRPr="00594159">
        <w:rPr>
          <w:rFonts w:cs="Calibri"/>
          <w:sz w:val="24"/>
          <w:szCs w:val="24"/>
        </w:rPr>
        <w:t>The style of the report should be non-academic, accessibly and clearly written with examples and voice of PEP</w:t>
      </w:r>
      <w:r w:rsidR="00E134D1" w:rsidRPr="00594159">
        <w:rPr>
          <w:rFonts w:cs="Calibri"/>
          <w:sz w:val="24"/>
          <w:szCs w:val="24"/>
        </w:rPr>
        <w:t xml:space="preserve"> where possible</w:t>
      </w:r>
      <w:r w:rsidRPr="00594159">
        <w:rPr>
          <w:rFonts w:cs="Calibri"/>
          <w:sz w:val="24"/>
          <w:szCs w:val="24"/>
        </w:rPr>
        <w:t>,</w:t>
      </w:r>
      <w:r w:rsidR="00594159">
        <w:rPr>
          <w:rFonts w:cs="Calibri"/>
          <w:sz w:val="24"/>
          <w:szCs w:val="24"/>
        </w:rPr>
        <w:t xml:space="preserve"> as well as concrete examples from EAPN members evidence</w:t>
      </w:r>
      <w:r w:rsidRPr="00594159">
        <w:rPr>
          <w:rFonts w:cs="Calibri"/>
          <w:sz w:val="24"/>
          <w:szCs w:val="24"/>
        </w:rPr>
        <w:t xml:space="preserve"> but</w:t>
      </w:r>
      <w:r w:rsidR="00E134D1" w:rsidRPr="00594159">
        <w:rPr>
          <w:rFonts w:cs="Calibri"/>
          <w:sz w:val="24"/>
          <w:szCs w:val="24"/>
        </w:rPr>
        <w:t xml:space="preserve"> also</w:t>
      </w:r>
      <w:r w:rsidRPr="00594159">
        <w:rPr>
          <w:rFonts w:cs="Calibri"/>
          <w:sz w:val="24"/>
          <w:szCs w:val="24"/>
        </w:rPr>
        <w:t xml:space="preserve"> technically sound citing sources of statistical evidence. It should aim to communicate beyond decision-makers to broader stakeholders.</w:t>
      </w:r>
    </w:p>
    <w:p w14:paraId="62F78DB8" w14:textId="35CB4509" w:rsidR="00BA27CB" w:rsidRPr="00BA27CB" w:rsidRDefault="00E134D1" w:rsidP="000F2CB9">
      <w:pPr>
        <w:pStyle w:val="ListParagraph"/>
        <w:numPr>
          <w:ilvl w:val="0"/>
          <w:numId w:val="9"/>
        </w:numPr>
        <w:ind w:right="-482"/>
        <w:jc w:val="both"/>
        <w:rPr>
          <w:rFonts w:cs="Calibri"/>
          <w:sz w:val="24"/>
          <w:szCs w:val="24"/>
        </w:rPr>
      </w:pPr>
      <w:r w:rsidRPr="00BA27CB">
        <w:rPr>
          <w:rFonts w:cs="Calibri"/>
          <w:sz w:val="24"/>
          <w:szCs w:val="24"/>
        </w:rPr>
        <w:t xml:space="preserve">The consultant will </w:t>
      </w:r>
      <w:r w:rsidR="008351E0" w:rsidRPr="00BA27CB">
        <w:rPr>
          <w:rFonts w:cs="Calibri"/>
          <w:sz w:val="24"/>
          <w:szCs w:val="24"/>
        </w:rPr>
        <w:t>work with and report to</w:t>
      </w:r>
      <w:r w:rsidRPr="00BA27CB">
        <w:rPr>
          <w:rFonts w:cs="Calibri"/>
          <w:sz w:val="24"/>
          <w:szCs w:val="24"/>
        </w:rPr>
        <w:t xml:space="preserve"> the </w:t>
      </w:r>
      <w:r w:rsidR="008351E0" w:rsidRPr="00BA27CB">
        <w:rPr>
          <w:rFonts w:cs="Calibri"/>
          <w:sz w:val="24"/>
          <w:szCs w:val="24"/>
        </w:rPr>
        <w:t xml:space="preserve">EAPN </w:t>
      </w:r>
      <w:r w:rsidRPr="00BA27CB">
        <w:rPr>
          <w:rFonts w:cs="Calibri"/>
          <w:sz w:val="24"/>
          <w:szCs w:val="24"/>
        </w:rPr>
        <w:t xml:space="preserve">Policy Coordinator </w:t>
      </w:r>
      <w:r w:rsidR="008351E0" w:rsidRPr="00BA27CB">
        <w:rPr>
          <w:rFonts w:cs="Calibri"/>
          <w:sz w:val="24"/>
          <w:szCs w:val="24"/>
        </w:rPr>
        <w:t>regarding</w:t>
      </w:r>
      <w:r w:rsidRPr="00BA27CB">
        <w:rPr>
          <w:rFonts w:cs="Calibri"/>
          <w:sz w:val="24"/>
          <w:szCs w:val="24"/>
        </w:rPr>
        <w:t xml:space="preserve"> the </w:t>
      </w:r>
      <w:r w:rsidR="008351E0" w:rsidRPr="00BA27CB">
        <w:rPr>
          <w:rFonts w:cs="Calibri"/>
          <w:sz w:val="24"/>
          <w:szCs w:val="24"/>
        </w:rPr>
        <w:t xml:space="preserve">structure and content of </w:t>
      </w:r>
      <w:r w:rsidRPr="00BA27CB">
        <w:rPr>
          <w:rFonts w:cs="Calibri"/>
          <w:sz w:val="24"/>
          <w:szCs w:val="24"/>
        </w:rPr>
        <w:t>the report, the methodology, the questionnaire, the draft texts and the finalizing of the report</w:t>
      </w:r>
      <w:r w:rsidR="008351E0" w:rsidRPr="00BA27CB">
        <w:rPr>
          <w:rFonts w:cs="Calibri"/>
          <w:sz w:val="24"/>
          <w:szCs w:val="24"/>
        </w:rPr>
        <w:t>. The Policy Coordinator will be responsible for liaising with the Comms team on publication/dissemination.</w:t>
      </w:r>
    </w:p>
    <w:p w14:paraId="11092B74" w14:textId="6E489948" w:rsidR="000F58E1" w:rsidRDefault="00BA27CB" w:rsidP="00BD4C35">
      <w:pPr>
        <w:overflowPunct/>
        <w:ind w:left="-567" w:right="-482"/>
        <w:jc w:val="both"/>
        <w:textAlignment w:val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  <w:u w:val="single"/>
        </w:rPr>
        <w:t>R</w:t>
      </w:r>
      <w:r w:rsidR="00A82B51">
        <w:rPr>
          <w:rFonts w:ascii="Calibri" w:hAnsi="Calibri" w:cs="Calibri"/>
          <w:sz w:val="24"/>
          <w:szCs w:val="24"/>
          <w:u w:val="single"/>
        </w:rPr>
        <w:t xml:space="preserve">esponsibilities and </w:t>
      </w:r>
      <w:r w:rsidR="000F58E1" w:rsidRPr="000F58E1">
        <w:rPr>
          <w:rFonts w:ascii="Calibri" w:hAnsi="Calibri" w:cs="Calibri"/>
          <w:sz w:val="24"/>
          <w:szCs w:val="24"/>
          <w:u w:val="single"/>
        </w:rPr>
        <w:t>Timeline</w:t>
      </w:r>
    </w:p>
    <w:p w14:paraId="1CFA7817" w14:textId="77777777" w:rsidR="00594159" w:rsidRDefault="00594159" w:rsidP="00BD4C35">
      <w:pPr>
        <w:overflowPunct/>
        <w:ind w:left="-567" w:right="-482"/>
        <w:jc w:val="both"/>
        <w:textAlignment w:val="auto"/>
        <w:rPr>
          <w:rFonts w:ascii="Calibri" w:hAnsi="Calibri" w:cs="Calibri"/>
          <w:sz w:val="24"/>
          <w:szCs w:val="24"/>
          <w:u w:val="single"/>
        </w:rPr>
      </w:pPr>
    </w:p>
    <w:p w14:paraId="142C6EFA" w14:textId="410DACBD" w:rsidR="0039743E" w:rsidRPr="0039743E" w:rsidRDefault="0039743E" w:rsidP="000F58E1">
      <w:pPr>
        <w:pStyle w:val="ListParagraph"/>
        <w:numPr>
          <w:ilvl w:val="0"/>
          <w:numId w:val="11"/>
        </w:numPr>
        <w:ind w:right="-482"/>
        <w:jc w:val="both"/>
        <w:rPr>
          <w:rFonts w:cs="Calibri"/>
          <w:sz w:val="24"/>
          <w:szCs w:val="24"/>
          <w:u w:val="single"/>
        </w:rPr>
      </w:pPr>
      <w:r>
        <w:rPr>
          <w:rFonts w:cs="Calibri"/>
          <w:sz w:val="24"/>
          <w:szCs w:val="24"/>
        </w:rPr>
        <w:lastRenderedPageBreak/>
        <w:t xml:space="preserve">An initial workshop exchange will be carried out as part of the EAPN ES conference, highlighting key areas of concern and collecting specific evidence on the </w:t>
      </w:r>
      <w:r w:rsidRPr="0039743E">
        <w:rPr>
          <w:rFonts w:cs="Calibri"/>
          <w:b/>
          <w:bCs/>
          <w:sz w:val="24"/>
          <w:szCs w:val="24"/>
        </w:rPr>
        <w:t>19 March</w:t>
      </w:r>
      <w:r>
        <w:rPr>
          <w:rFonts w:cs="Calibri"/>
          <w:b/>
          <w:bCs/>
          <w:sz w:val="24"/>
          <w:szCs w:val="24"/>
        </w:rPr>
        <w:t xml:space="preserve"> 2020</w:t>
      </w:r>
      <w:r w:rsidR="00A82B51">
        <w:rPr>
          <w:rFonts w:cs="Calibri"/>
          <w:b/>
          <w:bCs/>
          <w:sz w:val="24"/>
          <w:szCs w:val="24"/>
        </w:rPr>
        <w:t xml:space="preserve"> </w:t>
      </w:r>
      <w:r w:rsidR="00A82B51" w:rsidRPr="00A82B51">
        <w:rPr>
          <w:rFonts w:cs="Calibri"/>
          <w:sz w:val="24"/>
          <w:szCs w:val="24"/>
        </w:rPr>
        <w:t>to be referenced in the report.</w:t>
      </w:r>
    </w:p>
    <w:p w14:paraId="13A8AB32" w14:textId="4A3B3A69" w:rsidR="0039743E" w:rsidRDefault="0039743E" w:rsidP="000F58E1">
      <w:pPr>
        <w:pStyle w:val="ListParagraph"/>
        <w:numPr>
          <w:ilvl w:val="0"/>
          <w:numId w:val="11"/>
        </w:numPr>
        <w:ind w:right="-482"/>
        <w:jc w:val="both"/>
        <w:rPr>
          <w:rFonts w:cs="Calibri"/>
          <w:sz w:val="24"/>
          <w:szCs w:val="24"/>
        </w:rPr>
      </w:pPr>
      <w:r w:rsidRPr="0039743E">
        <w:rPr>
          <w:rFonts w:cs="Calibri"/>
          <w:sz w:val="24"/>
          <w:szCs w:val="24"/>
        </w:rPr>
        <w:t xml:space="preserve">The consultant will </w:t>
      </w:r>
      <w:r w:rsidR="00E134D1">
        <w:rPr>
          <w:rFonts w:cs="Calibri"/>
          <w:sz w:val="24"/>
          <w:szCs w:val="24"/>
        </w:rPr>
        <w:t xml:space="preserve">collect initial secondary source material and </w:t>
      </w:r>
      <w:r w:rsidRPr="0039743E">
        <w:rPr>
          <w:rFonts w:cs="Calibri"/>
          <w:sz w:val="24"/>
          <w:szCs w:val="24"/>
        </w:rPr>
        <w:t>draft a</w:t>
      </w:r>
      <w:r w:rsidR="00A82B51">
        <w:rPr>
          <w:rFonts w:cs="Calibri"/>
          <w:sz w:val="24"/>
          <w:szCs w:val="24"/>
        </w:rPr>
        <w:t>n on-line</w:t>
      </w:r>
      <w:r w:rsidRPr="0039743E">
        <w:rPr>
          <w:rFonts w:cs="Calibri"/>
          <w:sz w:val="24"/>
          <w:szCs w:val="24"/>
        </w:rPr>
        <w:t xml:space="preserve"> questionnaire</w:t>
      </w:r>
      <w:r w:rsidR="00A82B51">
        <w:rPr>
          <w:rFonts w:cs="Calibri"/>
          <w:sz w:val="24"/>
          <w:szCs w:val="24"/>
        </w:rPr>
        <w:t xml:space="preserve"> in consultation with the Policy Coordinator</w:t>
      </w:r>
      <w:r w:rsidRPr="0039743E">
        <w:rPr>
          <w:rFonts w:cs="Calibri"/>
          <w:sz w:val="24"/>
          <w:szCs w:val="24"/>
        </w:rPr>
        <w:t xml:space="preserve"> to collect main</w:t>
      </w:r>
      <w:r>
        <w:rPr>
          <w:rFonts w:cs="Calibri"/>
          <w:sz w:val="24"/>
          <w:szCs w:val="24"/>
        </w:rPr>
        <w:t xml:space="preserve"> primary</w:t>
      </w:r>
      <w:r w:rsidRPr="0039743E">
        <w:rPr>
          <w:rFonts w:cs="Calibri"/>
          <w:sz w:val="24"/>
          <w:szCs w:val="24"/>
        </w:rPr>
        <w:t xml:space="preserve"> data through a quant</w:t>
      </w:r>
      <w:r>
        <w:rPr>
          <w:rFonts w:cs="Calibri"/>
          <w:sz w:val="24"/>
          <w:szCs w:val="24"/>
        </w:rPr>
        <w:t>ita</w:t>
      </w:r>
      <w:r w:rsidRPr="0039743E">
        <w:rPr>
          <w:rFonts w:cs="Calibri"/>
          <w:sz w:val="24"/>
          <w:szCs w:val="24"/>
        </w:rPr>
        <w:t>tive scoreboard and qualitative questions to capture main policy impact</w:t>
      </w:r>
      <w:r w:rsidR="00A82B51">
        <w:rPr>
          <w:rFonts w:cs="Calibri"/>
          <w:sz w:val="24"/>
          <w:szCs w:val="24"/>
        </w:rPr>
        <w:t xml:space="preserve"> including examples/testimonies including participation assessing</w:t>
      </w:r>
      <w:r w:rsidRPr="0039743E">
        <w:rPr>
          <w:rFonts w:cs="Calibri"/>
          <w:sz w:val="24"/>
          <w:szCs w:val="24"/>
        </w:rPr>
        <w:t xml:space="preserve"> the role of the European </w:t>
      </w:r>
      <w:r>
        <w:rPr>
          <w:rFonts w:cs="Calibri"/>
          <w:sz w:val="24"/>
          <w:szCs w:val="24"/>
        </w:rPr>
        <w:t>S</w:t>
      </w:r>
      <w:r w:rsidRPr="0039743E">
        <w:rPr>
          <w:rFonts w:cs="Calibri"/>
          <w:sz w:val="24"/>
          <w:szCs w:val="24"/>
        </w:rPr>
        <w:t>emester</w:t>
      </w:r>
      <w:r>
        <w:rPr>
          <w:rFonts w:cs="Calibri"/>
          <w:sz w:val="24"/>
          <w:szCs w:val="24"/>
        </w:rPr>
        <w:t xml:space="preserve">, </w:t>
      </w:r>
      <w:r w:rsidR="00E134D1">
        <w:rPr>
          <w:rFonts w:cs="Calibri"/>
          <w:sz w:val="24"/>
          <w:szCs w:val="24"/>
        </w:rPr>
        <w:t>to be sent out at the</w:t>
      </w:r>
      <w:r>
        <w:rPr>
          <w:rFonts w:cs="Calibri"/>
          <w:sz w:val="24"/>
          <w:szCs w:val="24"/>
        </w:rPr>
        <w:t xml:space="preserve"> </w:t>
      </w:r>
      <w:r w:rsidRPr="00E134D1">
        <w:rPr>
          <w:rFonts w:cs="Calibri"/>
          <w:b/>
          <w:bCs/>
          <w:sz w:val="24"/>
          <w:szCs w:val="24"/>
        </w:rPr>
        <w:t xml:space="preserve">end of </w:t>
      </w:r>
      <w:r w:rsidR="00E134D1" w:rsidRPr="00E134D1">
        <w:rPr>
          <w:rFonts w:cs="Calibri"/>
          <w:b/>
          <w:bCs/>
          <w:sz w:val="24"/>
          <w:szCs w:val="24"/>
        </w:rPr>
        <w:t>May</w:t>
      </w:r>
      <w:r w:rsidR="00E134D1">
        <w:rPr>
          <w:rFonts w:cs="Calibri"/>
          <w:sz w:val="24"/>
          <w:szCs w:val="24"/>
        </w:rPr>
        <w:t xml:space="preserve"> to be </w:t>
      </w:r>
      <w:r w:rsidR="00A82B51">
        <w:rPr>
          <w:rFonts w:cs="Calibri"/>
          <w:sz w:val="24"/>
          <w:szCs w:val="24"/>
        </w:rPr>
        <w:t>completed by  members</w:t>
      </w:r>
      <w:r w:rsidR="00E134D1">
        <w:rPr>
          <w:rFonts w:cs="Calibri"/>
          <w:sz w:val="24"/>
          <w:szCs w:val="24"/>
        </w:rPr>
        <w:t xml:space="preserve"> by the </w:t>
      </w:r>
      <w:r w:rsidR="00E134D1" w:rsidRPr="00E134D1">
        <w:rPr>
          <w:rFonts w:cs="Calibri"/>
          <w:b/>
          <w:bCs/>
          <w:sz w:val="24"/>
          <w:szCs w:val="24"/>
        </w:rPr>
        <w:t>end of June</w:t>
      </w:r>
      <w:r w:rsidR="00E134D1">
        <w:rPr>
          <w:rFonts w:cs="Calibri"/>
          <w:sz w:val="24"/>
          <w:szCs w:val="24"/>
        </w:rPr>
        <w:t>. This may include a session in the June EUISG</w:t>
      </w:r>
      <w:r w:rsidR="008351E0">
        <w:rPr>
          <w:rFonts w:cs="Calibri"/>
          <w:sz w:val="24"/>
          <w:szCs w:val="24"/>
        </w:rPr>
        <w:t>.</w:t>
      </w:r>
    </w:p>
    <w:p w14:paraId="7A764F8C" w14:textId="6075D579" w:rsidR="0039743E" w:rsidRDefault="0039743E" w:rsidP="000F58E1">
      <w:pPr>
        <w:pStyle w:val="ListParagraph"/>
        <w:numPr>
          <w:ilvl w:val="0"/>
          <w:numId w:val="11"/>
        </w:numPr>
        <w:ind w:right="-482"/>
        <w:jc w:val="both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The consultant</w:t>
      </w:r>
      <w:r w:rsidR="00E134D1">
        <w:rPr>
          <w:rFonts w:cs="Calibri"/>
          <w:sz w:val="24"/>
          <w:szCs w:val="24"/>
        </w:rPr>
        <w:t xml:space="preserve"> will analyse the findings and draft the report by the </w:t>
      </w:r>
      <w:r w:rsidR="00E134D1" w:rsidRPr="00E134D1">
        <w:rPr>
          <w:rFonts w:cs="Calibri"/>
          <w:b/>
          <w:bCs/>
          <w:sz w:val="24"/>
          <w:szCs w:val="24"/>
        </w:rPr>
        <w:t>15</w:t>
      </w:r>
      <w:r w:rsidR="00E134D1" w:rsidRPr="00E134D1">
        <w:rPr>
          <w:rFonts w:cs="Calibri"/>
          <w:b/>
          <w:bCs/>
          <w:sz w:val="24"/>
          <w:szCs w:val="24"/>
          <w:vertAlign w:val="superscript"/>
        </w:rPr>
        <w:t>th</w:t>
      </w:r>
      <w:r w:rsidR="00E134D1" w:rsidRPr="00E134D1">
        <w:rPr>
          <w:rFonts w:cs="Calibri"/>
          <w:b/>
          <w:bCs/>
          <w:sz w:val="24"/>
          <w:szCs w:val="24"/>
        </w:rPr>
        <w:t xml:space="preserve"> July</w:t>
      </w:r>
      <w:r w:rsidR="00A82B51" w:rsidRPr="00A82B51">
        <w:rPr>
          <w:rFonts w:cs="Calibri"/>
          <w:sz w:val="24"/>
          <w:szCs w:val="24"/>
        </w:rPr>
        <w:t>, checking the copy with the Policy Coordinator before it is</w:t>
      </w:r>
      <w:r w:rsidR="00E134D1" w:rsidRPr="00A82B51">
        <w:rPr>
          <w:rFonts w:cs="Calibri"/>
          <w:sz w:val="24"/>
          <w:szCs w:val="24"/>
        </w:rPr>
        <w:t xml:space="preserve"> sent for final comments to the EUISG</w:t>
      </w:r>
      <w:r w:rsidR="00E134D1" w:rsidRPr="00E134D1">
        <w:rPr>
          <w:rFonts w:cs="Calibri"/>
          <w:sz w:val="24"/>
          <w:szCs w:val="24"/>
        </w:rPr>
        <w:t xml:space="preserve"> by the end of August.</w:t>
      </w:r>
    </w:p>
    <w:p w14:paraId="329B26CE" w14:textId="328640D8" w:rsidR="00E134D1" w:rsidRDefault="00E134D1" w:rsidP="000F58E1">
      <w:pPr>
        <w:pStyle w:val="ListParagraph"/>
        <w:numPr>
          <w:ilvl w:val="0"/>
          <w:numId w:val="11"/>
        </w:numPr>
        <w:ind w:right="-482"/>
        <w:jc w:val="both"/>
        <w:rPr>
          <w:rFonts w:cs="Calibri"/>
          <w:b/>
          <w:bCs/>
          <w:sz w:val="24"/>
          <w:szCs w:val="24"/>
        </w:rPr>
      </w:pPr>
      <w:r>
        <w:rPr>
          <w:rFonts w:cs="Calibri"/>
          <w:sz w:val="24"/>
          <w:szCs w:val="24"/>
        </w:rPr>
        <w:t xml:space="preserve">The </w:t>
      </w:r>
      <w:r w:rsidR="00A82B51">
        <w:rPr>
          <w:rFonts w:cs="Calibri"/>
          <w:sz w:val="24"/>
          <w:szCs w:val="24"/>
        </w:rPr>
        <w:t xml:space="preserve">consultant will include comments/amendments from members and </w:t>
      </w:r>
      <w:r>
        <w:rPr>
          <w:rFonts w:cs="Calibri"/>
          <w:sz w:val="24"/>
          <w:szCs w:val="24"/>
        </w:rPr>
        <w:t>finalize</w:t>
      </w:r>
      <w:r w:rsidR="00A82B51">
        <w:rPr>
          <w:rFonts w:cs="Calibri"/>
          <w:sz w:val="24"/>
          <w:szCs w:val="24"/>
        </w:rPr>
        <w:t xml:space="preserve"> the text of the report by </w:t>
      </w:r>
      <w:r>
        <w:rPr>
          <w:rFonts w:cs="Calibri"/>
          <w:sz w:val="24"/>
          <w:szCs w:val="24"/>
        </w:rPr>
        <w:t xml:space="preserve">the </w:t>
      </w:r>
      <w:r w:rsidRPr="00E134D1">
        <w:rPr>
          <w:rFonts w:cs="Calibri"/>
          <w:b/>
          <w:bCs/>
          <w:sz w:val="24"/>
          <w:szCs w:val="24"/>
        </w:rPr>
        <w:t>7</w:t>
      </w:r>
      <w:r w:rsidRPr="00E134D1">
        <w:rPr>
          <w:rFonts w:cs="Calibri"/>
          <w:b/>
          <w:bCs/>
          <w:sz w:val="24"/>
          <w:szCs w:val="24"/>
          <w:vertAlign w:val="superscript"/>
        </w:rPr>
        <w:t>th</w:t>
      </w:r>
      <w:r w:rsidRPr="00E134D1">
        <w:rPr>
          <w:rFonts w:cs="Calibri"/>
          <w:b/>
          <w:bCs/>
          <w:sz w:val="24"/>
          <w:szCs w:val="24"/>
        </w:rPr>
        <w:t xml:space="preserve"> September.</w:t>
      </w:r>
    </w:p>
    <w:p w14:paraId="0A8EE2FB" w14:textId="77777777" w:rsidR="00594159" w:rsidRPr="00594159" w:rsidRDefault="00E134D1" w:rsidP="00594159">
      <w:pPr>
        <w:pStyle w:val="ListParagraph"/>
        <w:numPr>
          <w:ilvl w:val="0"/>
          <w:numId w:val="11"/>
        </w:numPr>
        <w:ind w:right="-482"/>
        <w:jc w:val="both"/>
        <w:rPr>
          <w:rFonts w:cs="Calibri"/>
        </w:rPr>
      </w:pPr>
      <w:r w:rsidRPr="00594159">
        <w:rPr>
          <w:rFonts w:cs="Calibri"/>
          <w:b/>
          <w:bCs/>
          <w:sz w:val="24"/>
          <w:szCs w:val="24"/>
        </w:rPr>
        <w:t xml:space="preserve"> </w:t>
      </w:r>
      <w:r w:rsidRPr="00594159">
        <w:rPr>
          <w:rFonts w:cs="Calibri"/>
          <w:sz w:val="24"/>
          <w:szCs w:val="24"/>
        </w:rPr>
        <w:t xml:space="preserve">The </w:t>
      </w:r>
      <w:r w:rsidR="00A82B51" w:rsidRPr="00594159">
        <w:rPr>
          <w:rFonts w:cs="Calibri"/>
          <w:sz w:val="24"/>
          <w:szCs w:val="24"/>
        </w:rPr>
        <w:t xml:space="preserve">Policy Coordinator will liaise with the Communication Team to ensure that the </w:t>
      </w:r>
      <w:r w:rsidRPr="00594159">
        <w:rPr>
          <w:rFonts w:cs="Calibri"/>
          <w:sz w:val="24"/>
          <w:szCs w:val="24"/>
        </w:rPr>
        <w:t xml:space="preserve">final report </w:t>
      </w:r>
      <w:r w:rsidR="00594159" w:rsidRPr="00594159">
        <w:rPr>
          <w:rFonts w:cs="Calibri"/>
          <w:sz w:val="24"/>
          <w:szCs w:val="24"/>
        </w:rPr>
        <w:t>is</w:t>
      </w:r>
      <w:r w:rsidRPr="00594159">
        <w:rPr>
          <w:rFonts w:cs="Calibri"/>
          <w:sz w:val="24"/>
          <w:szCs w:val="24"/>
        </w:rPr>
        <w:t xml:space="preserve"> laid out and printed for the EAPN conference on the</w:t>
      </w:r>
      <w:r w:rsidRPr="00594159">
        <w:rPr>
          <w:rFonts w:cs="Calibri"/>
          <w:b/>
          <w:bCs/>
          <w:sz w:val="24"/>
          <w:szCs w:val="24"/>
        </w:rPr>
        <w:t xml:space="preserve"> 24/5/6 September</w:t>
      </w:r>
      <w:r w:rsidR="00594159">
        <w:rPr>
          <w:rFonts w:cs="Calibri"/>
          <w:b/>
          <w:bCs/>
          <w:sz w:val="24"/>
          <w:szCs w:val="24"/>
        </w:rPr>
        <w:t>.</w:t>
      </w:r>
    </w:p>
    <w:p w14:paraId="597365C6" w14:textId="77777777" w:rsidR="00594159" w:rsidRPr="00594159" w:rsidRDefault="00594159" w:rsidP="00594159">
      <w:pPr>
        <w:pStyle w:val="ListParagraph"/>
        <w:ind w:left="-567" w:right="-482"/>
        <w:jc w:val="both"/>
        <w:rPr>
          <w:rFonts w:cs="Calibri"/>
        </w:rPr>
      </w:pPr>
    </w:p>
    <w:p w14:paraId="6846CF51" w14:textId="77777777" w:rsidR="00CA787D" w:rsidRPr="002073B3" w:rsidRDefault="00CA787D" w:rsidP="00395B5F">
      <w:pPr>
        <w:ind w:left="-567" w:right="-482"/>
        <w:jc w:val="both"/>
        <w:rPr>
          <w:rFonts w:ascii="Calibri" w:hAnsi="Calibri" w:cs="Calibri"/>
          <w:lang w:val="en-US"/>
        </w:rPr>
      </w:pPr>
    </w:p>
    <w:sectPr w:rsidR="00CA787D" w:rsidRPr="002073B3" w:rsidSect="00036E1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60" w:right="1800" w:bottom="153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65C746" w14:textId="77777777" w:rsidR="000A319C" w:rsidRDefault="000A319C" w:rsidP="00BD4C35">
      <w:r>
        <w:separator/>
      </w:r>
    </w:p>
  </w:endnote>
  <w:endnote w:type="continuationSeparator" w:id="0">
    <w:p w14:paraId="7102663A" w14:textId="77777777" w:rsidR="000A319C" w:rsidRDefault="000A319C" w:rsidP="00BD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BB68BA" w14:textId="77777777" w:rsidR="00AA389E" w:rsidRDefault="00AA389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727D7F" w14:textId="77777777" w:rsidR="00AA389E" w:rsidRDefault="00AA389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D51ADA" w14:textId="77777777" w:rsidR="00AA389E" w:rsidRDefault="00AA38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3BB52" w14:textId="77777777" w:rsidR="000A319C" w:rsidRDefault="000A319C" w:rsidP="00BD4C35">
      <w:r>
        <w:separator/>
      </w:r>
    </w:p>
  </w:footnote>
  <w:footnote w:type="continuationSeparator" w:id="0">
    <w:p w14:paraId="159D5D55" w14:textId="77777777" w:rsidR="000A319C" w:rsidRDefault="000A319C" w:rsidP="00BD4C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437333" w14:textId="77777777" w:rsidR="00AA389E" w:rsidRDefault="00AA389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7C0557" w14:textId="3EBE303F" w:rsidR="00A82B51" w:rsidRDefault="00A82B51" w:rsidP="00AA389E">
    <w:pPr>
      <w:pStyle w:val="Header"/>
      <w:tabs>
        <w:tab w:val="clear" w:pos="9026"/>
      </w:tabs>
      <w:ind w:right="-1192"/>
    </w:pPr>
    <w:r>
      <w:t>Draft_SJ_13.02.2020</w:t>
    </w:r>
    <w:r w:rsidR="00AA389E">
      <w:tab/>
    </w:r>
    <w:r w:rsidR="00AA389E">
      <w:tab/>
    </w:r>
    <w:r w:rsidR="00AA389E">
      <w:tab/>
    </w:r>
    <w:r w:rsidR="00AA389E">
      <w:tab/>
    </w:r>
    <w:r w:rsidR="00AA389E">
      <w:tab/>
    </w:r>
    <w:r w:rsidR="00AA389E">
      <w:tab/>
    </w:r>
    <w:r w:rsidR="00AA389E">
      <w:tab/>
      <w:t xml:space="preserve">           </w:t>
    </w:r>
    <w:bookmarkStart w:id="0" w:name="_GoBack"/>
    <w:bookmarkEnd w:id="0"/>
    <w:r w:rsidR="00AA389E" w:rsidRPr="00AA389E">
      <w:rPr>
        <w:rFonts w:asciiTheme="minorHAnsi" w:hAnsiTheme="minorHAnsi" w:cstheme="minorHAnsi"/>
        <w:b/>
        <w:bCs/>
        <w:sz w:val="32"/>
        <w:szCs w:val="32"/>
      </w:rPr>
      <w:t>7a</w:t>
    </w:r>
  </w:p>
  <w:p w14:paraId="3C1DAB83" w14:textId="77777777" w:rsidR="00A82B51" w:rsidRDefault="00A82B5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ECEF67" w14:textId="77777777" w:rsidR="00AA389E" w:rsidRDefault="00AA38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71C5E"/>
    <w:multiLevelType w:val="hybridMultilevel"/>
    <w:tmpl w:val="F8242B36"/>
    <w:lvl w:ilvl="0" w:tplc="0809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07AD159C"/>
    <w:multiLevelType w:val="hybridMultilevel"/>
    <w:tmpl w:val="757821C4"/>
    <w:lvl w:ilvl="0" w:tplc="9B800D9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F6DDA"/>
    <w:multiLevelType w:val="hybridMultilevel"/>
    <w:tmpl w:val="33663F70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2713E49"/>
    <w:multiLevelType w:val="hybridMultilevel"/>
    <w:tmpl w:val="A28208A6"/>
    <w:lvl w:ilvl="0" w:tplc="A8F4388C">
      <w:start w:val="1"/>
      <w:numFmt w:val="decimal"/>
      <w:lvlText w:val="%1)"/>
      <w:lvlJc w:val="left"/>
      <w:pPr>
        <w:ind w:left="-20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513" w:hanging="360"/>
      </w:pPr>
    </w:lvl>
    <w:lvl w:ilvl="2" w:tplc="0809001B" w:tentative="1">
      <w:start w:val="1"/>
      <w:numFmt w:val="lowerRoman"/>
      <w:lvlText w:val="%3."/>
      <w:lvlJc w:val="right"/>
      <w:pPr>
        <w:ind w:left="1233" w:hanging="180"/>
      </w:pPr>
    </w:lvl>
    <w:lvl w:ilvl="3" w:tplc="0809000F" w:tentative="1">
      <w:start w:val="1"/>
      <w:numFmt w:val="decimal"/>
      <w:lvlText w:val="%4."/>
      <w:lvlJc w:val="left"/>
      <w:pPr>
        <w:ind w:left="1953" w:hanging="360"/>
      </w:pPr>
    </w:lvl>
    <w:lvl w:ilvl="4" w:tplc="08090019" w:tentative="1">
      <w:start w:val="1"/>
      <w:numFmt w:val="lowerLetter"/>
      <w:lvlText w:val="%5."/>
      <w:lvlJc w:val="left"/>
      <w:pPr>
        <w:ind w:left="2673" w:hanging="360"/>
      </w:pPr>
    </w:lvl>
    <w:lvl w:ilvl="5" w:tplc="0809001B" w:tentative="1">
      <w:start w:val="1"/>
      <w:numFmt w:val="lowerRoman"/>
      <w:lvlText w:val="%6."/>
      <w:lvlJc w:val="right"/>
      <w:pPr>
        <w:ind w:left="3393" w:hanging="180"/>
      </w:pPr>
    </w:lvl>
    <w:lvl w:ilvl="6" w:tplc="0809000F" w:tentative="1">
      <w:start w:val="1"/>
      <w:numFmt w:val="decimal"/>
      <w:lvlText w:val="%7."/>
      <w:lvlJc w:val="left"/>
      <w:pPr>
        <w:ind w:left="4113" w:hanging="360"/>
      </w:pPr>
    </w:lvl>
    <w:lvl w:ilvl="7" w:tplc="08090019" w:tentative="1">
      <w:start w:val="1"/>
      <w:numFmt w:val="lowerLetter"/>
      <w:lvlText w:val="%8."/>
      <w:lvlJc w:val="left"/>
      <w:pPr>
        <w:ind w:left="4833" w:hanging="360"/>
      </w:pPr>
    </w:lvl>
    <w:lvl w:ilvl="8" w:tplc="080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4" w15:restartNumberingAfterBreak="0">
    <w:nsid w:val="32B514D9"/>
    <w:multiLevelType w:val="hybridMultilevel"/>
    <w:tmpl w:val="DFA0AA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3604117"/>
    <w:multiLevelType w:val="hybridMultilevel"/>
    <w:tmpl w:val="6FCA19B4"/>
    <w:lvl w:ilvl="0" w:tplc="6F766058">
      <w:start w:val="5"/>
      <w:numFmt w:val="bullet"/>
      <w:lvlText w:val="-"/>
      <w:lvlJc w:val="left"/>
      <w:pPr>
        <w:ind w:left="-207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6" w15:restartNumberingAfterBreak="0">
    <w:nsid w:val="578E29E8"/>
    <w:multiLevelType w:val="hybridMultilevel"/>
    <w:tmpl w:val="BD061A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74C90"/>
    <w:multiLevelType w:val="hybridMultilevel"/>
    <w:tmpl w:val="364C54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641AD4"/>
    <w:multiLevelType w:val="hybridMultilevel"/>
    <w:tmpl w:val="A46EBD0C"/>
    <w:lvl w:ilvl="0" w:tplc="9632785C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53A14A4"/>
    <w:multiLevelType w:val="multilevel"/>
    <w:tmpl w:val="05527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8"/>
  </w:num>
  <w:num w:numId="4">
    <w:abstractNumId w:val="4"/>
  </w:num>
  <w:num w:numId="5">
    <w:abstractNumId w:val="6"/>
  </w:num>
  <w:num w:numId="6">
    <w:abstractNumId w:val="2"/>
  </w:num>
  <w:num w:numId="7">
    <w:abstractNumId w:val="5"/>
  </w:num>
  <w:num w:numId="8">
    <w:abstractNumId w:val="1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9B2"/>
    <w:rsid w:val="000152D9"/>
    <w:rsid w:val="00036E1D"/>
    <w:rsid w:val="0004455E"/>
    <w:rsid w:val="000A319C"/>
    <w:rsid w:val="000A3EC2"/>
    <w:rsid w:val="000B21E7"/>
    <w:rsid w:val="000D0B9A"/>
    <w:rsid w:val="000F58E1"/>
    <w:rsid w:val="001020BF"/>
    <w:rsid w:val="0012448D"/>
    <w:rsid w:val="00166C28"/>
    <w:rsid w:val="001B65DC"/>
    <w:rsid w:val="001F10C2"/>
    <w:rsid w:val="001F3F9A"/>
    <w:rsid w:val="002073B3"/>
    <w:rsid w:val="00220C0E"/>
    <w:rsid w:val="0022373B"/>
    <w:rsid w:val="00242965"/>
    <w:rsid w:val="00257047"/>
    <w:rsid w:val="002819AF"/>
    <w:rsid w:val="00281F8A"/>
    <w:rsid w:val="002D3D45"/>
    <w:rsid w:val="002D7D64"/>
    <w:rsid w:val="00300014"/>
    <w:rsid w:val="0031019E"/>
    <w:rsid w:val="00380F48"/>
    <w:rsid w:val="00395B5F"/>
    <w:rsid w:val="0039743E"/>
    <w:rsid w:val="003A1BCA"/>
    <w:rsid w:val="00404999"/>
    <w:rsid w:val="00406DB4"/>
    <w:rsid w:val="0041799D"/>
    <w:rsid w:val="00473304"/>
    <w:rsid w:val="00481B21"/>
    <w:rsid w:val="004B0F45"/>
    <w:rsid w:val="004B404D"/>
    <w:rsid w:val="004B41F0"/>
    <w:rsid w:val="004D1EA8"/>
    <w:rsid w:val="004D2E50"/>
    <w:rsid w:val="004E47EE"/>
    <w:rsid w:val="00562D72"/>
    <w:rsid w:val="00594159"/>
    <w:rsid w:val="005F2BD9"/>
    <w:rsid w:val="005F66E1"/>
    <w:rsid w:val="0060559E"/>
    <w:rsid w:val="00615E58"/>
    <w:rsid w:val="0062741A"/>
    <w:rsid w:val="0063508E"/>
    <w:rsid w:val="006966BB"/>
    <w:rsid w:val="006A2615"/>
    <w:rsid w:val="006D2F60"/>
    <w:rsid w:val="006F079A"/>
    <w:rsid w:val="00727E67"/>
    <w:rsid w:val="00745304"/>
    <w:rsid w:val="00761498"/>
    <w:rsid w:val="00784702"/>
    <w:rsid w:val="007869AD"/>
    <w:rsid w:val="00787AC7"/>
    <w:rsid w:val="007D7397"/>
    <w:rsid w:val="007F097F"/>
    <w:rsid w:val="00807964"/>
    <w:rsid w:val="008351E0"/>
    <w:rsid w:val="00873E53"/>
    <w:rsid w:val="00896DAF"/>
    <w:rsid w:val="00896EB7"/>
    <w:rsid w:val="008E6FAB"/>
    <w:rsid w:val="00914BC0"/>
    <w:rsid w:val="00966FDE"/>
    <w:rsid w:val="009767A8"/>
    <w:rsid w:val="009F531F"/>
    <w:rsid w:val="00A554B1"/>
    <w:rsid w:val="00A61DDC"/>
    <w:rsid w:val="00A759B2"/>
    <w:rsid w:val="00A82B51"/>
    <w:rsid w:val="00AA389E"/>
    <w:rsid w:val="00AC3E37"/>
    <w:rsid w:val="00AF49B2"/>
    <w:rsid w:val="00B0298C"/>
    <w:rsid w:val="00B2394B"/>
    <w:rsid w:val="00B84A26"/>
    <w:rsid w:val="00B84D41"/>
    <w:rsid w:val="00BA0341"/>
    <w:rsid w:val="00BA27CB"/>
    <w:rsid w:val="00BD4C35"/>
    <w:rsid w:val="00C52632"/>
    <w:rsid w:val="00C63626"/>
    <w:rsid w:val="00C74C96"/>
    <w:rsid w:val="00C77390"/>
    <w:rsid w:val="00C87C96"/>
    <w:rsid w:val="00CA0E3F"/>
    <w:rsid w:val="00CA787D"/>
    <w:rsid w:val="00CD0276"/>
    <w:rsid w:val="00CE33D3"/>
    <w:rsid w:val="00CF3758"/>
    <w:rsid w:val="00D1046F"/>
    <w:rsid w:val="00D1586E"/>
    <w:rsid w:val="00D66AA5"/>
    <w:rsid w:val="00D8106B"/>
    <w:rsid w:val="00DC2752"/>
    <w:rsid w:val="00DD7675"/>
    <w:rsid w:val="00DE6BD3"/>
    <w:rsid w:val="00DF74C7"/>
    <w:rsid w:val="00E134D1"/>
    <w:rsid w:val="00E1493B"/>
    <w:rsid w:val="00E64C74"/>
    <w:rsid w:val="00E662F4"/>
    <w:rsid w:val="00FD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846CF0F"/>
  <w15:docId w15:val="{BD9946AF-E8A5-4928-9E26-9F16B2E5C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4999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paragraph" w:styleId="Heading2">
    <w:name w:val="heading 2"/>
    <w:basedOn w:val="Normal"/>
    <w:next w:val="Normal"/>
    <w:qFormat/>
    <w:rsid w:val="00404999"/>
    <w:pPr>
      <w:keepNext/>
      <w:jc w:val="center"/>
      <w:outlineLvl w:val="1"/>
    </w:pPr>
    <w:rPr>
      <w:rFonts w:ascii="Britannic Bold" w:hAnsi="Britannic Bold" w:cs="Courier New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F10C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2741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val="en-US"/>
    </w:rPr>
  </w:style>
  <w:style w:type="character" w:styleId="CommentReference">
    <w:name w:val="annotation reference"/>
    <w:rsid w:val="00DC2752"/>
    <w:rPr>
      <w:sz w:val="16"/>
      <w:szCs w:val="16"/>
    </w:rPr>
  </w:style>
  <w:style w:type="paragraph" w:styleId="CommentText">
    <w:name w:val="annotation text"/>
    <w:basedOn w:val="Normal"/>
    <w:link w:val="CommentTextChar"/>
    <w:rsid w:val="00DC2752"/>
  </w:style>
  <w:style w:type="character" w:customStyle="1" w:styleId="CommentTextChar">
    <w:name w:val="Comment Text Char"/>
    <w:link w:val="CommentText"/>
    <w:rsid w:val="00DC2752"/>
    <w:rPr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DC2752"/>
    <w:rPr>
      <w:b/>
      <w:bCs/>
    </w:rPr>
  </w:style>
  <w:style w:type="character" w:customStyle="1" w:styleId="CommentSubjectChar">
    <w:name w:val="Comment Subject Char"/>
    <w:link w:val="CommentSubject"/>
    <w:rsid w:val="00DC2752"/>
    <w:rPr>
      <w:b/>
      <w:bCs/>
      <w:lang w:val="en-GB"/>
    </w:rPr>
  </w:style>
  <w:style w:type="character" w:styleId="Hyperlink">
    <w:name w:val="Hyperlink"/>
    <w:basedOn w:val="DefaultParagraphFont"/>
    <w:uiPriority w:val="99"/>
    <w:unhideWhenUsed/>
    <w:rsid w:val="00BD4C35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C35"/>
    <w:pPr>
      <w:overflowPunct/>
      <w:autoSpaceDE/>
      <w:autoSpaceDN/>
      <w:adjustRightInd/>
      <w:jc w:val="both"/>
      <w:textAlignment w:val="auto"/>
    </w:pPr>
    <w:rPr>
      <w:rFonts w:asciiTheme="minorHAnsi" w:eastAsiaTheme="minorHAnsi" w:hAnsiTheme="minorHAnsi" w:cstheme="minorBidi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C35"/>
    <w:rPr>
      <w:rFonts w:asciiTheme="minorHAnsi" w:eastAsiaTheme="minorHAnsi" w:hAnsiTheme="minorHAnsi" w:cstheme="minorBidi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4C35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2B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2B51"/>
    <w:rPr>
      <w:lang w:val="en-GB"/>
    </w:rPr>
  </w:style>
  <w:style w:type="paragraph" w:styleId="Footer">
    <w:name w:val="footer"/>
    <w:basedOn w:val="Normal"/>
    <w:link w:val="FooterChar"/>
    <w:unhideWhenUsed/>
    <w:rsid w:val="00A82B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82B51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4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517</Words>
  <Characters>2950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anti poverty Network</Company>
  <LinksUpToDate>false</LinksUpToDate>
  <CharactersWithSpaces>3461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EAPN</dc:creator>
  <cp:lastModifiedBy>Rebecca</cp:lastModifiedBy>
  <cp:revision>3</cp:revision>
  <dcterms:created xsi:type="dcterms:W3CDTF">2020-03-05T11:32:00Z</dcterms:created>
  <dcterms:modified xsi:type="dcterms:W3CDTF">2020-03-06T17:03:00Z</dcterms:modified>
</cp:coreProperties>
</file>