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7A0A" w14:textId="2DC5999C" w:rsidR="008C1622" w:rsidRDefault="008C1622" w:rsidP="008C1622">
      <w:pPr>
        <w:rPr>
          <w:b/>
          <w:bCs/>
          <w:u w:val="single"/>
        </w:rPr>
      </w:pPr>
      <w:r w:rsidRPr="008C1622">
        <w:rPr>
          <w:b/>
          <w:bCs/>
          <w:u w:val="single"/>
        </w:rPr>
        <w:t xml:space="preserve">Ex Co </w:t>
      </w:r>
      <w:r>
        <w:rPr>
          <w:b/>
          <w:bCs/>
          <w:u w:val="single"/>
        </w:rPr>
        <w:t>webinar</w:t>
      </w:r>
      <w:r w:rsidRPr="008C1622">
        <w:rPr>
          <w:b/>
          <w:bCs/>
          <w:u w:val="single"/>
        </w:rPr>
        <w:t xml:space="preserve"> on the</w:t>
      </w:r>
      <w:r>
        <w:rPr>
          <w:b/>
          <w:bCs/>
          <w:u w:val="single"/>
        </w:rPr>
        <w:t xml:space="preserve"> Directors request for a ‘credit temps’</w:t>
      </w:r>
    </w:p>
    <w:p w14:paraId="2DD2B999" w14:textId="5F7DEFC9" w:rsidR="008C1622" w:rsidRDefault="008C1622" w:rsidP="008C1622">
      <w:r>
        <w:t>The Ex Co had a confidential discussion (without the Director) about the request from the Director to have a credit temps of one year, starting at the end of September.</w:t>
      </w:r>
      <w:r w:rsidR="00E763A4">
        <w:t xml:space="preserve"> T</w:t>
      </w:r>
      <w:r>
        <w:t>he Ex Co agreed (by a vote of 15 in favour and 11 against) to accept the request, on the condition that the start date is postponed by 3 months until the end of 2020, because of the complications that the global pandemic are causing, and might cause for the recruitment of the Acting Director. This condition was accepted by the Director.</w:t>
      </w:r>
    </w:p>
    <w:p w14:paraId="45852600" w14:textId="40DE6A38" w:rsidR="008C1622" w:rsidRPr="008C1622" w:rsidRDefault="008C1622" w:rsidP="008C1622">
      <w:pPr>
        <w:rPr>
          <w:b/>
          <w:bCs/>
        </w:rPr>
      </w:pPr>
      <w:r>
        <w:rPr>
          <w:b/>
          <w:bCs/>
        </w:rPr>
        <w:t>Decision</w:t>
      </w:r>
    </w:p>
    <w:tbl>
      <w:tblPr>
        <w:tblStyle w:val="TableGrid"/>
        <w:tblpPr w:leftFromText="180" w:rightFromText="180" w:vertAnchor="text" w:tblpY="-81"/>
        <w:tblW w:w="0" w:type="auto"/>
        <w:tblLook w:val="04A0" w:firstRow="1" w:lastRow="0" w:firstColumn="1" w:lastColumn="0" w:noHBand="0" w:noVBand="1"/>
      </w:tblPr>
      <w:tblGrid>
        <w:gridCol w:w="9016"/>
      </w:tblGrid>
      <w:tr w:rsidR="008C1622" w14:paraId="0E76D84F" w14:textId="77777777" w:rsidTr="008C1622">
        <w:tc>
          <w:tcPr>
            <w:tcW w:w="9016" w:type="dxa"/>
          </w:tcPr>
          <w:p w14:paraId="72DFCAE0" w14:textId="2552EAAB" w:rsidR="008C1622" w:rsidRDefault="008C1622" w:rsidP="008C1622">
            <w:r>
              <w:t>D1. The credit temps request is granted but starting at the end of 2020.</w:t>
            </w:r>
          </w:p>
        </w:tc>
      </w:tr>
    </w:tbl>
    <w:p w14:paraId="12845067" w14:textId="0F14E1D7" w:rsidR="00CE1CF7" w:rsidRDefault="008C1622" w:rsidP="008C1622">
      <w:pPr>
        <w:rPr>
          <w:b/>
          <w:bCs/>
          <w:u w:val="single"/>
        </w:rPr>
      </w:pPr>
      <w:r>
        <w:rPr>
          <w:b/>
          <w:bCs/>
          <w:u w:val="single"/>
        </w:rPr>
        <w:br/>
      </w:r>
      <w:r w:rsidR="00FB2A11" w:rsidRPr="00FB2A11">
        <w:rPr>
          <w:b/>
          <w:bCs/>
          <w:u w:val="single"/>
        </w:rPr>
        <w:t>Ex Co discussion of Belgian resolution</w:t>
      </w:r>
      <w:r>
        <w:rPr>
          <w:b/>
          <w:bCs/>
          <w:u w:val="single"/>
        </w:rPr>
        <w:t>, related to the recruitment of the Acting Director</w:t>
      </w:r>
    </w:p>
    <w:p w14:paraId="251AFB7A" w14:textId="77777777" w:rsidR="00FB2A11" w:rsidRDefault="00FB2A11" w:rsidP="00FB2A11">
      <w:r>
        <w:t>Following the decision around the Director’s sabbatical, the Ex Co discussed the proposals in the Belgian resolution which relate to the recruitment of the Acting Director, notably:</w:t>
      </w:r>
    </w:p>
    <w:p w14:paraId="634799AE" w14:textId="77777777" w:rsidR="00FB2A11" w:rsidRDefault="00FB2A11" w:rsidP="00FB2A11">
      <w:pPr>
        <w:pStyle w:val="ListParagraph"/>
        <w:numPr>
          <w:ilvl w:val="0"/>
          <w:numId w:val="1"/>
        </w:numPr>
      </w:pPr>
      <w:r w:rsidRPr="00FB2A11">
        <w:t xml:space="preserve">Ensure that this resolution is used as a guideline within the selection process of the replacement of the Director  </w:t>
      </w:r>
    </w:p>
    <w:p w14:paraId="41F5E9A8" w14:textId="77777777" w:rsidR="00FB2A11" w:rsidRDefault="00FB2A11" w:rsidP="00FB2A11">
      <w:pPr>
        <w:pStyle w:val="ListParagraph"/>
        <w:numPr>
          <w:ilvl w:val="0"/>
          <w:numId w:val="1"/>
        </w:numPr>
      </w:pPr>
      <w:r w:rsidRPr="00FB2A11">
        <w:t>Involve a member of the EXCO and the EUISG in the recruitment process of the replacement of the Director to ensure a solid supporting base for the new leadership within the most important bodies of EAPN</w:t>
      </w:r>
    </w:p>
    <w:p w14:paraId="61F8BC99" w14:textId="56F841A8" w:rsidR="00FB2A11" w:rsidRDefault="00FB2A11" w:rsidP="00FB2A11">
      <w:pPr>
        <w:pStyle w:val="ListParagraph"/>
        <w:numPr>
          <w:ilvl w:val="0"/>
          <w:numId w:val="1"/>
        </w:numPr>
      </w:pPr>
      <w:r w:rsidRPr="00FB2A11">
        <w:t>Ensure the involvement of a member of the policy team of EAPN, as has always happened in the past</w:t>
      </w:r>
    </w:p>
    <w:p w14:paraId="0CFB9EC7" w14:textId="23E8CFB9" w:rsidR="00FB2A11" w:rsidRDefault="00FB2A11" w:rsidP="00FB2A11">
      <w:r>
        <w:t>The Bureau had discussed these suggestions and presented the following proposal to the Ex Co, for decision:</w:t>
      </w:r>
    </w:p>
    <w:p w14:paraId="3575B4D0" w14:textId="6CE57D21" w:rsidR="00FB2A11" w:rsidRDefault="00FB2A11" w:rsidP="00FB2A11">
      <w:pPr>
        <w:pStyle w:val="ListParagraph"/>
        <w:numPr>
          <w:ilvl w:val="0"/>
          <w:numId w:val="3"/>
        </w:numPr>
      </w:pPr>
      <w:r>
        <w:t>The Staff Team can be represented on the Selection Committee for the Acting Director, and they can choose their representative.</w:t>
      </w:r>
    </w:p>
    <w:p w14:paraId="3AFE3BF2" w14:textId="2BF2ADE3" w:rsidR="00FB2A11" w:rsidRDefault="00FB2A11" w:rsidP="00FB2A11">
      <w:pPr>
        <w:pStyle w:val="ListParagraph"/>
        <w:numPr>
          <w:ilvl w:val="0"/>
          <w:numId w:val="3"/>
        </w:numPr>
      </w:pPr>
      <w:r w:rsidRPr="00FB2A11">
        <w:t>Non-Bureau Ex Co members can be</w:t>
      </w:r>
      <w:r>
        <w:t xml:space="preserve"> represented on the Selection Committee – Ex Co to choose who.</w:t>
      </w:r>
    </w:p>
    <w:p w14:paraId="21ECE157" w14:textId="7B886C5D" w:rsidR="00FB2A11" w:rsidRDefault="00FB2A11" w:rsidP="00FB2A11">
      <w:pPr>
        <w:pStyle w:val="ListParagraph"/>
        <w:numPr>
          <w:ilvl w:val="0"/>
          <w:numId w:val="3"/>
        </w:numPr>
      </w:pPr>
      <w:r>
        <w:t xml:space="preserve">Non-statutory bodies should not be part of the Selection Committee, as the statutes and Terms of References of our various groups are very clear that this is a responsibility of the Ex Co and the Bureau, and of no other bodies. </w:t>
      </w:r>
    </w:p>
    <w:p w14:paraId="3BB237FA" w14:textId="3D435E74" w:rsidR="00FB2A11" w:rsidRPr="00FB2A11" w:rsidRDefault="00FB2A11" w:rsidP="00FB2A11">
      <w:pPr>
        <w:pStyle w:val="ListParagraph"/>
        <w:numPr>
          <w:ilvl w:val="0"/>
          <w:numId w:val="3"/>
        </w:numPr>
      </w:pPr>
      <w:r>
        <w:t>The Selection Committee would make a recommendation to the Ex Co, who would take the final decision.</w:t>
      </w:r>
    </w:p>
    <w:p w14:paraId="7CD14B0A" w14:textId="77777777" w:rsidR="00FB2A11" w:rsidRPr="00D46D8B" w:rsidRDefault="00FB2A11" w:rsidP="00FB2A11">
      <w:pPr>
        <w:rPr>
          <w:b/>
          <w:bCs/>
        </w:rPr>
      </w:pPr>
      <w:r w:rsidRPr="00D46D8B">
        <w:rPr>
          <w:b/>
          <w:bCs/>
        </w:rPr>
        <w:t>Vote</w:t>
      </w:r>
    </w:p>
    <w:p w14:paraId="6BB33AE9" w14:textId="1F3D2CE2" w:rsidR="00FB2A11" w:rsidRDefault="00FB2A11" w:rsidP="00FB2A11">
      <w:r>
        <w:t xml:space="preserve">The Ex Co voted on the Bureau’s proposal – there were </w:t>
      </w:r>
      <w:r w:rsidRPr="00D87650">
        <w:rPr>
          <w:b/>
          <w:bCs/>
        </w:rPr>
        <w:t xml:space="preserve">15 votes in favour and </w:t>
      </w:r>
      <w:r w:rsidR="00D87650" w:rsidRPr="00D87650">
        <w:rPr>
          <w:b/>
          <w:bCs/>
        </w:rPr>
        <w:t>9</w:t>
      </w:r>
      <w:r w:rsidRPr="00D87650">
        <w:rPr>
          <w:b/>
          <w:bCs/>
        </w:rPr>
        <w:t xml:space="preserve"> abstentions.</w:t>
      </w:r>
    </w:p>
    <w:p w14:paraId="41FD4094" w14:textId="53698B28" w:rsidR="00FB2A11" w:rsidRDefault="00FB2A11" w:rsidP="00FB2A11">
      <w:pPr>
        <w:rPr>
          <w:b/>
          <w:bCs/>
        </w:rPr>
      </w:pPr>
      <w:r>
        <w:rPr>
          <w:b/>
          <w:bCs/>
        </w:rPr>
        <w:t>Decision</w:t>
      </w:r>
      <w:r w:rsidR="008C1622">
        <w:rPr>
          <w:b/>
          <w:bCs/>
        </w:rPr>
        <w:t>s</w:t>
      </w:r>
    </w:p>
    <w:tbl>
      <w:tblPr>
        <w:tblStyle w:val="TableGrid"/>
        <w:tblW w:w="0" w:type="auto"/>
        <w:tblLook w:val="04A0" w:firstRow="1" w:lastRow="0" w:firstColumn="1" w:lastColumn="0" w:noHBand="0" w:noVBand="1"/>
      </w:tblPr>
      <w:tblGrid>
        <w:gridCol w:w="9016"/>
      </w:tblGrid>
      <w:tr w:rsidR="008C1622" w14:paraId="73C902C4" w14:textId="77777777" w:rsidTr="008C1622">
        <w:tc>
          <w:tcPr>
            <w:tcW w:w="9016" w:type="dxa"/>
          </w:tcPr>
          <w:p w14:paraId="05BB0C06" w14:textId="1A5886D1" w:rsidR="008C1622" w:rsidRPr="008C1622" w:rsidRDefault="008C1622" w:rsidP="008C1622">
            <w:pPr>
              <w:rPr>
                <w:b/>
                <w:bCs/>
              </w:rPr>
            </w:pPr>
            <w:r>
              <w:rPr>
                <w:b/>
                <w:bCs/>
              </w:rPr>
              <w:t xml:space="preserve">D2. </w:t>
            </w:r>
            <w:r w:rsidRPr="008C1622">
              <w:t>The four points proposed by the Bureau are thus accepted.</w:t>
            </w:r>
          </w:p>
        </w:tc>
      </w:tr>
      <w:tr w:rsidR="008C1622" w14:paraId="03C314F0" w14:textId="77777777" w:rsidTr="008C1622">
        <w:tc>
          <w:tcPr>
            <w:tcW w:w="9016" w:type="dxa"/>
          </w:tcPr>
          <w:p w14:paraId="648F1254" w14:textId="0849FC74" w:rsidR="008C1622" w:rsidRDefault="008C1622" w:rsidP="008C1622">
            <w:r w:rsidRPr="008C1622">
              <w:rPr>
                <w:b/>
                <w:bCs/>
              </w:rPr>
              <w:t>D</w:t>
            </w:r>
            <w:r>
              <w:rPr>
                <w:b/>
                <w:bCs/>
              </w:rPr>
              <w:t>3</w:t>
            </w:r>
            <w:r w:rsidRPr="008C1622">
              <w:rPr>
                <w:b/>
                <w:bCs/>
              </w:rPr>
              <w:t xml:space="preserve">. </w:t>
            </w:r>
            <w:r>
              <w:t>The Staff Team will be asked who they would like to have on the Selection Committee</w:t>
            </w:r>
          </w:p>
          <w:p w14:paraId="627D80CD" w14:textId="5FBF0285" w:rsidR="008C1622" w:rsidRDefault="008C1622" w:rsidP="00FB2A11">
            <w:pPr>
              <w:rPr>
                <w:b/>
                <w:bCs/>
              </w:rPr>
            </w:pPr>
          </w:p>
        </w:tc>
      </w:tr>
      <w:tr w:rsidR="008C1622" w14:paraId="1BD377DD" w14:textId="77777777" w:rsidTr="008C1622">
        <w:tc>
          <w:tcPr>
            <w:tcW w:w="9016" w:type="dxa"/>
          </w:tcPr>
          <w:p w14:paraId="75149DC2" w14:textId="132A66DD" w:rsidR="008C1622" w:rsidRDefault="008C1622" w:rsidP="008C1622">
            <w:r w:rsidRPr="008C1622">
              <w:rPr>
                <w:b/>
                <w:bCs/>
              </w:rPr>
              <w:t>D</w:t>
            </w:r>
            <w:r>
              <w:rPr>
                <w:b/>
                <w:bCs/>
              </w:rPr>
              <w:t>4</w:t>
            </w:r>
            <w:r w:rsidRPr="008C1622">
              <w:rPr>
                <w:b/>
                <w:bCs/>
              </w:rPr>
              <w:t xml:space="preserve">.  </w:t>
            </w:r>
            <w:r>
              <w:t>Freek (FEANTSA) and Karel (Czech Republic) will join the Selection Committee on behalf of the Ex Co</w:t>
            </w:r>
          </w:p>
          <w:p w14:paraId="6E06F435" w14:textId="32F51F80" w:rsidR="008C1622" w:rsidRDefault="008C1622" w:rsidP="00FB2A11">
            <w:pPr>
              <w:rPr>
                <w:b/>
                <w:bCs/>
              </w:rPr>
            </w:pPr>
          </w:p>
        </w:tc>
      </w:tr>
      <w:tr w:rsidR="008C1622" w14:paraId="08F1E3EE" w14:textId="77777777" w:rsidTr="008C1622">
        <w:tc>
          <w:tcPr>
            <w:tcW w:w="9016" w:type="dxa"/>
          </w:tcPr>
          <w:p w14:paraId="1AAA0E43" w14:textId="2951632B" w:rsidR="008C1622" w:rsidRDefault="008C1622" w:rsidP="009A31F9">
            <w:pPr>
              <w:rPr>
                <w:b/>
                <w:bCs/>
              </w:rPr>
            </w:pPr>
            <w:r w:rsidRPr="008C1622">
              <w:rPr>
                <w:b/>
                <w:bCs/>
              </w:rPr>
              <w:t>D</w:t>
            </w:r>
            <w:r>
              <w:rPr>
                <w:b/>
                <w:bCs/>
              </w:rPr>
              <w:t>5</w:t>
            </w:r>
            <w:r w:rsidRPr="008C1622">
              <w:rPr>
                <w:b/>
                <w:bCs/>
              </w:rPr>
              <w:t xml:space="preserve">. </w:t>
            </w:r>
            <w:r>
              <w:t>The Belgian resolution will be discussed during the next Ex Co session, at the start of the discussion of the Strategic Review.</w:t>
            </w:r>
          </w:p>
        </w:tc>
      </w:tr>
    </w:tbl>
    <w:p w14:paraId="130C65E9" w14:textId="77777777" w:rsidR="008C1622" w:rsidRDefault="008C1622" w:rsidP="00FB2A11">
      <w:pPr>
        <w:rPr>
          <w:b/>
          <w:bCs/>
        </w:rPr>
      </w:pPr>
    </w:p>
    <w:p w14:paraId="7223F5A9" w14:textId="39EECB35" w:rsidR="00FB2A11" w:rsidRPr="00FB2A11" w:rsidRDefault="00FB2A11" w:rsidP="009A31F9">
      <w:pPr>
        <w:pStyle w:val="ListParagraph"/>
      </w:pPr>
    </w:p>
    <w:sectPr w:rsidR="00FB2A11" w:rsidRPr="00FB2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8B3"/>
    <w:multiLevelType w:val="hybridMultilevel"/>
    <w:tmpl w:val="6C44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10C5D"/>
    <w:multiLevelType w:val="hybridMultilevel"/>
    <w:tmpl w:val="DEDA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E80EA1"/>
    <w:multiLevelType w:val="hybridMultilevel"/>
    <w:tmpl w:val="DD92B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2515F2"/>
    <w:multiLevelType w:val="hybridMultilevel"/>
    <w:tmpl w:val="4BFE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11"/>
    <w:rsid w:val="00734333"/>
    <w:rsid w:val="008C1622"/>
    <w:rsid w:val="009A31F9"/>
    <w:rsid w:val="00BF2904"/>
    <w:rsid w:val="00CE1CF7"/>
    <w:rsid w:val="00D87650"/>
    <w:rsid w:val="00E763A4"/>
    <w:rsid w:val="00EC5BA5"/>
    <w:rsid w:val="00FB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BFFE"/>
  <w15:chartTrackingRefBased/>
  <w15:docId w15:val="{DBE69BD9-9013-4FB2-B112-075CF570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11"/>
    <w:pPr>
      <w:ind w:left="720"/>
      <w:contextualSpacing/>
    </w:pPr>
  </w:style>
  <w:style w:type="table" w:styleId="TableGrid">
    <w:name w:val="Table Grid"/>
    <w:basedOn w:val="TableNormal"/>
    <w:uiPriority w:val="39"/>
    <w:rsid w:val="008C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5</cp:revision>
  <dcterms:created xsi:type="dcterms:W3CDTF">2020-03-31T13:24:00Z</dcterms:created>
  <dcterms:modified xsi:type="dcterms:W3CDTF">2020-04-21T06:48:00Z</dcterms:modified>
</cp:coreProperties>
</file>