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C72FA" w14:textId="77777777" w:rsidR="008A55B1" w:rsidRPr="00E825CB" w:rsidRDefault="008A55B1" w:rsidP="008A55B1">
      <w:pPr>
        <w:pStyle w:val="Heading1"/>
        <w:rPr>
          <w:rFonts w:asciiTheme="minorHAnsi" w:eastAsia="Times New Roman" w:hAnsiTheme="minorHAnsi" w:cstheme="minorHAnsi"/>
          <w:b/>
          <w:sz w:val="22"/>
          <w:szCs w:val="22"/>
          <w:lang w:eastAsia="en-GB"/>
        </w:rPr>
      </w:pPr>
      <w:r w:rsidRPr="00E825CB">
        <w:rPr>
          <w:b/>
          <w:noProof/>
          <w:sz w:val="24"/>
          <w:szCs w:val="24"/>
        </w:rPr>
        <w:drawing>
          <wp:anchor distT="0" distB="0" distL="114300" distR="114300" simplePos="0" relativeHeight="251659264" behindDoc="0" locked="0" layoutInCell="1" allowOverlap="1" wp14:anchorId="20A2486E" wp14:editId="0CC16321">
            <wp:simplePos x="0" y="0"/>
            <wp:positionH relativeFrom="margin">
              <wp:align>center</wp:align>
            </wp:positionH>
            <wp:positionV relativeFrom="paragraph">
              <wp:posOffset>0</wp:posOffset>
            </wp:positionV>
            <wp:extent cx="1524000" cy="1014984"/>
            <wp:effectExtent l="0" t="0" r="0" b="0"/>
            <wp:wrapSquare wrapText="bothSides"/>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APN moye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014984"/>
                    </a:xfrm>
                    <a:prstGeom prst="rect">
                      <a:avLst/>
                    </a:prstGeom>
                  </pic:spPr>
                </pic:pic>
              </a:graphicData>
            </a:graphic>
          </wp:anchor>
        </w:drawing>
      </w:r>
      <w:r>
        <w:rPr>
          <w:rFonts w:asciiTheme="minorHAnsi" w:eastAsia="Times New Roman" w:hAnsiTheme="minorHAnsi" w:cstheme="minorHAnsi"/>
          <w:b/>
          <w:sz w:val="22"/>
          <w:szCs w:val="22"/>
          <w:lang w:eastAsia="en-GB"/>
        </w:rPr>
        <w:br w:type="textWrapping" w:clear="all"/>
      </w:r>
    </w:p>
    <w:p w14:paraId="76F3D9FA" w14:textId="77777777" w:rsidR="008A55B1" w:rsidRPr="00E825CB" w:rsidRDefault="008A55B1" w:rsidP="008A55B1">
      <w:pPr>
        <w:rPr>
          <w:lang w:eastAsia="en-GB"/>
        </w:rPr>
      </w:pPr>
    </w:p>
    <w:p w14:paraId="03FE4116" w14:textId="77777777" w:rsidR="008A55B1" w:rsidRPr="00E825CB" w:rsidRDefault="008A55B1" w:rsidP="008A55B1">
      <w:pPr>
        <w:ind w:firstLine="720"/>
        <w:rPr>
          <w:lang w:eastAsia="en-GB"/>
        </w:rPr>
      </w:pPr>
    </w:p>
    <w:p w14:paraId="4C13A6CF" w14:textId="77777777" w:rsidR="008A55B1" w:rsidRPr="00E825CB" w:rsidRDefault="008A55B1" w:rsidP="008A55B1">
      <w:pPr>
        <w:rPr>
          <w:lang w:eastAsia="en-GB"/>
        </w:rPr>
      </w:pPr>
    </w:p>
    <w:p w14:paraId="28F3276C" w14:textId="77777777" w:rsidR="008A55B1" w:rsidRPr="00E825CB" w:rsidRDefault="008A55B1" w:rsidP="008A55B1">
      <w:pPr>
        <w:rPr>
          <w:lang w:eastAsia="en-GB"/>
        </w:rPr>
      </w:pPr>
    </w:p>
    <w:p w14:paraId="133C1402" w14:textId="77777777" w:rsidR="008A55B1" w:rsidRPr="00E825CB" w:rsidRDefault="008A55B1" w:rsidP="008A55B1">
      <w:pPr>
        <w:rPr>
          <w:lang w:eastAsia="en-GB"/>
        </w:rPr>
      </w:pPr>
    </w:p>
    <w:p w14:paraId="02D845EE" w14:textId="77777777" w:rsidR="008A55B1" w:rsidRPr="00E825CB" w:rsidRDefault="008A55B1" w:rsidP="008A55B1">
      <w:pPr>
        <w:pStyle w:val="titleofworkingpaper"/>
        <w:rPr>
          <w:sz w:val="40"/>
          <w:szCs w:val="40"/>
        </w:rPr>
      </w:pPr>
      <w:r w:rsidRPr="00E825CB">
        <w:rPr>
          <w:sz w:val="40"/>
          <w:szCs w:val="40"/>
        </w:rPr>
        <w:t>Notes of EAPN Executive Committee</w:t>
      </w:r>
    </w:p>
    <w:p w14:paraId="3DFF6D97" w14:textId="46C961A8" w:rsidR="008A55B1" w:rsidRDefault="008A55B1" w:rsidP="008A55B1">
      <w:pPr>
        <w:pStyle w:val="titleofworkingpaper"/>
        <w:rPr>
          <w:sz w:val="40"/>
          <w:szCs w:val="40"/>
        </w:rPr>
      </w:pPr>
      <w:r>
        <w:rPr>
          <w:sz w:val="40"/>
          <w:szCs w:val="40"/>
        </w:rPr>
        <w:t>27 April</w:t>
      </w:r>
    </w:p>
    <w:p w14:paraId="36B439D5" w14:textId="1987377B" w:rsidR="008A55B1" w:rsidRDefault="008A55B1" w:rsidP="008A55B1">
      <w:pPr>
        <w:pStyle w:val="titleofworkingpaper"/>
        <w:rPr>
          <w:sz w:val="40"/>
          <w:szCs w:val="40"/>
        </w:rPr>
      </w:pPr>
      <w:r>
        <w:rPr>
          <w:sz w:val="40"/>
          <w:szCs w:val="40"/>
        </w:rPr>
        <w:t>Zoom call</w:t>
      </w:r>
    </w:p>
    <w:p w14:paraId="73682F10" w14:textId="6444504A" w:rsidR="008A55B1" w:rsidRPr="00E825CB" w:rsidRDefault="008A55B1" w:rsidP="008A55B1">
      <w:pPr>
        <w:pStyle w:val="titleofworkingpaper"/>
        <w:rPr>
          <w:sz w:val="40"/>
          <w:szCs w:val="40"/>
        </w:rPr>
      </w:pPr>
      <w:r>
        <w:rPr>
          <w:sz w:val="40"/>
          <w:szCs w:val="40"/>
        </w:rPr>
        <w:t>‘Considering the PeP Report’</w:t>
      </w:r>
    </w:p>
    <w:p w14:paraId="4C667C48" w14:textId="77777777" w:rsidR="008A55B1" w:rsidRPr="00E825CB" w:rsidRDefault="008A55B1" w:rsidP="008A55B1">
      <w:pPr>
        <w:rPr>
          <w:lang w:eastAsia="en-GB"/>
        </w:rPr>
      </w:pPr>
    </w:p>
    <w:p w14:paraId="12BABAF0" w14:textId="77777777" w:rsidR="008A55B1" w:rsidRPr="00E825CB" w:rsidRDefault="008A55B1" w:rsidP="008A55B1">
      <w:pPr>
        <w:rPr>
          <w:lang w:eastAsia="en-GB"/>
        </w:rPr>
      </w:pPr>
    </w:p>
    <w:p w14:paraId="65A33E0B" w14:textId="77777777" w:rsidR="008A55B1" w:rsidRDefault="008A55B1" w:rsidP="005B1D54">
      <w:pPr>
        <w:jc w:val="center"/>
        <w:rPr>
          <w:b/>
          <w:bCs/>
        </w:rPr>
      </w:pPr>
    </w:p>
    <w:p w14:paraId="5CF91F2A" w14:textId="77777777" w:rsidR="008A55B1" w:rsidRDefault="008A55B1">
      <w:pPr>
        <w:rPr>
          <w:b/>
          <w:bCs/>
        </w:rPr>
      </w:pPr>
    </w:p>
    <w:p w14:paraId="58E7ABBF" w14:textId="77777777" w:rsidR="008A55B1" w:rsidRDefault="008A55B1">
      <w:pPr>
        <w:rPr>
          <w:b/>
          <w:bCs/>
        </w:rPr>
      </w:pPr>
    </w:p>
    <w:p w14:paraId="10BBD2A8" w14:textId="77777777" w:rsidR="008A55B1" w:rsidRDefault="008A55B1">
      <w:pPr>
        <w:rPr>
          <w:b/>
          <w:bCs/>
        </w:rPr>
      </w:pPr>
    </w:p>
    <w:p w14:paraId="49258BAC" w14:textId="77777777" w:rsidR="00800D14" w:rsidRPr="00D16F51" w:rsidRDefault="00800D14" w:rsidP="00800D14">
      <w:pPr>
        <w:rPr>
          <w:b/>
          <w:bCs/>
        </w:rPr>
      </w:pPr>
      <w:r w:rsidRPr="005B1D54">
        <w:rPr>
          <w:b/>
          <w:bCs/>
        </w:rPr>
        <w:lastRenderedPageBreak/>
        <w:t>Participants</w:t>
      </w:r>
      <w:r>
        <w:rPr>
          <w:b/>
          <w:bCs/>
        </w:rPr>
        <w:t>:</w:t>
      </w:r>
      <w:r w:rsidRPr="00D16F51">
        <w:t xml:space="preserve"> </w:t>
      </w:r>
      <w:r w:rsidRPr="00380CC6">
        <w:t xml:space="preserve">Magnus (Sweden), Eleni (Cyprus), Iris (Romania), Carlos (Spain), Luigi (SMES), Richard (France), </w:t>
      </w:r>
      <w:r>
        <w:t xml:space="preserve">Vito (Italy), Olga (Greece), Freek (FEANTSA), Jo (Netherlands), Biljana (North Macedonia), Ian (IFSW), </w:t>
      </w:r>
      <w:r w:rsidRPr="00380CC6">
        <w:t>Neil</w:t>
      </w:r>
      <w:r>
        <w:t xml:space="preserve"> (UK), </w:t>
      </w:r>
      <w:r w:rsidRPr="00380CC6">
        <w:t>Karel (Czech Republic), Kamila (Poland), Vera (Austria)</w:t>
      </w:r>
      <w:r>
        <w:t xml:space="preserve">, </w:t>
      </w:r>
      <w:r w:rsidRPr="00380CC6">
        <w:t>Aiste (Lithuania</w:t>
      </w:r>
      <w:r>
        <w:t xml:space="preserve">), </w:t>
      </w:r>
      <w:r w:rsidRPr="00380CC6">
        <w:t>Caroline (Belgium), K</w:t>
      </w:r>
      <w:r>
        <w:t>ä</w:t>
      </w:r>
      <w:r w:rsidRPr="00380CC6">
        <w:t>rt (Estonia), Anne (Ireland)</w:t>
      </w:r>
      <w:r w:rsidRPr="00D16F51">
        <w:t>, Marjatta (Finland)</w:t>
      </w:r>
      <w:r>
        <w:t>, Marius (Germany), Vilborg (Iceland), Noël (Malta),  Honoratte (Norway),</w:t>
      </w:r>
    </w:p>
    <w:p w14:paraId="406C101D" w14:textId="53897E8D" w:rsidR="00800D14" w:rsidRDefault="00800D14" w:rsidP="00800D14">
      <w:r>
        <w:rPr>
          <w:b/>
          <w:bCs/>
        </w:rPr>
        <w:t xml:space="preserve">No attendance: </w:t>
      </w:r>
      <w:r w:rsidRPr="00D16F51">
        <w:t>Maria (Bulgaria)</w:t>
      </w:r>
      <w:r>
        <w:t>, Nedjeljko (Croatia), Laila (Latvia), Katalin (Hungary), Raoul (Luxembourg), Jasmina (Serbia), Anna (Slovakia), Ana (Slovenia),</w:t>
      </w:r>
    </w:p>
    <w:p w14:paraId="0CB2FF15" w14:textId="77777777" w:rsidR="00800D14" w:rsidRPr="001824E6" w:rsidRDefault="00800D14" w:rsidP="00800D14">
      <w:pPr>
        <w:rPr>
          <w:b/>
          <w:bCs/>
        </w:rPr>
      </w:pPr>
      <w:r w:rsidRPr="001824E6">
        <w:rPr>
          <w:b/>
          <w:bCs/>
        </w:rPr>
        <w:t xml:space="preserve">Staff and interpreters: </w:t>
      </w:r>
      <w:r w:rsidRPr="001824E6">
        <w:t>Leo, Philippe,</w:t>
      </w:r>
      <w:r>
        <w:t xml:space="preserve"> Sigrid, Elke, Magda, Sian, Mathias, Joe, Danila, Mathieu, Théodore</w:t>
      </w:r>
    </w:p>
    <w:p w14:paraId="174A8BE0" w14:textId="77777777" w:rsidR="008A55B1" w:rsidRPr="005B1D54" w:rsidRDefault="008A55B1" w:rsidP="008A55B1">
      <w:pPr>
        <w:pStyle w:val="ListParagraph"/>
        <w:shd w:val="clear" w:color="auto" w:fill="00B050"/>
        <w:jc w:val="center"/>
        <w:rPr>
          <w:b/>
          <w:bCs/>
        </w:rPr>
      </w:pPr>
      <w:r w:rsidRPr="005B1D54">
        <w:rPr>
          <w:b/>
          <w:bCs/>
        </w:rPr>
        <w:t>Presentation of, and reflection on, the PeP report</w:t>
      </w:r>
    </w:p>
    <w:p w14:paraId="3E95A30A" w14:textId="77777777" w:rsidR="008A55B1" w:rsidRPr="005B1D54" w:rsidRDefault="008A55B1" w:rsidP="008A55B1">
      <w:pPr>
        <w:rPr>
          <w:b/>
          <w:bCs/>
        </w:rPr>
      </w:pPr>
      <w:r w:rsidRPr="005B1D54">
        <w:rPr>
          <w:b/>
          <w:bCs/>
        </w:rPr>
        <w:t>Key discussion points, based on key questions</w:t>
      </w:r>
    </w:p>
    <w:p w14:paraId="0D9C7CC5" w14:textId="77777777" w:rsidR="008A55B1" w:rsidRDefault="008A55B1" w:rsidP="008A55B1">
      <w:pPr>
        <w:pStyle w:val="ListParagraph"/>
        <w:numPr>
          <w:ilvl w:val="0"/>
          <w:numId w:val="4"/>
        </w:numPr>
        <w:spacing w:after="240"/>
      </w:pPr>
      <w:r>
        <w:t xml:space="preserve">How do the priorities coming out of the PeP meeting reflect the priorities of EAPN? </w:t>
      </w:r>
    </w:p>
    <w:p w14:paraId="476B45A4" w14:textId="77777777" w:rsidR="008A55B1" w:rsidRDefault="008A55B1" w:rsidP="008A55B1">
      <w:pPr>
        <w:pStyle w:val="ListParagraph"/>
        <w:numPr>
          <w:ilvl w:val="0"/>
          <w:numId w:val="4"/>
        </w:numPr>
        <w:spacing w:after="240"/>
      </w:pPr>
      <w:r>
        <w:t>How to we deal with any differences of priorities / positions?</w:t>
      </w:r>
    </w:p>
    <w:p w14:paraId="795B87A1" w14:textId="77777777" w:rsidR="008A55B1" w:rsidRDefault="008A55B1" w:rsidP="008A55B1">
      <w:pPr>
        <w:pStyle w:val="ListParagraph"/>
        <w:spacing w:after="240"/>
      </w:pPr>
    </w:p>
    <w:p w14:paraId="476F30A3" w14:textId="77777777" w:rsidR="008A55B1" w:rsidRDefault="008A55B1" w:rsidP="008A55B1">
      <w:pPr>
        <w:pStyle w:val="ListParagraph"/>
        <w:numPr>
          <w:ilvl w:val="0"/>
          <w:numId w:val="5"/>
        </w:numPr>
      </w:pPr>
      <w:r>
        <w:t xml:space="preserve">Members saw themselves in the priorities, but would have also liked to have seen </w:t>
      </w:r>
      <w:r w:rsidRPr="00800D14">
        <w:rPr>
          <w:b/>
          <w:bCs/>
        </w:rPr>
        <w:t>education, health care, social care and inequalities</w:t>
      </w:r>
      <w:r>
        <w:t xml:space="preserve"> covered – especially in the current context.</w:t>
      </w:r>
    </w:p>
    <w:p w14:paraId="2EAB2768" w14:textId="0FA9AE84" w:rsidR="008A55B1" w:rsidRPr="00EE16B1" w:rsidRDefault="008A55B1" w:rsidP="008A55B1">
      <w:pPr>
        <w:spacing w:after="0" w:line="240" w:lineRule="auto"/>
        <w:jc w:val="both"/>
        <w:rPr>
          <w:rFonts w:eastAsia="Times New Roman" w:cstheme="minorHAnsi"/>
          <w:lang w:eastAsia="en-GB"/>
        </w:rPr>
      </w:pPr>
      <w:r w:rsidRPr="00EE16B1">
        <w:rPr>
          <w:rFonts w:eastAsia="Times New Roman" w:cstheme="minorHAnsi"/>
          <w:b/>
          <w:bCs/>
          <w:color w:val="000000"/>
          <w:lang w:eastAsia="en-GB"/>
        </w:rPr>
        <w:t>Decision</w:t>
      </w:r>
      <w:r>
        <w:rPr>
          <w:rFonts w:eastAsia="Times New Roman" w:cstheme="minorHAnsi"/>
          <w:b/>
          <w:bCs/>
          <w:color w:val="000000"/>
          <w:lang w:eastAsia="en-GB"/>
        </w:rPr>
        <w:t>s</w:t>
      </w:r>
    </w:p>
    <w:tbl>
      <w:tblPr>
        <w:tblW w:w="9062" w:type="dxa"/>
        <w:tblCellMar>
          <w:top w:w="15" w:type="dxa"/>
          <w:left w:w="15" w:type="dxa"/>
          <w:bottom w:w="15" w:type="dxa"/>
          <w:right w:w="15" w:type="dxa"/>
        </w:tblCellMar>
        <w:tblLook w:val="04A0" w:firstRow="1" w:lastRow="0" w:firstColumn="1" w:lastColumn="0" w:noHBand="0" w:noVBand="1"/>
      </w:tblPr>
      <w:tblGrid>
        <w:gridCol w:w="9062"/>
      </w:tblGrid>
      <w:tr w:rsidR="008A55B1" w:rsidRPr="00E825CB" w14:paraId="425CA2C2" w14:textId="77777777" w:rsidTr="008A55B1">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138184" w14:textId="2D670C13" w:rsidR="008A55B1" w:rsidRPr="00E825CB" w:rsidRDefault="008A55B1" w:rsidP="00D81EEB">
            <w:pPr>
              <w:spacing w:after="0" w:line="240" w:lineRule="auto"/>
              <w:jc w:val="both"/>
              <w:rPr>
                <w:rFonts w:eastAsia="Times New Roman" w:cstheme="minorHAnsi"/>
                <w:lang w:eastAsia="en-GB"/>
              </w:rPr>
            </w:pPr>
            <w:r>
              <w:rPr>
                <w:rFonts w:eastAsia="Times New Roman" w:cstheme="minorHAnsi"/>
                <w:lang w:eastAsia="en-GB"/>
              </w:rPr>
              <w:t>N/A</w:t>
            </w:r>
          </w:p>
        </w:tc>
      </w:tr>
    </w:tbl>
    <w:p w14:paraId="76DCC56A" w14:textId="3063CBAB" w:rsidR="008A55B1" w:rsidRDefault="008A55B1" w:rsidP="008A55B1">
      <w:pPr>
        <w:ind w:left="360"/>
        <w:rPr>
          <w:rFonts w:cstheme="minorHAnsi"/>
        </w:rPr>
      </w:pPr>
    </w:p>
    <w:tbl>
      <w:tblPr>
        <w:tblStyle w:val="TableGrid"/>
        <w:tblW w:w="0" w:type="auto"/>
        <w:tblLook w:val="04A0" w:firstRow="1" w:lastRow="0" w:firstColumn="1" w:lastColumn="0" w:noHBand="0" w:noVBand="1"/>
      </w:tblPr>
      <w:tblGrid>
        <w:gridCol w:w="3005"/>
        <w:gridCol w:w="3005"/>
        <w:gridCol w:w="3006"/>
      </w:tblGrid>
      <w:tr w:rsidR="008A55B1" w14:paraId="6CF7F73D" w14:textId="77777777" w:rsidTr="00D81EEB">
        <w:tc>
          <w:tcPr>
            <w:tcW w:w="3005" w:type="dxa"/>
          </w:tcPr>
          <w:p w14:paraId="622AA067" w14:textId="77777777" w:rsidR="008A55B1" w:rsidRDefault="008A55B1" w:rsidP="00D81EEB">
            <w:pPr>
              <w:rPr>
                <w:b/>
                <w:bCs/>
              </w:rPr>
            </w:pPr>
            <w:r>
              <w:rPr>
                <w:b/>
                <w:bCs/>
              </w:rPr>
              <w:t>Action</w:t>
            </w:r>
          </w:p>
        </w:tc>
        <w:tc>
          <w:tcPr>
            <w:tcW w:w="3005" w:type="dxa"/>
          </w:tcPr>
          <w:p w14:paraId="185884FC" w14:textId="77777777" w:rsidR="008A55B1" w:rsidRDefault="008A55B1" w:rsidP="00D81EEB">
            <w:pPr>
              <w:rPr>
                <w:b/>
                <w:bCs/>
              </w:rPr>
            </w:pPr>
            <w:r>
              <w:rPr>
                <w:b/>
                <w:bCs/>
              </w:rPr>
              <w:t>Responsible</w:t>
            </w:r>
          </w:p>
        </w:tc>
        <w:tc>
          <w:tcPr>
            <w:tcW w:w="3006" w:type="dxa"/>
          </w:tcPr>
          <w:p w14:paraId="16F26ACD" w14:textId="5CC8DAD6" w:rsidR="008A55B1" w:rsidRDefault="008A55B1" w:rsidP="00D81EEB">
            <w:pPr>
              <w:rPr>
                <w:b/>
                <w:bCs/>
              </w:rPr>
            </w:pPr>
            <w:r>
              <w:rPr>
                <w:b/>
                <w:bCs/>
              </w:rPr>
              <w:t>Deadl</w:t>
            </w:r>
            <w:r w:rsidR="00800D14">
              <w:rPr>
                <w:b/>
                <w:bCs/>
              </w:rPr>
              <w:t>i</w:t>
            </w:r>
            <w:r>
              <w:rPr>
                <w:b/>
                <w:bCs/>
              </w:rPr>
              <w:t>ne</w:t>
            </w:r>
          </w:p>
        </w:tc>
      </w:tr>
      <w:tr w:rsidR="008A55B1" w14:paraId="69D25C7D" w14:textId="77777777" w:rsidTr="00D81EEB">
        <w:tc>
          <w:tcPr>
            <w:tcW w:w="3005" w:type="dxa"/>
          </w:tcPr>
          <w:p w14:paraId="7FD4C4E9" w14:textId="77777777" w:rsidR="008A55B1" w:rsidRPr="0035752F" w:rsidRDefault="008A55B1" w:rsidP="00D81EEB">
            <w:r w:rsidRPr="0035752F">
              <w:t>A1. Feed these points back to the National Coordinators Group</w:t>
            </w:r>
          </w:p>
        </w:tc>
        <w:tc>
          <w:tcPr>
            <w:tcW w:w="3005" w:type="dxa"/>
          </w:tcPr>
          <w:p w14:paraId="20931243" w14:textId="77777777" w:rsidR="008A55B1" w:rsidRPr="0035752F" w:rsidRDefault="008A55B1" w:rsidP="00D81EEB">
            <w:r w:rsidRPr="0035752F">
              <w:t>Vera</w:t>
            </w:r>
          </w:p>
        </w:tc>
        <w:tc>
          <w:tcPr>
            <w:tcW w:w="3006" w:type="dxa"/>
          </w:tcPr>
          <w:p w14:paraId="4530524E" w14:textId="77777777" w:rsidR="008A55B1" w:rsidRPr="0035752F" w:rsidRDefault="008A55B1" w:rsidP="00D81EEB">
            <w:r w:rsidRPr="0035752F">
              <w:t>28 April</w:t>
            </w:r>
          </w:p>
        </w:tc>
      </w:tr>
      <w:tr w:rsidR="008A55B1" w14:paraId="58C68465" w14:textId="77777777" w:rsidTr="00D81EEB">
        <w:tc>
          <w:tcPr>
            <w:tcW w:w="3005" w:type="dxa"/>
          </w:tcPr>
          <w:p w14:paraId="463325AA" w14:textId="77777777" w:rsidR="008A55B1" w:rsidRPr="0035752F" w:rsidRDefault="008A55B1" w:rsidP="00D81EEB">
            <w:r>
              <w:t>A2. Share report with media</w:t>
            </w:r>
          </w:p>
        </w:tc>
        <w:tc>
          <w:tcPr>
            <w:tcW w:w="3005" w:type="dxa"/>
          </w:tcPr>
          <w:p w14:paraId="3338C712" w14:textId="77777777" w:rsidR="008A55B1" w:rsidRPr="0035752F" w:rsidRDefault="008A55B1" w:rsidP="00D81EEB">
            <w:r>
              <w:t>EAPN Netherlands</w:t>
            </w:r>
          </w:p>
        </w:tc>
        <w:tc>
          <w:tcPr>
            <w:tcW w:w="3006" w:type="dxa"/>
          </w:tcPr>
          <w:p w14:paraId="2439CEFD" w14:textId="77777777" w:rsidR="008A55B1" w:rsidRPr="0035752F" w:rsidRDefault="008A55B1" w:rsidP="00D81EEB">
            <w:r>
              <w:t>ASAP</w:t>
            </w:r>
          </w:p>
        </w:tc>
      </w:tr>
    </w:tbl>
    <w:p w14:paraId="7F8933C9" w14:textId="4D94AFF6" w:rsidR="008A55B1" w:rsidRDefault="008A55B1" w:rsidP="008A55B1">
      <w:pPr>
        <w:ind w:left="360"/>
        <w:rPr>
          <w:rFonts w:cstheme="minorHAnsi"/>
        </w:rPr>
      </w:pPr>
    </w:p>
    <w:p w14:paraId="2DF92475" w14:textId="7A7FC374" w:rsidR="005B1D54" w:rsidRDefault="005B1D54" w:rsidP="008A55B1">
      <w:pPr>
        <w:pStyle w:val="ListParagraph"/>
        <w:shd w:val="clear" w:color="auto" w:fill="00B050"/>
        <w:jc w:val="center"/>
        <w:rPr>
          <w:b/>
          <w:bCs/>
        </w:rPr>
      </w:pPr>
      <w:r w:rsidRPr="005B1D54">
        <w:rPr>
          <w:b/>
          <w:bCs/>
        </w:rPr>
        <w:t>Mainstreaming PeP work throughout EAPN (including using the report)</w:t>
      </w:r>
    </w:p>
    <w:p w14:paraId="76726927" w14:textId="7B40369F" w:rsidR="005B1D54" w:rsidRPr="005B1D54" w:rsidRDefault="005B1D54" w:rsidP="005B1D54">
      <w:pPr>
        <w:rPr>
          <w:b/>
          <w:bCs/>
        </w:rPr>
      </w:pPr>
      <w:r w:rsidRPr="005B1D54">
        <w:rPr>
          <w:b/>
          <w:bCs/>
        </w:rPr>
        <w:t>Key discussion points</w:t>
      </w:r>
      <w:r w:rsidR="008A55B1">
        <w:rPr>
          <w:b/>
          <w:bCs/>
        </w:rPr>
        <w:t xml:space="preserve"> from 2 breakout groups</w:t>
      </w:r>
      <w:r w:rsidRPr="005B1D54">
        <w:rPr>
          <w:b/>
          <w:bCs/>
        </w:rPr>
        <w:t>, based on key questions</w:t>
      </w:r>
    </w:p>
    <w:p w14:paraId="7262F45E" w14:textId="3EAFAB0A" w:rsidR="005B1D54" w:rsidRDefault="005B1D54" w:rsidP="005B1D54">
      <w:pPr>
        <w:pStyle w:val="ListParagraph"/>
        <w:numPr>
          <w:ilvl w:val="0"/>
          <w:numId w:val="2"/>
        </w:numPr>
        <w:spacing w:after="240"/>
      </w:pPr>
      <w:r>
        <w:t xml:space="preserve">How could / should EAPN, as a whole network, focus on key demands and advocacy messages that are meaningful and relevant for PeP and the specific body in question? </w:t>
      </w:r>
    </w:p>
    <w:p w14:paraId="5945A5D2" w14:textId="77777777" w:rsidR="005B1D54" w:rsidRDefault="005B1D54" w:rsidP="005B1D54">
      <w:pPr>
        <w:pStyle w:val="ListParagraph"/>
        <w:numPr>
          <w:ilvl w:val="0"/>
          <w:numId w:val="2"/>
        </w:numPr>
        <w:spacing w:after="240"/>
      </w:pPr>
      <w:r>
        <w:lastRenderedPageBreak/>
        <w:t>What needs to change / improve in how we mainstream PeP work into these bodies?</w:t>
      </w:r>
    </w:p>
    <w:p w14:paraId="29CE8221" w14:textId="4B13D054" w:rsidR="005B1D54" w:rsidRDefault="005B1D54" w:rsidP="005B1D54">
      <w:pPr>
        <w:pStyle w:val="ListParagraph"/>
        <w:numPr>
          <w:ilvl w:val="0"/>
          <w:numId w:val="2"/>
        </w:numPr>
        <w:spacing w:after="240"/>
      </w:pPr>
      <w:r>
        <w:t>What needs to change / improve in how we mainstream PeP work at the national level?</w:t>
      </w:r>
    </w:p>
    <w:tbl>
      <w:tblPr>
        <w:tblStyle w:val="TableGrid"/>
        <w:tblpPr w:leftFromText="180" w:rightFromText="180" w:vertAnchor="text" w:horzAnchor="margin" w:tblpY="49"/>
        <w:tblW w:w="0" w:type="auto"/>
        <w:tblLook w:val="04A0" w:firstRow="1" w:lastRow="0" w:firstColumn="1" w:lastColumn="0" w:noHBand="0" w:noVBand="1"/>
      </w:tblPr>
      <w:tblGrid>
        <w:gridCol w:w="6091"/>
        <w:gridCol w:w="6804"/>
      </w:tblGrid>
      <w:tr w:rsidR="005B1D54" w14:paraId="6C99577C" w14:textId="77777777" w:rsidTr="00800D14">
        <w:tc>
          <w:tcPr>
            <w:tcW w:w="6091" w:type="dxa"/>
          </w:tcPr>
          <w:p w14:paraId="40776C20" w14:textId="74724D44" w:rsidR="005B1D54" w:rsidRDefault="005B1D54" w:rsidP="005B1D54">
            <w:pPr>
              <w:jc w:val="center"/>
              <w:rPr>
                <w:b/>
                <w:bCs/>
              </w:rPr>
            </w:pPr>
            <w:r>
              <w:rPr>
                <w:b/>
                <w:bCs/>
              </w:rPr>
              <w:t>PeP and Governance</w:t>
            </w:r>
            <w:r w:rsidR="008571F5">
              <w:rPr>
                <w:b/>
                <w:bCs/>
              </w:rPr>
              <w:t xml:space="preserve"> </w:t>
            </w:r>
            <w:proofErr w:type="gramStart"/>
            <w:r w:rsidR="008571F5">
              <w:rPr>
                <w:b/>
                <w:bCs/>
              </w:rPr>
              <w:t xml:space="preserve">- </w:t>
            </w:r>
            <w:r w:rsidR="008571F5" w:rsidRPr="00C777B1">
              <w:rPr>
                <w:b/>
                <w:bCs/>
                <w:i/>
              </w:rPr>
              <w:t xml:space="preserve"> How</w:t>
            </w:r>
            <w:proofErr w:type="gramEnd"/>
            <w:r w:rsidR="008571F5" w:rsidRPr="00C777B1">
              <w:rPr>
                <w:b/>
                <w:bCs/>
                <w:i/>
              </w:rPr>
              <w:t xml:space="preserve"> to mainstream PeP work through governing bodies</w:t>
            </w:r>
          </w:p>
        </w:tc>
        <w:tc>
          <w:tcPr>
            <w:tcW w:w="6804" w:type="dxa"/>
          </w:tcPr>
          <w:p w14:paraId="407BE8A8" w14:textId="4A40B7D8" w:rsidR="005B1D54" w:rsidRDefault="005B1D54" w:rsidP="005B1D54">
            <w:pPr>
              <w:jc w:val="center"/>
              <w:rPr>
                <w:b/>
                <w:bCs/>
              </w:rPr>
            </w:pPr>
            <w:r w:rsidRPr="00800D14">
              <w:rPr>
                <w:b/>
                <w:bCs/>
              </w:rPr>
              <w:t>PeP and Policy</w:t>
            </w:r>
          </w:p>
        </w:tc>
      </w:tr>
      <w:tr w:rsidR="005B1D54" w14:paraId="2BE1E525" w14:textId="77777777" w:rsidTr="00800D14">
        <w:tc>
          <w:tcPr>
            <w:tcW w:w="6091" w:type="dxa"/>
          </w:tcPr>
          <w:p w14:paraId="51BE23CF" w14:textId="29791A45" w:rsidR="005B1D54" w:rsidRPr="0078701F" w:rsidRDefault="0078701F" w:rsidP="005B1D54">
            <w:r w:rsidRPr="008571F5">
              <w:rPr>
                <w:b/>
                <w:bCs/>
              </w:rPr>
              <w:t>It would be useful to have Ex Co members involved in the PeP meeting,</w:t>
            </w:r>
            <w:r w:rsidRPr="0078701F">
              <w:t xml:space="preserve"> or to have the PeP meeting just before / after an Ex Co to enable participation.</w:t>
            </w:r>
          </w:p>
        </w:tc>
        <w:tc>
          <w:tcPr>
            <w:tcW w:w="6804" w:type="dxa"/>
          </w:tcPr>
          <w:p w14:paraId="0670AE78" w14:textId="1A5F9711" w:rsidR="005B1D54" w:rsidRPr="0035752F" w:rsidRDefault="0078701F" w:rsidP="005B1D54">
            <w:r w:rsidRPr="0035752F">
              <w:t>Messages from the national level must be based on PeP – they should be the basis of all media work, all comms</w:t>
            </w:r>
            <w:r w:rsidR="003E5456">
              <w:t>, and indeed policy too.</w:t>
            </w:r>
          </w:p>
        </w:tc>
      </w:tr>
      <w:tr w:rsidR="005B1D54" w14:paraId="55AF1527" w14:textId="77777777" w:rsidTr="00800D14">
        <w:tc>
          <w:tcPr>
            <w:tcW w:w="6091" w:type="dxa"/>
          </w:tcPr>
          <w:p w14:paraId="14209516" w14:textId="79CEEE7D" w:rsidR="005B1D54" w:rsidRPr="008571F5" w:rsidRDefault="0078701F" w:rsidP="005B1D54">
            <w:pPr>
              <w:rPr>
                <w:b/>
                <w:bCs/>
              </w:rPr>
            </w:pPr>
            <w:r w:rsidRPr="008571F5">
              <w:rPr>
                <w:b/>
                <w:bCs/>
              </w:rPr>
              <w:t>We could organise a General Assembly with PeP who were at the PeP meeting</w:t>
            </w:r>
          </w:p>
        </w:tc>
        <w:tc>
          <w:tcPr>
            <w:tcW w:w="6804" w:type="dxa"/>
          </w:tcPr>
          <w:p w14:paraId="41041BE6" w14:textId="0D648D37" w:rsidR="005B1D54" w:rsidRPr="0035752F" w:rsidRDefault="0035752F" w:rsidP="005B1D54">
            <w:r w:rsidRPr="0035752F">
              <w:t>Ideally policy work should represent a structured group of PeP, not just a few individuals</w:t>
            </w:r>
          </w:p>
        </w:tc>
      </w:tr>
      <w:tr w:rsidR="005B1D54" w14:paraId="546FC728" w14:textId="77777777" w:rsidTr="00800D14">
        <w:tc>
          <w:tcPr>
            <w:tcW w:w="6091" w:type="dxa"/>
          </w:tcPr>
          <w:p w14:paraId="38CB67C3" w14:textId="0E70D8E1" w:rsidR="005B1D54" w:rsidRPr="0078701F" w:rsidRDefault="0078701F" w:rsidP="005B1D54">
            <w:r w:rsidRPr="0078701F">
              <w:t xml:space="preserve">Everything we should do must have PeP voice at the core – </w:t>
            </w:r>
            <w:r w:rsidRPr="008A55B1">
              <w:rPr>
                <w:b/>
                <w:bCs/>
              </w:rPr>
              <w:t>nothing about us without us</w:t>
            </w:r>
            <w:r>
              <w:t xml:space="preserve">. This is essential at the national level first – this is where PeP participation </w:t>
            </w:r>
            <w:proofErr w:type="gramStart"/>
            <w:r>
              <w:t>has to</w:t>
            </w:r>
            <w:proofErr w:type="gramEnd"/>
            <w:r>
              <w:t xml:space="preserve"> be strong first.</w:t>
            </w:r>
            <w:r w:rsidR="008571F5">
              <w:t xml:space="preserve"> PeP participation in some national networks is quite weak – we should focus on strengthening this. In some cases, the Journalism Prize is the only concrete space where the network includes PeP.</w:t>
            </w:r>
          </w:p>
        </w:tc>
        <w:tc>
          <w:tcPr>
            <w:tcW w:w="6804" w:type="dxa"/>
          </w:tcPr>
          <w:p w14:paraId="6E588193" w14:textId="1F0DD25E" w:rsidR="005B1D54" w:rsidRPr="0035752F" w:rsidRDefault="0035752F" w:rsidP="005B1D54">
            <w:r w:rsidRPr="0035752F">
              <w:t>EAPN members often work through their members to secure participation</w:t>
            </w:r>
            <w:r>
              <w:t xml:space="preserve"> (BE, NO). </w:t>
            </w:r>
            <w:r w:rsidR="003E5456">
              <w:t>When members have this focus, it makes it easier.</w:t>
            </w:r>
          </w:p>
        </w:tc>
      </w:tr>
      <w:tr w:rsidR="005B1D54" w14:paraId="631C7EB8" w14:textId="77777777" w:rsidTr="00800D14">
        <w:tc>
          <w:tcPr>
            <w:tcW w:w="6091" w:type="dxa"/>
          </w:tcPr>
          <w:p w14:paraId="5F3832F4" w14:textId="6BB6505D" w:rsidR="005B1D54" w:rsidRPr="0078701F" w:rsidRDefault="0078701F" w:rsidP="005B1D54">
            <w:r w:rsidRPr="0078701F">
              <w:t>Perhaps PeP could monitor our governance – there should be a feedback loop between Ex Co and PeP</w:t>
            </w:r>
            <w:r w:rsidR="008A55B1">
              <w:t xml:space="preserve">.  </w:t>
            </w:r>
            <w:r w:rsidR="008A55B1" w:rsidRPr="008A55B1">
              <w:rPr>
                <w:b/>
                <w:bCs/>
                <w:color w:val="C00000"/>
              </w:rPr>
              <w:t>Promising practise:</w:t>
            </w:r>
            <w:r w:rsidR="008A55B1" w:rsidRPr="008A55B1">
              <w:rPr>
                <w:color w:val="C00000"/>
              </w:rPr>
              <w:t xml:space="preserve"> </w:t>
            </w:r>
            <w:r w:rsidR="008A55B1">
              <w:t xml:space="preserve">PeP audit EAPN Spain, who try to include PeP in all bodies. They are working with PeP to change the organisation’s statutes!  </w:t>
            </w:r>
          </w:p>
        </w:tc>
        <w:tc>
          <w:tcPr>
            <w:tcW w:w="6804" w:type="dxa"/>
          </w:tcPr>
          <w:p w14:paraId="0A07AA4A" w14:textId="2D425B38" w:rsidR="005B1D54" w:rsidRPr="0035752F" w:rsidRDefault="0035752F" w:rsidP="005B1D54">
            <w:r w:rsidRPr="0035752F">
              <w:t>Language is a barrier at the European level</w:t>
            </w:r>
          </w:p>
        </w:tc>
      </w:tr>
      <w:tr w:rsidR="005B1D54" w14:paraId="3AF6D47F" w14:textId="77777777" w:rsidTr="00800D14">
        <w:tc>
          <w:tcPr>
            <w:tcW w:w="6091" w:type="dxa"/>
          </w:tcPr>
          <w:p w14:paraId="57364EA1" w14:textId="4C10E520" w:rsidR="005B1D54" w:rsidRPr="0078701F" w:rsidRDefault="0078701F" w:rsidP="005B1D54">
            <w:r w:rsidRPr="0078701F">
              <w:t>It could be useful to envisage an Ex Co meeting where PeP / PeP NCs are present, to discuss such issues</w:t>
            </w:r>
          </w:p>
        </w:tc>
        <w:tc>
          <w:tcPr>
            <w:tcW w:w="6804" w:type="dxa"/>
          </w:tcPr>
          <w:p w14:paraId="59736502" w14:textId="184AE5BB" w:rsidR="005B1D54" w:rsidRPr="0035752F" w:rsidRDefault="0035752F" w:rsidP="005B1D54">
            <w:r w:rsidRPr="0035752F">
              <w:t>Not all members have a primary focus on PeP – EAPN CZ, for example, includes members who work on participation, but it is not their main aim.</w:t>
            </w:r>
          </w:p>
        </w:tc>
      </w:tr>
      <w:tr w:rsidR="005B1D54" w14:paraId="46B2E11E" w14:textId="77777777" w:rsidTr="00800D14">
        <w:tc>
          <w:tcPr>
            <w:tcW w:w="6091" w:type="dxa"/>
          </w:tcPr>
          <w:p w14:paraId="2A42CCA7" w14:textId="1DCE1103" w:rsidR="005B1D54" w:rsidRPr="008571F5" w:rsidRDefault="008571F5" w:rsidP="005B1D54">
            <w:r w:rsidRPr="008571F5">
              <w:t xml:space="preserve">PeP </w:t>
            </w:r>
            <w:proofErr w:type="gramStart"/>
            <w:r w:rsidRPr="008571F5">
              <w:t>don’t</w:t>
            </w:r>
            <w:proofErr w:type="gramEnd"/>
            <w:r w:rsidRPr="008571F5">
              <w:t xml:space="preserve"> all have the same problems and are not a homogenous group. We need to think further about how to support them – service providers are the most important part of EAPNs network for this.</w:t>
            </w:r>
          </w:p>
        </w:tc>
        <w:tc>
          <w:tcPr>
            <w:tcW w:w="6804" w:type="dxa"/>
          </w:tcPr>
          <w:p w14:paraId="5FB1E534" w14:textId="6D473CF8" w:rsidR="005B1D54" w:rsidRPr="003E5456" w:rsidRDefault="003E5456" w:rsidP="005B1D54">
            <w:r w:rsidRPr="003E5456">
              <w:t>When strategies are revised / developed, PeP should be included</w:t>
            </w:r>
          </w:p>
        </w:tc>
      </w:tr>
      <w:tr w:rsidR="008571F5" w14:paraId="1DD855F8" w14:textId="77777777" w:rsidTr="00800D14">
        <w:tc>
          <w:tcPr>
            <w:tcW w:w="6091" w:type="dxa"/>
          </w:tcPr>
          <w:p w14:paraId="6AD5116B" w14:textId="4973D165" w:rsidR="008571F5" w:rsidRPr="008571F5" w:rsidRDefault="008571F5" w:rsidP="005B1D54">
            <w:r>
              <w:t xml:space="preserve">We need a </w:t>
            </w:r>
            <w:r w:rsidRPr="008A55B1">
              <w:rPr>
                <w:b/>
                <w:bCs/>
              </w:rPr>
              <w:t>‘Nothing About Us Without Us’</w:t>
            </w:r>
            <w:r>
              <w:t xml:space="preserve"> approach, like the disability sector.</w:t>
            </w:r>
          </w:p>
        </w:tc>
        <w:tc>
          <w:tcPr>
            <w:tcW w:w="6804" w:type="dxa"/>
          </w:tcPr>
          <w:p w14:paraId="0B0A1BC7" w14:textId="77777777" w:rsidR="008571F5" w:rsidRPr="003E5456" w:rsidRDefault="008571F5" w:rsidP="005B1D54"/>
        </w:tc>
      </w:tr>
      <w:tr w:rsidR="008571F5" w14:paraId="7B5081A9" w14:textId="77777777" w:rsidTr="00800D14">
        <w:tc>
          <w:tcPr>
            <w:tcW w:w="6091" w:type="dxa"/>
          </w:tcPr>
          <w:p w14:paraId="6D8DF07B" w14:textId="2821C031" w:rsidR="008571F5" w:rsidRDefault="008571F5" w:rsidP="005B1D54">
            <w:r w:rsidRPr="008571F5">
              <w:rPr>
                <w:b/>
                <w:bCs/>
                <w:color w:val="C00000"/>
              </w:rPr>
              <w:t>Promising practise:</w:t>
            </w:r>
            <w:r w:rsidRPr="008571F5">
              <w:rPr>
                <w:color w:val="C00000"/>
              </w:rPr>
              <w:t xml:space="preserve"> </w:t>
            </w:r>
            <w:r>
              <w:t xml:space="preserve">EAPN Portugal – who </w:t>
            </w:r>
            <w:r w:rsidRPr="008571F5">
              <w:t>organises the</w:t>
            </w:r>
            <w:r>
              <w:t>ir</w:t>
            </w:r>
            <w:r w:rsidRPr="008571F5">
              <w:t xml:space="preserve"> GA after the EU P</w:t>
            </w:r>
            <w:r>
              <w:t>e</w:t>
            </w:r>
            <w:r w:rsidRPr="008571F5">
              <w:t>P Meeting</w:t>
            </w:r>
            <w:r>
              <w:t xml:space="preserve">. </w:t>
            </w:r>
            <w:r w:rsidRPr="008571F5">
              <w:rPr>
                <w:b/>
                <w:bCs/>
              </w:rPr>
              <w:t>They invite PeP to participate in the GA</w:t>
            </w:r>
            <w:r w:rsidRPr="008571F5">
              <w:t xml:space="preserve">, including the delegation who participated in the </w:t>
            </w:r>
            <w:r>
              <w:t xml:space="preserve">Brussels </w:t>
            </w:r>
            <w:r w:rsidRPr="008571F5">
              <w:t>meeting</w:t>
            </w:r>
            <w:r w:rsidRPr="008571F5">
              <w:rPr>
                <w:b/>
                <w:bCs/>
              </w:rPr>
              <w:t>. PeP are the first to speak in the GA,</w:t>
            </w:r>
            <w:r w:rsidRPr="008571F5">
              <w:t xml:space="preserve"> they share their </w:t>
            </w:r>
            <w:r w:rsidRPr="008571F5">
              <w:lastRenderedPageBreak/>
              <w:t xml:space="preserve">experience </w:t>
            </w:r>
            <w:r>
              <w:t>of</w:t>
            </w:r>
            <w:r w:rsidRPr="008571F5">
              <w:t xml:space="preserve"> the EU P</w:t>
            </w:r>
            <w:r>
              <w:t>e</w:t>
            </w:r>
            <w:r w:rsidRPr="008571F5">
              <w:t xml:space="preserve">P Meeting. </w:t>
            </w:r>
            <w:r w:rsidRPr="008571F5">
              <w:rPr>
                <w:b/>
                <w:bCs/>
              </w:rPr>
              <w:t>PeP are also invited to their ExCo meetings.</w:t>
            </w:r>
          </w:p>
        </w:tc>
        <w:tc>
          <w:tcPr>
            <w:tcW w:w="6804" w:type="dxa"/>
          </w:tcPr>
          <w:p w14:paraId="794F893A" w14:textId="6DD8882C" w:rsidR="008571F5" w:rsidRPr="003E5456" w:rsidRDefault="008571F5" w:rsidP="005B1D54"/>
        </w:tc>
      </w:tr>
      <w:tr w:rsidR="008571F5" w14:paraId="2DC1E2F1" w14:textId="77777777" w:rsidTr="00800D14">
        <w:tc>
          <w:tcPr>
            <w:tcW w:w="6091" w:type="dxa"/>
          </w:tcPr>
          <w:p w14:paraId="48317D26" w14:textId="49DF3362" w:rsidR="008571F5" w:rsidRDefault="008571F5" w:rsidP="005B1D54">
            <w:r w:rsidRPr="008571F5">
              <w:rPr>
                <w:b/>
                <w:bCs/>
                <w:color w:val="C00000"/>
              </w:rPr>
              <w:t>Promising practise:</w:t>
            </w:r>
            <w:r w:rsidRPr="008571F5">
              <w:rPr>
                <w:color w:val="C00000"/>
              </w:rPr>
              <w:t xml:space="preserve"> </w:t>
            </w:r>
            <w:r>
              <w:t>EAPN North Macedonia</w:t>
            </w:r>
            <w:r w:rsidRPr="008571F5">
              <w:t xml:space="preserve">, </w:t>
            </w:r>
            <w:r w:rsidRPr="008571F5">
              <w:rPr>
                <w:b/>
              </w:rPr>
              <w:t>all bodies and working structures include PeP;</w:t>
            </w:r>
            <w:r w:rsidRPr="008571F5">
              <w:rPr>
                <w:bCs/>
              </w:rPr>
              <w:t xml:space="preserve"> when position papers are </w:t>
            </w:r>
            <w:proofErr w:type="gramStart"/>
            <w:r w:rsidRPr="008571F5">
              <w:rPr>
                <w:bCs/>
              </w:rPr>
              <w:t>prepared</w:t>
            </w:r>
            <w:proofErr w:type="gramEnd"/>
            <w:r w:rsidRPr="008571F5">
              <w:rPr>
                <w:bCs/>
              </w:rPr>
              <w:t xml:space="preserve"> they are shared with PeP for discussion and feedback.</w:t>
            </w:r>
          </w:p>
        </w:tc>
        <w:tc>
          <w:tcPr>
            <w:tcW w:w="6804" w:type="dxa"/>
          </w:tcPr>
          <w:p w14:paraId="2D9AFBFD" w14:textId="77777777" w:rsidR="008571F5" w:rsidRPr="003E5456" w:rsidRDefault="008571F5" w:rsidP="005B1D54"/>
        </w:tc>
      </w:tr>
      <w:tr w:rsidR="008571F5" w14:paraId="3DE566AC" w14:textId="77777777" w:rsidTr="00800D14">
        <w:tc>
          <w:tcPr>
            <w:tcW w:w="6091" w:type="dxa"/>
          </w:tcPr>
          <w:p w14:paraId="59A180BF" w14:textId="14E09C73" w:rsidR="008571F5" w:rsidRPr="008571F5" w:rsidRDefault="008571F5" w:rsidP="005B1D54">
            <w:pPr>
              <w:rPr>
                <w:b/>
                <w:bCs/>
                <w:color w:val="C00000"/>
              </w:rPr>
            </w:pPr>
            <w:r w:rsidRPr="008571F5">
              <w:rPr>
                <w:b/>
                <w:bCs/>
                <w:color w:val="C00000"/>
              </w:rPr>
              <w:t>Promising practise:</w:t>
            </w:r>
            <w:r>
              <w:rPr>
                <w:b/>
                <w:bCs/>
                <w:color w:val="C00000"/>
              </w:rPr>
              <w:t xml:space="preserve"> </w:t>
            </w:r>
            <w:r w:rsidRPr="008571F5">
              <w:t xml:space="preserve">EAPN Spain </w:t>
            </w:r>
            <w:r w:rsidRPr="008571F5">
              <w:rPr>
                <w:b/>
                <w:bCs/>
              </w:rPr>
              <w:t>sends messages from the regional and national PEP meetings to regional parliaments and Ministry of Social Affairs.</w:t>
            </w:r>
            <w:r>
              <w:t xml:space="preserve"> P</w:t>
            </w:r>
            <w:r w:rsidRPr="008571F5">
              <w:t>oliticians are held accountable on what they did after they received the messages coming from PEP.</w:t>
            </w:r>
          </w:p>
        </w:tc>
        <w:tc>
          <w:tcPr>
            <w:tcW w:w="6804" w:type="dxa"/>
          </w:tcPr>
          <w:p w14:paraId="23D5031E" w14:textId="77777777" w:rsidR="008571F5" w:rsidRPr="003E5456" w:rsidRDefault="008571F5" w:rsidP="005B1D54"/>
        </w:tc>
      </w:tr>
    </w:tbl>
    <w:p w14:paraId="65BB8C5E" w14:textId="77777777" w:rsidR="0035752F" w:rsidRDefault="0035752F" w:rsidP="005B1D54">
      <w:pPr>
        <w:rPr>
          <w:b/>
          <w:bCs/>
        </w:rPr>
      </w:pPr>
    </w:p>
    <w:p w14:paraId="3150280B" w14:textId="2EDC10C5" w:rsidR="005B1D54" w:rsidRPr="003E5456" w:rsidRDefault="005B1D54" w:rsidP="005B1D54"/>
    <w:p w14:paraId="7BF2A7AB" w14:textId="2717567D" w:rsidR="008A55B1" w:rsidRDefault="008A55B1" w:rsidP="005B1D54">
      <w:pPr>
        <w:rPr>
          <w:b/>
          <w:bCs/>
        </w:rPr>
      </w:pPr>
    </w:p>
    <w:p w14:paraId="384B2792" w14:textId="0439D211" w:rsidR="008A55B1" w:rsidRDefault="008A55B1" w:rsidP="008A55B1">
      <w:pPr>
        <w:spacing w:after="0" w:line="240" w:lineRule="auto"/>
        <w:jc w:val="both"/>
        <w:rPr>
          <w:rFonts w:eastAsia="Times New Roman" w:cstheme="minorHAnsi"/>
          <w:lang w:eastAsia="en-GB"/>
        </w:rPr>
      </w:pPr>
    </w:p>
    <w:p w14:paraId="393C962A" w14:textId="6459A7BE" w:rsidR="008A55B1" w:rsidRDefault="008A55B1" w:rsidP="008A55B1">
      <w:pPr>
        <w:spacing w:after="0" w:line="240" w:lineRule="auto"/>
        <w:jc w:val="both"/>
        <w:rPr>
          <w:rFonts w:eastAsia="Times New Roman" w:cstheme="minorHAnsi"/>
          <w:lang w:eastAsia="en-GB"/>
        </w:rPr>
      </w:pPr>
    </w:p>
    <w:p w14:paraId="5E84FFBC" w14:textId="2F53B5BA" w:rsidR="008A55B1" w:rsidRDefault="008A55B1" w:rsidP="008A55B1">
      <w:pPr>
        <w:spacing w:after="0" w:line="240" w:lineRule="auto"/>
        <w:jc w:val="both"/>
        <w:rPr>
          <w:rFonts w:eastAsia="Times New Roman" w:cstheme="minorHAnsi"/>
          <w:lang w:eastAsia="en-GB"/>
        </w:rPr>
      </w:pPr>
    </w:p>
    <w:p w14:paraId="396F5FA9" w14:textId="00B5ADFD" w:rsidR="008A55B1" w:rsidRDefault="008A55B1" w:rsidP="008A55B1">
      <w:pPr>
        <w:spacing w:after="0" w:line="240" w:lineRule="auto"/>
        <w:jc w:val="both"/>
        <w:rPr>
          <w:rFonts w:eastAsia="Times New Roman" w:cstheme="minorHAnsi"/>
          <w:lang w:eastAsia="en-GB"/>
        </w:rPr>
      </w:pPr>
    </w:p>
    <w:p w14:paraId="6F8B3CD2" w14:textId="77777777" w:rsidR="00800D14" w:rsidRDefault="00800D14" w:rsidP="008A55B1">
      <w:pPr>
        <w:spacing w:after="0" w:line="240" w:lineRule="auto"/>
        <w:jc w:val="both"/>
        <w:rPr>
          <w:rFonts w:eastAsia="Times New Roman" w:cstheme="minorHAnsi"/>
          <w:b/>
          <w:bCs/>
          <w:color w:val="000000"/>
          <w:lang w:eastAsia="en-GB"/>
        </w:rPr>
      </w:pPr>
    </w:p>
    <w:p w14:paraId="4EEFE2D3" w14:textId="20802800" w:rsidR="008A55B1" w:rsidRPr="00EE16B1" w:rsidRDefault="008A55B1" w:rsidP="008A55B1">
      <w:pPr>
        <w:spacing w:after="0" w:line="240" w:lineRule="auto"/>
        <w:jc w:val="both"/>
        <w:rPr>
          <w:rFonts w:eastAsia="Times New Roman" w:cstheme="minorHAnsi"/>
          <w:lang w:eastAsia="en-GB"/>
        </w:rPr>
      </w:pPr>
      <w:r w:rsidRPr="00EE16B1">
        <w:rPr>
          <w:rFonts w:eastAsia="Times New Roman" w:cstheme="minorHAnsi"/>
          <w:b/>
          <w:bCs/>
          <w:color w:val="000000"/>
          <w:lang w:eastAsia="en-GB"/>
        </w:rPr>
        <w:t>Decision</w:t>
      </w:r>
      <w:r>
        <w:rPr>
          <w:rFonts w:eastAsia="Times New Roman" w:cstheme="minorHAnsi"/>
          <w:b/>
          <w:bCs/>
          <w:color w:val="000000"/>
          <w:lang w:eastAsia="en-GB"/>
        </w:rPr>
        <w:t>s</w:t>
      </w:r>
    </w:p>
    <w:p w14:paraId="79EB3226" w14:textId="77777777" w:rsidR="008A55B1" w:rsidRPr="00EE16B1" w:rsidRDefault="008A55B1" w:rsidP="008A55B1">
      <w:pPr>
        <w:spacing w:after="0" w:line="240" w:lineRule="auto"/>
        <w:jc w:val="both"/>
        <w:rPr>
          <w:rFonts w:eastAsia="Times New Roman" w:cstheme="minorHAnsi"/>
          <w:lang w:eastAsia="en-GB"/>
        </w:rPr>
      </w:pPr>
    </w:p>
    <w:tbl>
      <w:tblPr>
        <w:tblW w:w="8921" w:type="dxa"/>
        <w:tblCellMar>
          <w:top w:w="15" w:type="dxa"/>
          <w:left w:w="15" w:type="dxa"/>
          <w:bottom w:w="15" w:type="dxa"/>
          <w:right w:w="15" w:type="dxa"/>
        </w:tblCellMar>
        <w:tblLook w:val="04A0" w:firstRow="1" w:lastRow="0" w:firstColumn="1" w:lastColumn="0" w:noHBand="0" w:noVBand="1"/>
      </w:tblPr>
      <w:tblGrid>
        <w:gridCol w:w="8921"/>
      </w:tblGrid>
      <w:tr w:rsidR="008A55B1" w:rsidRPr="00E825CB" w14:paraId="6269261F" w14:textId="77777777" w:rsidTr="008A55B1">
        <w:tc>
          <w:tcPr>
            <w:tcW w:w="8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39CC8E" w14:textId="77777777" w:rsidR="008A55B1" w:rsidRPr="00E825CB" w:rsidRDefault="008A55B1" w:rsidP="00D81EEB">
            <w:pPr>
              <w:spacing w:after="0" w:line="240" w:lineRule="auto"/>
              <w:jc w:val="both"/>
              <w:rPr>
                <w:rFonts w:eastAsia="Times New Roman" w:cstheme="minorHAnsi"/>
                <w:lang w:eastAsia="en-GB"/>
              </w:rPr>
            </w:pPr>
            <w:r>
              <w:rPr>
                <w:rFonts w:eastAsia="Times New Roman" w:cstheme="minorHAnsi"/>
                <w:lang w:eastAsia="en-GB"/>
              </w:rPr>
              <w:t>N/A</w:t>
            </w:r>
          </w:p>
        </w:tc>
      </w:tr>
    </w:tbl>
    <w:p w14:paraId="76E8587D" w14:textId="77777777" w:rsidR="008A55B1" w:rsidRDefault="008A55B1" w:rsidP="008A55B1">
      <w:pPr>
        <w:ind w:left="360"/>
        <w:rPr>
          <w:rFonts w:cstheme="minorHAnsi"/>
        </w:rPr>
      </w:pPr>
    </w:p>
    <w:tbl>
      <w:tblPr>
        <w:tblStyle w:val="TableGrid"/>
        <w:tblW w:w="0" w:type="auto"/>
        <w:tblLook w:val="04A0" w:firstRow="1" w:lastRow="0" w:firstColumn="1" w:lastColumn="0" w:noHBand="0" w:noVBand="1"/>
      </w:tblPr>
      <w:tblGrid>
        <w:gridCol w:w="3005"/>
        <w:gridCol w:w="3005"/>
        <w:gridCol w:w="3006"/>
      </w:tblGrid>
      <w:tr w:rsidR="003E5456" w14:paraId="4C139B2B" w14:textId="77777777" w:rsidTr="008A55B1">
        <w:tc>
          <w:tcPr>
            <w:tcW w:w="3005" w:type="dxa"/>
          </w:tcPr>
          <w:p w14:paraId="51B3CEA7" w14:textId="77777777" w:rsidR="003E5456" w:rsidRDefault="003E5456" w:rsidP="00AA3819">
            <w:pPr>
              <w:rPr>
                <w:b/>
                <w:bCs/>
              </w:rPr>
            </w:pPr>
            <w:r>
              <w:rPr>
                <w:b/>
                <w:bCs/>
              </w:rPr>
              <w:t>Action</w:t>
            </w:r>
          </w:p>
        </w:tc>
        <w:tc>
          <w:tcPr>
            <w:tcW w:w="3005" w:type="dxa"/>
          </w:tcPr>
          <w:p w14:paraId="7A0BCC62" w14:textId="77777777" w:rsidR="003E5456" w:rsidRDefault="003E5456" w:rsidP="00AA3819">
            <w:pPr>
              <w:rPr>
                <w:b/>
                <w:bCs/>
              </w:rPr>
            </w:pPr>
            <w:r>
              <w:rPr>
                <w:b/>
                <w:bCs/>
              </w:rPr>
              <w:t>Responsible</w:t>
            </w:r>
          </w:p>
        </w:tc>
        <w:tc>
          <w:tcPr>
            <w:tcW w:w="3006" w:type="dxa"/>
          </w:tcPr>
          <w:p w14:paraId="31ACC523" w14:textId="4BA946AA" w:rsidR="003E5456" w:rsidRDefault="003E5456" w:rsidP="00AA3819">
            <w:pPr>
              <w:rPr>
                <w:b/>
                <w:bCs/>
              </w:rPr>
            </w:pPr>
            <w:r>
              <w:rPr>
                <w:b/>
                <w:bCs/>
              </w:rPr>
              <w:t>Deadl</w:t>
            </w:r>
            <w:r w:rsidR="00800D14">
              <w:rPr>
                <w:b/>
                <w:bCs/>
              </w:rPr>
              <w:t>i</w:t>
            </w:r>
            <w:r>
              <w:rPr>
                <w:b/>
                <w:bCs/>
              </w:rPr>
              <w:t>ne</w:t>
            </w:r>
          </w:p>
        </w:tc>
      </w:tr>
      <w:tr w:rsidR="003E5456" w14:paraId="75B856C7" w14:textId="77777777" w:rsidTr="008A55B1">
        <w:tc>
          <w:tcPr>
            <w:tcW w:w="3005" w:type="dxa"/>
          </w:tcPr>
          <w:p w14:paraId="27349717" w14:textId="29426705" w:rsidR="003E5456" w:rsidRPr="0035752F" w:rsidRDefault="003E5456" w:rsidP="00AA3819">
            <w:r w:rsidRPr="0035752F">
              <w:t>A</w:t>
            </w:r>
            <w:r w:rsidR="008571F5">
              <w:t>2. Ensure these points are considered in the next steps of the Strategic Thinking process</w:t>
            </w:r>
          </w:p>
        </w:tc>
        <w:tc>
          <w:tcPr>
            <w:tcW w:w="3005" w:type="dxa"/>
          </w:tcPr>
          <w:p w14:paraId="2795185C" w14:textId="62BDA4B0" w:rsidR="003E5456" w:rsidRPr="0035752F" w:rsidRDefault="008571F5" w:rsidP="00AA3819">
            <w:r>
              <w:t>Leo</w:t>
            </w:r>
          </w:p>
        </w:tc>
        <w:tc>
          <w:tcPr>
            <w:tcW w:w="3006" w:type="dxa"/>
          </w:tcPr>
          <w:p w14:paraId="1DD45472" w14:textId="313AD01C" w:rsidR="003E5456" w:rsidRPr="0035752F" w:rsidRDefault="008571F5" w:rsidP="00AA3819">
            <w:r>
              <w:t>End June</w:t>
            </w:r>
          </w:p>
        </w:tc>
      </w:tr>
    </w:tbl>
    <w:p w14:paraId="1EA24167" w14:textId="77777777" w:rsidR="003E5456" w:rsidRDefault="003E5456" w:rsidP="005B1D54">
      <w:pPr>
        <w:rPr>
          <w:b/>
          <w:bCs/>
        </w:rPr>
      </w:pPr>
    </w:p>
    <w:p w14:paraId="1D5D1944" w14:textId="675C7461" w:rsidR="0078701F" w:rsidRDefault="0078701F" w:rsidP="008A55B1">
      <w:pPr>
        <w:pStyle w:val="ListParagraph"/>
        <w:shd w:val="clear" w:color="auto" w:fill="00B050"/>
        <w:jc w:val="center"/>
        <w:rPr>
          <w:b/>
          <w:bCs/>
        </w:rPr>
      </w:pPr>
      <w:r>
        <w:rPr>
          <w:b/>
          <w:bCs/>
        </w:rPr>
        <w:t>Next steps</w:t>
      </w:r>
    </w:p>
    <w:p w14:paraId="60E988A6" w14:textId="6C0A4579" w:rsidR="0078701F" w:rsidRPr="0078701F" w:rsidRDefault="0078701F" w:rsidP="0078701F">
      <w:r>
        <w:t xml:space="preserve">Currently there is no clear structure within EAPN which guides our work on participation. The PeP NC group is really focused on organising the European PeP meeting, rather than focusing on the overall issue of participation. This group is preparing a Terms of Reference for its work, as requested by the Ex Co – this document will be shared with the Ex Co </w:t>
      </w:r>
      <w:r w:rsidRPr="0078701F">
        <w:t>for consideration</w:t>
      </w:r>
      <w:r>
        <w:t>.</w:t>
      </w:r>
    </w:p>
    <w:p w14:paraId="0289AB04" w14:textId="77777777" w:rsidR="005B1D54" w:rsidRPr="005B1D54" w:rsidRDefault="005B1D54" w:rsidP="005B1D54">
      <w:pPr>
        <w:rPr>
          <w:b/>
          <w:bCs/>
        </w:rPr>
      </w:pPr>
    </w:p>
    <w:sectPr w:rsidR="005B1D54" w:rsidRPr="005B1D54" w:rsidSect="008A55B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42DEF"/>
    <w:multiLevelType w:val="hybridMultilevel"/>
    <w:tmpl w:val="76E486A2"/>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 w15:restartNumberingAfterBreak="0">
    <w:nsid w:val="3E725C39"/>
    <w:multiLevelType w:val="hybridMultilevel"/>
    <w:tmpl w:val="FEE8A63E"/>
    <w:lvl w:ilvl="0" w:tplc="9A4E2000">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2213008"/>
    <w:multiLevelType w:val="hybridMultilevel"/>
    <w:tmpl w:val="D6F03F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23D4710"/>
    <w:multiLevelType w:val="hybridMultilevel"/>
    <w:tmpl w:val="CDFE0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C56133D"/>
    <w:multiLevelType w:val="hybridMultilevel"/>
    <w:tmpl w:val="CE5EA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CE026A"/>
    <w:multiLevelType w:val="hybridMultilevel"/>
    <w:tmpl w:val="959C0A84"/>
    <w:lvl w:ilvl="0" w:tplc="EAB6FCF6">
      <w:start w:val="2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D54"/>
    <w:rsid w:val="001272DD"/>
    <w:rsid w:val="0035752F"/>
    <w:rsid w:val="003E5456"/>
    <w:rsid w:val="005B1D54"/>
    <w:rsid w:val="00612962"/>
    <w:rsid w:val="00734333"/>
    <w:rsid w:val="0078701F"/>
    <w:rsid w:val="00800D14"/>
    <w:rsid w:val="008571F5"/>
    <w:rsid w:val="008A55B1"/>
    <w:rsid w:val="00AF0287"/>
    <w:rsid w:val="00C777B1"/>
    <w:rsid w:val="00CE1CF7"/>
    <w:rsid w:val="00DE192F"/>
    <w:rsid w:val="00E43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48E95"/>
  <w15:chartTrackingRefBased/>
  <w15:docId w15:val="{4313EF91-B8D4-4213-9B6E-9B2C0968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55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B1D54"/>
    <w:pPr>
      <w:ind w:left="720"/>
      <w:contextualSpacing/>
    </w:pPr>
  </w:style>
  <w:style w:type="table" w:styleId="TableGrid">
    <w:name w:val="Table Grid"/>
    <w:basedOn w:val="TableNormal"/>
    <w:uiPriority w:val="39"/>
    <w:rsid w:val="005B1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1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D54"/>
    <w:rPr>
      <w:rFonts w:ascii="Segoe UI" w:hAnsi="Segoe UI" w:cs="Segoe UI"/>
      <w:sz w:val="18"/>
      <w:szCs w:val="18"/>
    </w:rPr>
  </w:style>
  <w:style w:type="character" w:customStyle="1" w:styleId="ListParagraphChar">
    <w:name w:val="List Paragraph Char"/>
    <w:link w:val="ListParagraph"/>
    <w:uiPriority w:val="34"/>
    <w:locked/>
    <w:rsid w:val="005B1D54"/>
  </w:style>
  <w:style w:type="character" w:styleId="CommentReference">
    <w:name w:val="annotation reference"/>
    <w:basedOn w:val="DefaultParagraphFont"/>
    <w:uiPriority w:val="99"/>
    <w:semiHidden/>
    <w:unhideWhenUsed/>
    <w:rsid w:val="00612962"/>
    <w:rPr>
      <w:sz w:val="16"/>
      <w:szCs w:val="16"/>
    </w:rPr>
  </w:style>
  <w:style w:type="paragraph" w:styleId="CommentText">
    <w:name w:val="annotation text"/>
    <w:basedOn w:val="Normal"/>
    <w:link w:val="CommentTextChar"/>
    <w:uiPriority w:val="99"/>
    <w:semiHidden/>
    <w:unhideWhenUsed/>
    <w:rsid w:val="00612962"/>
    <w:pPr>
      <w:spacing w:line="240" w:lineRule="auto"/>
    </w:pPr>
    <w:rPr>
      <w:sz w:val="20"/>
      <w:szCs w:val="20"/>
    </w:rPr>
  </w:style>
  <w:style w:type="character" w:customStyle="1" w:styleId="CommentTextChar">
    <w:name w:val="Comment Text Char"/>
    <w:basedOn w:val="DefaultParagraphFont"/>
    <w:link w:val="CommentText"/>
    <w:uiPriority w:val="99"/>
    <w:semiHidden/>
    <w:rsid w:val="00612962"/>
    <w:rPr>
      <w:sz w:val="20"/>
      <w:szCs w:val="20"/>
    </w:rPr>
  </w:style>
  <w:style w:type="paragraph" w:styleId="CommentSubject">
    <w:name w:val="annotation subject"/>
    <w:basedOn w:val="CommentText"/>
    <w:next w:val="CommentText"/>
    <w:link w:val="CommentSubjectChar"/>
    <w:uiPriority w:val="99"/>
    <w:semiHidden/>
    <w:unhideWhenUsed/>
    <w:rsid w:val="00612962"/>
    <w:rPr>
      <w:b/>
      <w:bCs/>
    </w:rPr>
  </w:style>
  <w:style w:type="character" w:customStyle="1" w:styleId="CommentSubjectChar">
    <w:name w:val="Comment Subject Char"/>
    <w:basedOn w:val="CommentTextChar"/>
    <w:link w:val="CommentSubject"/>
    <w:uiPriority w:val="99"/>
    <w:semiHidden/>
    <w:rsid w:val="00612962"/>
    <w:rPr>
      <w:b/>
      <w:bCs/>
      <w:sz w:val="20"/>
      <w:szCs w:val="20"/>
    </w:rPr>
  </w:style>
  <w:style w:type="character" w:customStyle="1" w:styleId="Heading1Char">
    <w:name w:val="Heading 1 Char"/>
    <w:basedOn w:val="DefaultParagraphFont"/>
    <w:link w:val="Heading1"/>
    <w:uiPriority w:val="9"/>
    <w:rsid w:val="008A55B1"/>
    <w:rPr>
      <w:rFonts w:asciiTheme="majorHAnsi" w:eastAsiaTheme="majorEastAsia" w:hAnsiTheme="majorHAnsi" w:cstheme="majorBidi"/>
      <w:color w:val="2F5496" w:themeColor="accent1" w:themeShade="BF"/>
      <w:sz w:val="32"/>
      <w:szCs w:val="32"/>
    </w:rPr>
  </w:style>
  <w:style w:type="paragraph" w:customStyle="1" w:styleId="titleofworkingpaper">
    <w:name w:val="title of working paper"/>
    <w:basedOn w:val="Normal"/>
    <w:rsid w:val="008A55B1"/>
    <w:pPr>
      <w:pBdr>
        <w:bottom w:val="single" w:sz="24" w:space="1" w:color="999999"/>
      </w:pBdr>
      <w:spacing w:after="0" w:line="240" w:lineRule="auto"/>
      <w:ind w:left="900" w:right="790"/>
      <w:jc w:val="center"/>
    </w:pPr>
    <w:rPr>
      <w:rFonts w:ascii="Calibri" w:eastAsia="Times New Roman" w:hAnsi="Calibri" w:cs="Times New Roman"/>
      <w:color w:val="993366"/>
      <w:sz w:val="44"/>
      <w:szCs w:val="4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375970">
      <w:bodyDiv w:val="1"/>
      <w:marLeft w:val="0"/>
      <w:marRight w:val="0"/>
      <w:marTop w:val="0"/>
      <w:marBottom w:val="0"/>
      <w:divBdr>
        <w:top w:val="none" w:sz="0" w:space="0" w:color="auto"/>
        <w:left w:val="none" w:sz="0" w:space="0" w:color="auto"/>
        <w:bottom w:val="none" w:sz="0" w:space="0" w:color="auto"/>
        <w:right w:val="none" w:sz="0" w:space="0" w:color="auto"/>
      </w:divBdr>
    </w:div>
    <w:div w:id="87106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2</cp:revision>
  <dcterms:created xsi:type="dcterms:W3CDTF">2020-06-16T10:13:00Z</dcterms:created>
  <dcterms:modified xsi:type="dcterms:W3CDTF">2020-06-16T10:13:00Z</dcterms:modified>
</cp:coreProperties>
</file>