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89E70" w14:textId="609390B4" w:rsidR="00914685" w:rsidRPr="005E2176" w:rsidRDefault="00E13B23" w:rsidP="00DF1BF0">
      <w:pPr>
        <w:pBdr>
          <w:top w:val="single" w:sz="4" w:space="1" w:color="auto"/>
          <w:left w:val="single" w:sz="4" w:space="4" w:color="auto"/>
          <w:bottom w:val="single" w:sz="4" w:space="1" w:color="auto"/>
          <w:right w:val="single" w:sz="4" w:space="4" w:color="auto"/>
        </w:pBdr>
        <w:jc w:val="center"/>
        <w:rPr>
          <w:b/>
          <w:bCs/>
          <w:sz w:val="32"/>
          <w:szCs w:val="32"/>
        </w:rPr>
      </w:pPr>
      <w:r w:rsidRPr="005E2176">
        <w:rPr>
          <w:b/>
          <w:bCs/>
          <w:sz w:val="32"/>
          <w:szCs w:val="32"/>
        </w:rPr>
        <w:t xml:space="preserve">EAPN input to </w:t>
      </w:r>
      <w:r w:rsidR="006E6042" w:rsidRPr="005E2176">
        <w:rPr>
          <w:b/>
          <w:bCs/>
          <w:sz w:val="32"/>
          <w:szCs w:val="32"/>
        </w:rPr>
        <w:t>the public consultation</w:t>
      </w:r>
      <w:r w:rsidRPr="005E2176">
        <w:rPr>
          <w:b/>
          <w:bCs/>
          <w:sz w:val="32"/>
          <w:szCs w:val="32"/>
        </w:rPr>
        <w:t xml:space="preserve"> for an Action Plan to implement the European Pillar of Social Rights</w:t>
      </w:r>
    </w:p>
    <w:p w14:paraId="45D788C3" w14:textId="10AA5650" w:rsidR="0067058C" w:rsidRPr="000E3C68" w:rsidRDefault="00B03107" w:rsidP="001615ED">
      <w:pPr>
        <w:jc w:val="both"/>
        <w:rPr>
          <w:b/>
          <w:bCs/>
          <w:sz w:val="28"/>
          <w:szCs w:val="28"/>
        </w:rPr>
      </w:pPr>
      <w:r>
        <w:rPr>
          <w:b/>
          <w:bCs/>
          <w:sz w:val="28"/>
          <w:szCs w:val="28"/>
        </w:rPr>
        <w:t xml:space="preserve">1. </w:t>
      </w:r>
      <w:r w:rsidR="005B1E96" w:rsidRPr="000E3C68">
        <w:rPr>
          <w:b/>
          <w:bCs/>
          <w:sz w:val="28"/>
          <w:szCs w:val="28"/>
        </w:rPr>
        <w:t>Introduction</w:t>
      </w:r>
    </w:p>
    <w:p w14:paraId="39A3A8A4" w14:textId="661A4F02" w:rsidR="005B1E96" w:rsidRDefault="005B1E96" w:rsidP="001615ED">
      <w:pPr>
        <w:jc w:val="both"/>
      </w:pPr>
      <w:r w:rsidRPr="005B1E96">
        <w:t>EAPN welcomed the adoption of the E</w:t>
      </w:r>
      <w:r w:rsidR="003C5A71">
        <w:t>uropean Pillar of Social Rights (EPSR)</w:t>
      </w:r>
      <w:r w:rsidRPr="005B1E96">
        <w:t xml:space="preserve"> by inter-institutional proclamation</w:t>
      </w:r>
      <w:r w:rsidR="006E6042">
        <w:t xml:space="preserve"> in November 2017</w:t>
      </w:r>
      <w:r w:rsidRPr="005B1E96">
        <w:t xml:space="preserve">, and the commitment </w:t>
      </w:r>
      <w:r>
        <w:t xml:space="preserve">demonstrated </w:t>
      </w:r>
      <w:r w:rsidRPr="005B1E96">
        <w:t xml:space="preserve">by the </w:t>
      </w:r>
      <w:r w:rsidR="001615ED">
        <w:t>new</w:t>
      </w:r>
      <w:r w:rsidR="006E6042">
        <w:t xml:space="preserve"> European</w:t>
      </w:r>
      <w:r w:rsidRPr="005B1E96">
        <w:t xml:space="preserve"> Commission</w:t>
      </w:r>
      <w:r w:rsidR="006E6042">
        <w:t xml:space="preserve"> leadership</w:t>
      </w:r>
      <w:r>
        <w:t xml:space="preserve"> to ensure that the EPSR has real impact on social rights</w:t>
      </w:r>
      <w:r w:rsidR="001615ED">
        <w:t xml:space="preserve">. </w:t>
      </w:r>
      <w:r w:rsidR="003C5A71">
        <w:t xml:space="preserve">On </w:t>
      </w:r>
      <w:r w:rsidR="00D8410E">
        <w:t xml:space="preserve">14 </w:t>
      </w:r>
      <w:r w:rsidR="003C5A71">
        <w:t xml:space="preserve">January </w:t>
      </w:r>
      <w:r w:rsidR="00D8410E">
        <w:t>2020</w:t>
      </w:r>
      <w:r w:rsidR="003C5A71">
        <w:t xml:space="preserve"> the Commission adopted a</w:t>
      </w:r>
      <w:r w:rsidR="008A6595">
        <w:t xml:space="preserve"> </w:t>
      </w:r>
      <w:hyperlink r:id="rId8" w:history="1">
        <w:r w:rsidR="008A6595" w:rsidRPr="008A6595">
          <w:rPr>
            <w:rStyle w:val="Hyperlink"/>
          </w:rPr>
          <w:t>Communication</w:t>
        </w:r>
      </w:hyperlink>
      <w:r w:rsidR="008A6595">
        <w:rPr>
          <w:rStyle w:val="FootnoteReference"/>
        </w:rPr>
        <w:footnoteReference w:id="1"/>
      </w:r>
      <w:r>
        <w:t xml:space="preserve"> </w:t>
      </w:r>
      <w:r w:rsidR="008A6595">
        <w:t>heralding the launch of a year-long</w:t>
      </w:r>
      <w:r>
        <w:t xml:space="preserve"> </w:t>
      </w:r>
      <w:hyperlink r:id="rId9" w:history="1">
        <w:r w:rsidRPr="008A6595">
          <w:rPr>
            <w:rStyle w:val="Hyperlink"/>
          </w:rPr>
          <w:t>public consultation</w:t>
        </w:r>
      </w:hyperlink>
      <w:r>
        <w:t xml:space="preserve"> as a basis for </w:t>
      </w:r>
      <w:r w:rsidR="008A6595">
        <w:t>the launch of a</w:t>
      </w:r>
      <w:r>
        <w:t xml:space="preserve"> concrete Action Plan at EU and national level</w:t>
      </w:r>
      <w:r w:rsidR="008A6595">
        <w:t xml:space="preserve"> in 2021.</w:t>
      </w:r>
    </w:p>
    <w:p w14:paraId="4324F63A" w14:textId="1A55F238" w:rsidR="00117CAA" w:rsidRDefault="00117CAA" w:rsidP="00117CAA">
      <w:pPr>
        <w:jc w:val="both"/>
        <w:rPr>
          <w:rFonts w:cstheme="minorHAnsi"/>
          <w:lang w:val="ca-ES"/>
        </w:rPr>
      </w:pPr>
      <w:r w:rsidRPr="00B1312F">
        <w:rPr>
          <w:rFonts w:cstheme="minorHAnsi"/>
          <w:b/>
          <w:bCs/>
          <w:lang w:val="ca-ES"/>
        </w:rPr>
        <w:t xml:space="preserve">However 2020 has also been the year of COVID19, as the </w:t>
      </w:r>
      <w:r w:rsidR="00B85E63">
        <w:rPr>
          <w:rFonts w:cstheme="minorHAnsi"/>
          <w:b/>
          <w:bCs/>
          <w:lang w:val="ca-ES"/>
        </w:rPr>
        <w:t>pandemic</w:t>
      </w:r>
      <w:r w:rsidRPr="00B1312F">
        <w:rPr>
          <w:rFonts w:cstheme="minorHAnsi"/>
          <w:b/>
          <w:bCs/>
          <w:lang w:val="ca-ES"/>
        </w:rPr>
        <w:t xml:space="preserve"> sweeps through Europe and the world with devastating impact</w:t>
      </w:r>
      <w:r w:rsidRPr="006141DB">
        <w:rPr>
          <w:rFonts w:cstheme="minorHAnsi"/>
          <w:lang w:val="ca-ES"/>
        </w:rPr>
        <w:t xml:space="preserve">. On </w:t>
      </w:r>
      <w:r>
        <w:rPr>
          <w:rFonts w:cstheme="minorHAnsi"/>
          <w:lang w:val="ca-ES"/>
        </w:rPr>
        <w:t>May 5</w:t>
      </w:r>
      <w:r w:rsidRPr="006141DB">
        <w:rPr>
          <w:rFonts w:cstheme="minorHAnsi"/>
          <w:lang w:val="ca-ES"/>
        </w:rPr>
        <w:t xml:space="preserve">, over </w:t>
      </w:r>
      <w:r>
        <w:rPr>
          <w:rFonts w:cstheme="minorHAnsi"/>
          <w:lang w:val="ca-ES"/>
        </w:rPr>
        <w:t>3</w:t>
      </w:r>
      <w:r w:rsidRPr="006141DB">
        <w:rPr>
          <w:rFonts w:cstheme="minorHAnsi"/>
          <w:lang w:val="ca-ES"/>
        </w:rPr>
        <w:t>.5 million cases were confirmed worldwide with</w:t>
      </w:r>
      <w:r>
        <w:rPr>
          <w:rFonts w:cstheme="minorHAnsi"/>
          <w:lang w:val="ca-ES"/>
        </w:rPr>
        <w:t xml:space="preserve"> deaths approaching 250.000</w:t>
      </w:r>
      <w:r>
        <w:rPr>
          <w:rStyle w:val="FootnoteReference"/>
          <w:rFonts w:cstheme="minorHAnsi"/>
          <w:lang w:val="ca-ES"/>
        </w:rPr>
        <w:footnoteReference w:id="2"/>
      </w:r>
      <w:r w:rsidRPr="006141DB">
        <w:rPr>
          <w:rFonts w:cstheme="minorHAnsi"/>
          <w:lang w:val="ca-ES"/>
        </w:rPr>
        <w:t>. The epidemic has immediate social and economic impacts beyond health and social care</w:t>
      </w:r>
      <w:r>
        <w:rPr>
          <w:rFonts w:cstheme="minorHAnsi"/>
          <w:lang w:val="ca-ES"/>
        </w:rPr>
        <w:t xml:space="preserve"> and</w:t>
      </w:r>
      <w:r>
        <w:rPr>
          <w:rFonts w:cstheme="minorHAnsi"/>
          <w:b/>
          <w:bCs/>
          <w:lang w:val="ca-ES"/>
        </w:rPr>
        <w:t xml:space="preserve"> is hurting</w:t>
      </w:r>
      <w:r w:rsidRPr="00B1147D">
        <w:rPr>
          <w:rFonts w:cstheme="minorHAnsi"/>
          <w:b/>
          <w:bCs/>
          <w:lang w:val="ca-ES"/>
        </w:rPr>
        <w:t xml:space="preserve"> </w:t>
      </w:r>
      <w:r>
        <w:rPr>
          <w:rFonts w:cstheme="minorHAnsi"/>
          <w:b/>
          <w:bCs/>
          <w:lang w:val="ca-ES"/>
        </w:rPr>
        <w:t>the poor and vulnerable most, increasing inequality and  jeopar</w:t>
      </w:r>
      <w:r w:rsidR="00B85E63">
        <w:rPr>
          <w:rFonts w:cstheme="minorHAnsi"/>
          <w:b/>
          <w:bCs/>
          <w:lang w:val="ca-ES"/>
        </w:rPr>
        <w:t>d</w:t>
      </w:r>
      <w:r>
        <w:rPr>
          <w:rFonts w:cstheme="minorHAnsi"/>
          <w:b/>
          <w:bCs/>
          <w:lang w:val="ca-ES"/>
        </w:rPr>
        <w:t>izing social rights</w:t>
      </w:r>
      <w:r>
        <w:rPr>
          <w:rFonts w:cstheme="minorHAnsi"/>
          <w:lang w:val="ca-ES"/>
        </w:rPr>
        <w:t xml:space="preserve">. </w:t>
      </w:r>
      <w:r w:rsidRPr="006141DB">
        <w:rPr>
          <w:rFonts w:cstheme="minorHAnsi"/>
          <w:lang w:val="ca-ES"/>
        </w:rPr>
        <w:t xml:space="preserve">(See </w:t>
      </w:r>
      <w:r w:rsidR="006B1008">
        <w:fldChar w:fldCharType="begin"/>
      </w:r>
      <w:r w:rsidR="006B1008">
        <w:instrText xml:space="preserve"> HYPERLINK "https://www.eapn.eu/wp-content/uploads/2020/03/EAPN-EAPN-Statement-on-Covid-19-4163.pdf" </w:instrText>
      </w:r>
      <w:r w:rsidR="006B1008">
        <w:fldChar w:fldCharType="separate"/>
      </w:r>
      <w:r w:rsidRPr="0075485E">
        <w:rPr>
          <w:rStyle w:val="Hyperlink"/>
          <w:rFonts w:cstheme="minorHAnsi"/>
          <w:lang w:val="ca-ES"/>
        </w:rPr>
        <w:t>EAPN Statement</w:t>
      </w:r>
      <w:r w:rsidR="006B1008">
        <w:rPr>
          <w:rStyle w:val="Hyperlink"/>
          <w:rFonts w:cstheme="minorHAnsi"/>
          <w:lang w:val="ca-ES"/>
        </w:rPr>
        <w:fldChar w:fldCharType="end"/>
      </w:r>
      <w:r w:rsidRPr="006141DB">
        <w:rPr>
          <w:rFonts w:cstheme="minorHAnsi"/>
          <w:lang w:val="ca-ES"/>
        </w:rPr>
        <w:t xml:space="preserve"> here </w:t>
      </w:r>
      <w:hyperlink r:id="rId10" w:history="1">
        <w:r w:rsidRPr="005271C8">
          <w:rPr>
            <w:rStyle w:val="Hyperlink"/>
            <w:rFonts w:cstheme="minorHAnsi"/>
            <w:lang w:val="ca-ES"/>
          </w:rPr>
          <w:t xml:space="preserve">and </w:t>
        </w:r>
        <w:r>
          <w:rPr>
            <w:rStyle w:val="Hyperlink"/>
            <w:rFonts w:cstheme="minorHAnsi"/>
            <w:lang w:val="ca-ES"/>
          </w:rPr>
          <w:t>l</w:t>
        </w:r>
        <w:r w:rsidRPr="005271C8">
          <w:rPr>
            <w:rStyle w:val="Hyperlink"/>
            <w:rFonts w:cstheme="minorHAnsi"/>
            <w:lang w:val="ca-ES"/>
          </w:rPr>
          <w:t>etter</w:t>
        </w:r>
      </w:hyperlink>
      <w:r w:rsidRPr="006141DB">
        <w:rPr>
          <w:rFonts w:cstheme="minorHAnsi"/>
          <w:lang w:val="ca-ES"/>
        </w:rPr>
        <w:t xml:space="preserve"> to the European Council</w:t>
      </w:r>
      <w:r>
        <w:rPr>
          <w:rFonts w:cstheme="minorHAnsi"/>
          <w:lang w:val="ca-ES"/>
        </w:rPr>
        <w:t>).</w:t>
      </w:r>
      <w:r w:rsidRPr="00F622A7">
        <w:rPr>
          <w:rFonts w:cstheme="minorHAnsi"/>
          <w:lang w:val="ca-ES"/>
        </w:rPr>
        <w:t xml:space="preserve"> </w:t>
      </w:r>
    </w:p>
    <w:p w14:paraId="7C06F6EB" w14:textId="424ECD38" w:rsidR="00117CAA" w:rsidRDefault="00117CAA" w:rsidP="00117CAA">
      <w:pPr>
        <w:jc w:val="both"/>
        <w:rPr>
          <w:rFonts w:cstheme="minorHAnsi"/>
          <w:lang w:val="ca-ES"/>
        </w:rPr>
      </w:pPr>
      <w:r>
        <w:rPr>
          <w:rFonts w:cstheme="minorHAnsi"/>
          <w:lang w:val="ca-ES"/>
        </w:rPr>
        <w:t>Currently most M</w:t>
      </w:r>
      <w:r w:rsidR="002D4559">
        <w:rPr>
          <w:rFonts w:cstheme="minorHAnsi"/>
          <w:lang w:val="ca-ES"/>
        </w:rPr>
        <w:t>e</w:t>
      </w:r>
      <w:r>
        <w:rPr>
          <w:rFonts w:cstheme="minorHAnsi"/>
          <w:lang w:val="ca-ES"/>
        </w:rPr>
        <w:t xml:space="preserve">mber States are providing immediate emergency support measures to reinforce </w:t>
      </w:r>
      <w:r w:rsidR="002D4559">
        <w:rPr>
          <w:rFonts w:cstheme="minorHAnsi"/>
          <w:lang w:val="ca-ES"/>
        </w:rPr>
        <w:t xml:space="preserve">lives and </w:t>
      </w:r>
      <w:r>
        <w:rPr>
          <w:rFonts w:cstheme="minorHAnsi"/>
          <w:lang w:val="ca-ES"/>
        </w:rPr>
        <w:t xml:space="preserve">livelihoods. </w:t>
      </w:r>
      <w:r w:rsidRPr="002D4559">
        <w:rPr>
          <w:rFonts w:cstheme="minorHAnsi"/>
          <w:b/>
          <w:bCs/>
          <w:lang w:val="ca-ES"/>
        </w:rPr>
        <w:t xml:space="preserve">It will be crucial that the Action Plan for the EPSR builds on these positive support measures to reinforce </w:t>
      </w:r>
      <w:r w:rsidR="002D4559">
        <w:rPr>
          <w:rFonts w:cstheme="minorHAnsi"/>
          <w:b/>
          <w:bCs/>
          <w:lang w:val="ca-ES"/>
        </w:rPr>
        <w:t xml:space="preserve">adequate income </w:t>
      </w:r>
      <w:r w:rsidR="002D4559" w:rsidRPr="002D4559">
        <w:rPr>
          <w:rFonts w:cstheme="minorHAnsi"/>
          <w:lang w:val="ca-ES"/>
        </w:rPr>
        <w:t>(</w:t>
      </w:r>
      <w:r w:rsidR="00523323">
        <w:rPr>
          <w:rFonts w:cstheme="minorHAnsi"/>
          <w:lang w:val="ca-ES"/>
        </w:rPr>
        <w:t xml:space="preserve">quality jobs with fair living </w:t>
      </w:r>
      <w:r w:rsidR="002D4559" w:rsidRPr="002D4559">
        <w:rPr>
          <w:rFonts w:cstheme="minorHAnsi"/>
          <w:lang w:val="ca-ES"/>
        </w:rPr>
        <w:t xml:space="preserve">wages and </w:t>
      </w:r>
      <w:r w:rsidR="00523323">
        <w:rPr>
          <w:rFonts w:cstheme="minorHAnsi"/>
          <w:lang w:val="ca-ES"/>
        </w:rPr>
        <w:t xml:space="preserve">minimum income and social protection </w:t>
      </w:r>
      <w:r w:rsidR="002D4559" w:rsidRPr="002D4559">
        <w:rPr>
          <w:rFonts w:cstheme="minorHAnsi"/>
          <w:lang w:val="ca-ES"/>
        </w:rPr>
        <w:t>income support)</w:t>
      </w:r>
      <w:r w:rsidR="00523323">
        <w:rPr>
          <w:rFonts w:cstheme="minorHAnsi"/>
          <w:lang w:val="ca-ES"/>
        </w:rPr>
        <w:t xml:space="preserve"> and </w:t>
      </w:r>
      <w:r w:rsidR="00523323" w:rsidRPr="00523323">
        <w:rPr>
          <w:rFonts w:cstheme="minorHAnsi"/>
          <w:b/>
          <w:bCs/>
          <w:lang w:val="ca-ES"/>
        </w:rPr>
        <w:t>access to</w:t>
      </w:r>
      <w:r w:rsidR="002D4559">
        <w:rPr>
          <w:rFonts w:cstheme="minorHAnsi"/>
          <w:b/>
          <w:bCs/>
          <w:lang w:val="ca-ES"/>
        </w:rPr>
        <w:t xml:space="preserve"> </w:t>
      </w:r>
      <w:r w:rsidR="00523323">
        <w:rPr>
          <w:rFonts w:cstheme="minorHAnsi"/>
          <w:b/>
          <w:bCs/>
          <w:lang w:val="ca-ES"/>
        </w:rPr>
        <w:t>key public and essential services</w:t>
      </w:r>
      <w:r w:rsidR="00523323">
        <w:rPr>
          <w:rFonts w:cstheme="minorHAnsi"/>
          <w:lang w:val="ca-ES"/>
        </w:rPr>
        <w:t xml:space="preserve"> (</w:t>
      </w:r>
      <w:r>
        <w:rPr>
          <w:rFonts w:cstheme="minorHAnsi"/>
          <w:lang w:val="ca-ES"/>
        </w:rPr>
        <w:t>public health</w:t>
      </w:r>
      <w:r w:rsidR="002D4559">
        <w:rPr>
          <w:rFonts w:cstheme="minorHAnsi"/>
          <w:lang w:val="ca-ES"/>
        </w:rPr>
        <w:t xml:space="preserve"> and care services, </w:t>
      </w:r>
      <w:r w:rsidR="00523323">
        <w:rPr>
          <w:rFonts w:cstheme="minorHAnsi"/>
          <w:lang w:val="ca-ES"/>
        </w:rPr>
        <w:t>education, training and lifelong learning and</w:t>
      </w:r>
      <w:r w:rsidR="002D4559">
        <w:rPr>
          <w:rFonts w:cstheme="minorHAnsi"/>
          <w:lang w:val="ca-ES"/>
        </w:rPr>
        <w:t xml:space="preserve"> </w:t>
      </w:r>
      <w:r w:rsidR="009154C1">
        <w:rPr>
          <w:rFonts w:cstheme="minorHAnsi"/>
          <w:lang w:val="ca-ES"/>
        </w:rPr>
        <w:t xml:space="preserve">social, affordable </w:t>
      </w:r>
      <w:r w:rsidR="002D4559">
        <w:rPr>
          <w:rFonts w:cstheme="minorHAnsi"/>
          <w:lang w:val="ca-ES"/>
        </w:rPr>
        <w:t>housing</w:t>
      </w:r>
      <w:r w:rsidR="00523323">
        <w:rPr>
          <w:rFonts w:cstheme="minorHAnsi"/>
          <w:lang w:val="ca-ES"/>
        </w:rPr>
        <w:t>)</w:t>
      </w:r>
      <w:r w:rsidR="002D4559">
        <w:rPr>
          <w:rFonts w:cstheme="minorHAnsi"/>
          <w:lang w:val="ca-ES"/>
        </w:rPr>
        <w:t xml:space="preserve">. It must reject the failed solutions from 2008 - </w:t>
      </w:r>
      <w:r>
        <w:rPr>
          <w:rFonts w:cstheme="minorHAnsi"/>
          <w:lang w:val="ca-ES"/>
        </w:rPr>
        <w:t xml:space="preserve"> repaying the </w:t>
      </w:r>
      <w:r w:rsidR="002D4559">
        <w:rPr>
          <w:rFonts w:cstheme="minorHAnsi"/>
          <w:lang w:val="ca-ES"/>
        </w:rPr>
        <w:t xml:space="preserve">costs </w:t>
      </w:r>
      <w:r>
        <w:rPr>
          <w:rFonts w:cstheme="minorHAnsi"/>
          <w:lang w:val="ca-ES"/>
        </w:rPr>
        <w:t>through austerity cuts which hit the poor hardest, rather than</w:t>
      </w:r>
      <w:r w:rsidR="00EC082E">
        <w:rPr>
          <w:rFonts w:cstheme="minorHAnsi"/>
          <w:lang w:val="ca-ES"/>
        </w:rPr>
        <w:t xml:space="preserve"> by increasing</w:t>
      </w:r>
      <w:r>
        <w:rPr>
          <w:rFonts w:cstheme="minorHAnsi"/>
          <w:lang w:val="ca-ES"/>
        </w:rPr>
        <w:t xml:space="preserve"> revenue</w:t>
      </w:r>
      <w:r w:rsidR="00EC082E">
        <w:rPr>
          <w:rFonts w:cstheme="minorHAnsi"/>
          <w:lang w:val="ca-ES"/>
        </w:rPr>
        <w:t xml:space="preserve"> through more progressive taxation</w:t>
      </w:r>
      <w:r>
        <w:rPr>
          <w:rFonts w:cstheme="minorHAnsi"/>
          <w:lang w:val="ca-ES"/>
        </w:rPr>
        <w:t xml:space="preserve">. (See </w:t>
      </w:r>
      <w:r w:rsidR="006B1008">
        <w:fldChar w:fldCharType="begin"/>
      </w:r>
      <w:r w:rsidR="006B1008">
        <w:instrText xml:space="preserve"> HYPERLINK "https://www.eapn.eu/crs-2020-putting-social-rights-and-poverty-reduction-at-the-heart-of-the-covid-19-response-eapn-letter-to-commissioner-dombrovskis/" </w:instrText>
      </w:r>
      <w:r w:rsidR="006B1008">
        <w:fldChar w:fldCharType="separate"/>
      </w:r>
      <w:r w:rsidRPr="002D4559">
        <w:rPr>
          <w:rStyle w:val="Hyperlink"/>
          <w:rFonts w:cstheme="minorHAnsi"/>
          <w:lang w:val="ca-ES"/>
        </w:rPr>
        <w:t>EAPN Letter to Vice President Dombrovksis and Commissioner Schmit</w:t>
      </w:r>
      <w:r w:rsidR="006B1008">
        <w:rPr>
          <w:rStyle w:val="Hyperlink"/>
          <w:rFonts w:cstheme="minorHAnsi"/>
          <w:lang w:val="ca-ES"/>
        </w:rPr>
        <w:fldChar w:fldCharType="end"/>
      </w:r>
      <w:r>
        <w:rPr>
          <w:rFonts w:cstheme="minorHAnsi"/>
          <w:lang w:val="ca-ES"/>
        </w:rPr>
        <w:t xml:space="preserve"> on the CSRs 2020 – put social rights and poverty reduction at the heart of the recovery</w:t>
      </w:r>
      <w:r w:rsidR="00D55D7A">
        <w:rPr>
          <w:rFonts w:cstheme="minorHAnsi"/>
          <w:lang w:val="ca-ES"/>
        </w:rPr>
        <w:t>)</w:t>
      </w:r>
      <w:r>
        <w:rPr>
          <w:rFonts w:cstheme="minorHAnsi"/>
          <w:lang w:val="ca-ES"/>
        </w:rPr>
        <w:t>.</w:t>
      </w:r>
      <w:r w:rsidR="009154C1">
        <w:rPr>
          <w:rFonts w:cstheme="minorHAnsi"/>
          <w:lang w:val="ca-ES"/>
        </w:rPr>
        <w:t xml:space="preserve"> EAPN is currently carrying out a study on the impact of COVID-19 and policy responses on people experiencing poverty and vulnerability.</w:t>
      </w:r>
      <w:r w:rsidR="00D55D7A">
        <w:rPr>
          <w:rStyle w:val="FootnoteReference"/>
          <w:rFonts w:cstheme="minorHAnsi"/>
          <w:lang w:val="ca-ES"/>
        </w:rPr>
        <w:footnoteReference w:id="3"/>
      </w:r>
    </w:p>
    <w:p w14:paraId="26CF45A0" w14:textId="4145B2AF" w:rsidR="00117CAA" w:rsidRDefault="00117CAA" w:rsidP="001615ED">
      <w:pPr>
        <w:jc w:val="both"/>
        <w:rPr>
          <w:rFonts w:cstheme="minorHAnsi"/>
          <w:b/>
          <w:bCs/>
          <w:lang w:val="ca-ES"/>
        </w:rPr>
      </w:pPr>
      <w:r>
        <w:rPr>
          <w:rFonts w:cstheme="minorHAnsi"/>
          <w:lang w:val="ca-ES"/>
        </w:rPr>
        <w:t xml:space="preserve">The social and economic impact of COVID-19 further underlines the </w:t>
      </w:r>
      <w:r w:rsidRPr="002D4559">
        <w:rPr>
          <w:rFonts w:cstheme="minorHAnsi"/>
          <w:b/>
          <w:bCs/>
          <w:lang w:val="ca-ES"/>
        </w:rPr>
        <w:t xml:space="preserve">key role of the EU in guaranteeing social rights  </w:t>
      </w:r>
      <w:r w:rsidR="009154C1">
        <w:rPr>
          <w:rFonts w:cstheme="minorHAnsi"/>
          <w:b/>
          <w:bCs/>
          <w:lang w:val="ca-ES"/>
        </w:rPr>
        <w:t xml:space="preserve">and the </w:t>
      </w:r>
      <w:r w:rsidRPr="002D4559">
        <w:rPr>
          <w:rFonts w:cstheme="minorHAnsi"/>
          <w:b/>
          <w:bCs/>
          <w:lang w:val="ca-ES"/>
        </w:rPr>
        <w:t>need for effective hard law as well as</w:t>
      </w:r>
      <w:r w:rsidR="009154C1">
        <w:rPr>
          <w:rFonts w:cstheme="minorHAnsi"/>
          <w:b/>
          <w:bCs/>
          <w:lang w:val="ca-ES"/>
        </w:rPr>
        <w:t xml:space="preserve"> m</w:t>
      </w:r>
      <w:r w:rsidR="00523323">
        <w:rPr>
          <w:rFonts w:cstheme="minorHAnsi"/>
          <w:b/>
          <w:bCs/>
          <w:lang w:val="ca-ES"/>
        </w:rPr>
        <w:t>aking the EU</w:t>
      </w:r>
      <w:r w:rsidRPr="002D4559">
        <w:rPr>
          <w:rFonts w:cstheme="minorHAnsi"/>
          <w:b/>
          <w:bCs/>
          <w:lang w:val="ca-ES"/>
        </w:rPr>
        <w:t xml:space="preserve"> soft coordination mechanisms</w:t>
      </w:r>
      <w:r w:rsidR="00BC3318" w:rsidRPr="002D4559">
        <w:rPr>
          <w:rFonts w:cstheme="minorHAnsi"/>
          <w:b/>
          <w:bCs/>
          <w:lang w:val="ca-ES"/>
        </w:rPr>
        <w:t xml:space="preserve"> like the</w:t>
      </w:r>
      <w:r w:rsidR="00523323">
        <w:rPr>
          <w:rFonts w:cstheme="minorHAnsi"/>
          <w:b/>
          <w:bCs/>
          <w:lang w:val="ca-ES"/>
        </w:rPr>
        <w:t xml:space="preserve"> European</w:t>
      </w:r>
      <w:r w:rsidR="00BC3318" w:rsidRPr="002D4559">
        <w:rPr>
          <w:rFonts w:cstheme="minorHAnsi"/>
          <w:b/>
          <w:bCs/>
          <w:lang w:val="ca-ES"/>
        </w:rPr>
        <w:t xml:space="preserve"> Semester</w:t>
      </w:r>
      <w:r w:rsidR="00523323">
        <w:rPr>
          <w:rFonts w:cstheme="minorHAnsi"/>
          <w:b/>
          <w:bCs/>
          <w:lang w:val="ca-ES"/>
        </w:rPr>
        <w:t xml:space="preserve"> more coherent and effective,</w:t>
      </w:r>
      <w:r w:rsidR="00BC3318" w:rsidRPr="002D4559">
        <w:rPr>
          <w:rFonts w:cstheme="minorHAnsi"/>
          <w:b/>
          <w:bCs/>
          <w:lang w:val="ca-ES"/>
        </w:rPr>
        <w:t xml:space="preserve"> backed by EU funds.</w:t>
      </w:r>
    </w:p>
    <w:p w14:paraId="589FC3E6" w14:textId="1BE21AF7" w:rsidR="009154C1" w:rsidRPr="009154C1" w:rsidRDefault="009154C1" w:rsidP="001615ED">
      <w:pPr>
        <w:jc w:val="both"/>
      </w:pPr>
      <w:r>
        <w:rPr>
          <w:rFonts w:cstheme="minorHAnsi"/>
          <w:b/>
          <w:bCs/>
          <w:lang w:val="ca-ES"/>
        </w:rPr>
        <w:t xml:space="preserve">A key urgent need arising from COVID-19 impact will be to propose EU obligatory frameworks to guarantee adequate income </w:t>
      </w:r>
      <w:r w:rsidRPr="009154C1">
        <w:rPr>
          <w:rFonts w:cstheme="minorHAnsi"/>
          <w:lang w:val="ca-ES"/>
        </w:rPr>
        <w:t>–</w:t>
      </w:r>
      <w:r>
        <w:rPr>
          <w:rFonts w:cstheme="minorHAnsi"/>
          <w:lang w:val="ca-ES"/>
        </w:rPr>
        <w:t xml:space="preserve"> adequate</w:t>
      </w:r>
      <w:r w:rsidRPr="009154C1">
        <w:rPr>
          <w:rFonts w:cstheme="minorHAnsi"/>
          <w:lang w:val="ca-ES"/>
        </w:rPr>
        <w:t xml:space="preserve"> income support/minimum income</w:t>
      </w:r>
      <w:r>
        <w:rPr>
          <w:rFonts w:cstheme="minorHAnsi"/>
          <w:lang w:val="ca-ES"/>
        </w:rPr>
        <w:t xml:space="preserve"> and fair wages</w:t>
      </w:r>
      <w:r w:rsidRPr="009154C1">
        <w:rPr>
          <w:rFonts w:cstheme="minorHAnsi"/>
          <w:lang w:val="ca-ES"/>
        </w:rPr>
        <w:t xml:space="preserve"> and progress on</w:t>
      </w:r>
      <w:r>
        <w:rPr>
          <w:rFonts w:cstheme="minorHAnsi"/>
          <w:lang w:val="ca-ES"/>
        </w:rPr>
        <w:t xml:space="preserve"> legal guarantees</w:t>
      </w:r>
      <w:r w:rsidRPr="009154C1">
        <w:rPr>
          <w:rFonts w:cstheme="minorHAnsi"/>
          <w:lang w:val="ca-ES"/>
        </w:rPr>
        <w:t xml:space="preserve"> to guarantee </w:t>
      </w:r>
      <w:r>
        <w:rPr>
          <w:rFonts w:cstheme="minorHAnsi"/>
          <w:lang w:val="ca-ES"/>
        </w:rPr>
        <w:t xml:space="preserve">universal </w:t>
      </w:r>
      <w:r w:rsidRPr="009154C1">
        <w:rPr>
          <w:rFonts w:cstheme="minorHAnsi"/>
          <w:lang w:val="ca-ES"/>
        </w:rPr>
        <w:t>access</w:t>
      </w:r>
      <w:r>
        <w:rPr>
          <w:rFonts w:cstheme="minorHAnsi"/>
          <w:lang w:val="ca-ES"/>
        </w:rPr>
        <w:t xml:space="preserve"> to</w:t>
      </w:r>
      <w:r w:rsidRPr="009154C1">
        <w:rPr>
          <w:rFonts w:cstheme="minorHAnsi"/>
          <w:lang w:val="ca-ES"/>
        </w:rPr>
        <w:t xml:space="preserve"> public and essential services.</w:t>
      </w:r>
    </w:p>
    <w:p w14:paraId="42135285" w14:textId="1953AFB7" w:rsidR="005B1E96" w:rsidRDefault="005B1E96" w:rsidP="001615ED">
      <w:pPr>
        <w:jc w:val="both"/>
        <w:rPr>
          <w:rStyle w:val="Hyperlink"/>
        </w:rPr>
      </w:pPr>
      <w:r w:rsidRPr="005B1E96">
        <w:t xml:space="preserve">In this document, EAPN sets out its proposals for an </w:t>
      </w:r>
      <w:r w:rsidRPr="00736A2D">
        <w:rPr>
          <w:b/>
          <w:bCs/>
        </w:rPr>
        <w:t>Action Plan to implement the European Pillar of Social Rights</w:t>
      </w:r>
      <w:r w:rsidR="006E6042">
        <w:t>, as a part of its response to the European Commission’s consultation.</w:t>
      </w:r>
      <w:r>
        <w:t xml:space="preserve"> It builds on EAPN’s </w:t>
      </w:r>
      <w:r w:rsidR="0018347E">
        <w:t xml:space="preserve">policy </w:t>
      </w:r>
      <w:r w:rsidR="006E6042">
        <w:t>position papers on</w:t>
      </w:r>
      <w:r w:rsidR="008A6595">
        <w:t xml:space="preserve"> the European Pillar of</w:t>
      </w:r>
      <w:r w:rsidR="006E6042">
        <w:t xml:space="preserve"> Social Rights</w:t>
      </w:r>
      <w:r w:rsidR="008A6595">
        <w:t xml:space="preserve"> (EPSR)</w:t>
      </w:r>
      <w:r w:rsidR="006E6042">
        <w:t xml:space="preserve"> </w:t>
      </w:r>
      <w:r>
        <w:t>developed together over this period</w:t>
      </w:r>
      <w:r w:rsidR="006E6042">
        <w:t xml:space="preserve"> with its national and European Organi</w:t>
      </w:r>
      <w:r w:rsidR="00D8410E">
        <w:t>s</w:t>
      </w:r>
      <w:r w:rsidR="006E6042">
        <w:t>ation members</w:t>
      </w:r>
      <w:r w:rsidR="00D8410E">
        <w:t>:</w:t>
      </w:r>
      <w:r w:rsidR="006E6042">
        <w:t xml:space="preserve"> </w:t>
      </w:r>
      <w:hyperlink r:id="rId11" w:history="1">
        <w:r w:rsidRPr="005B1E96">
          <w:rPr>
            <w:rStyle w:val="Hyperlink"/>
          </w:rPr>
          <w:t>Last Chance for Social Europe</w:t>
        </w:r>
      </w:hyperlink>
      <w:r>
        <w:t xml:space="preserve"> (2016),</w:t>
      </w:r>
      <w:r w:rsidR="006E6042">
        <w:t xml:space="preserve"> Response to the EPSR:</w:t>
      </w:r>
      <w:r>
        <w:t xml:space="preserve"> </w:t>
      </w:r>
      <w:hyperlink r:id="rId12" w:history="1">
        <w:r w:rsidRPr="006E6042">
          <w:rPr>
            <w:rStyle w:val="Hyperlink"/>
          </w:rPr>
          <w:t>Making Social Rights the beating heart of Europe (2017)</w:t>
        </w:r>
      </w:hyperlink>
      <w:r w:rsidR="006E6042">
        <w:t>;</w:t>
      </w:r>
      <w:r>
        <w:t xml:space="preserve"> </w:t>
      </w:r>
      <w:hyperlink r:id="rId13" w:history="1">
        <w:r w:rsidR="006E6042">
          <w:rPr>
            <w:rStyle w:val="Hyperlink"/>
          </w:rPr>
          <w:t>Response to the</w:t>
        </w:r>
        <w:r w:rsidRPr="005B1E96">
          <w:rPr>
            <w:rStyle w:val="Hyperlink"/>
          </w:rPr>
          <w:t xml:space="preserve"> Social Fairness Package: </w:t>
        </w:r>
        <w:r w:rsidR="006E6042">
          <w:rPr>
            <w:rStyle w:val="Hyperlink"/>
          </w:rPr>
          <w:t>M</w:t>
        </w:r>
        <w:r w:rsidRPr="005B1E96">
          <w:rPr>
            <w:rStyle w:val="Hyperlink"/>
          </w:rPr>
          <w:t>aking a difference to people in poverty</w:t>
        </w:r>
      </w:hyperlink>
      <w:r>
        <w:t xml:space="preserve"> (2018)</w:t>
      </w:r>
      <w:r w:rsidR="008A6595">
        <w:t xml:space="preserve">, as well as </w:t>
      </w:r>
      <w:r w:rsidR="00BB7A26">
        <w:t>EAPN</w:t>
      </w:r>
      <w:r w:rsidR="008A6595">
        <w:t xml:space="preserve"> monitoring reports on the implementation </w:t>
      </w:r>
      <w:r w:rsidR="00BB7A26">
        <w:t xml:space="preserve">on poverty, social rights and participation </w:t>
      </w:r>
      <w:r w:rsidR="008A6595">
        <w:t>through the European Semester</w:t>
      </w:r>
      <w:r w:rsidR="008A6595">
        <w:rPr>
          <w:rStyle w:val="FootnoteReference"/>
        </w:rPr>
        <w:footnoteReference w:id="4"/>
      </w:r>
      <w:r w:rsidR="00D33E88">
        <w:t xml:space="preserve"> </w:t>
      </w:r>
      <w:r w:rsidR="003C5A71">
        <w:lastRenderedPageBreak/>
        <w:t xml:space="preserve">and specific thematic reports. </w:t>
      </w:r>
      <w:r w:rsidR="00D33E88">
        <w:t xml:space="preserve">This paper strongly builds on our </w:t>
      </w:r>
      <w:hyperlink r:id="rId14" w:history="1">
        <w:r w:rsidR="00D33E88" w:rsidRPr="003C5A71">
          <w:rPr>
            <w:rStyle w:val="Hyperlink"/>
          </w:rPr>
          <w:t>Position Paper for Delivering Agenda 2030 for people and plant: EAPN proposals for a Post Europe 2020 strategy.</w:t>
        </w:r>
      </w:hyperlink>
      <w:r w:rsidR="0018347E">
        <w:rPr>
          <w:rStyle w:val="Hyperlink"/>
        </w:rPr>
        <w:t xml:space="preserve"> </w:t>
      </w:r>
    </w:p>
    <w:p w14:paraId="3A88B8F3" w14:textId="2849A672" w:rsidR="00117CAA" w:rsidRPr="00B85E63" w:rsidRDefault="00BC3318" w:rsidP="001615ED">
      <w:pPr>
        <w:jc w:val="both"/>
        <w:rPr>
          <w:rStyle w:val="Hyperlink"/>
          <w:color w:val="auto"/>
          <w:u w:val="none"/>
        </w:rPr>
      </w:pPr>
      <w:r w:rsidRPr="00B85E63">
        <w:rPr>
          <w:rStyle w:val="Hyperlink"/>
          <w:color w:val="auto"/>
          <w:u w:val="none"/>
        </w:rPr>
        <w:t xml:space="preserve">We </w:t>
      </w:r>
      <w:r w:rsidR="00117CAA" w:rsidRPr="00B85E63">
        <w:rPr>
          <w:rStyle w:val="Hyperlink"/>
          <w:color w:val="auto"/>
          <w:u w:val="none"/>
        </w:rPr>
        <w:t>underline</w:t>
      </w:r>
      <w:r w:rsidRPr="00B85E63">
        <w:rPr>
          <w:rStyle w:val="Hyperlink"/>
          <w:color w:val="auto"/>
          <w:u w:val="none"/>
        </w:rPr>
        <w:t xml:space="preserve"> the need to ensure that</w:t>
      </w:r>
      <w:r w:rsidR="00117CAA" w:rsidRPr="00B85E63">
        <w:rPr>
          <w:rStyle w:val="Hyperlink"/>
          <w:color w:val="auto"/>
          <w:u w:val="none"/>
        </w:rPr>
        <w:t xml:space="preserve"> </w:t>
      </w:r>
      <w:r w:rsidR="00117CAA" w:rsidRPr="002D4559">
        <w:rPr>
          <w:rStyle w:val="Hyperlink"/>
          <w:b/>
          <w:bCs/>
          <w:color w:val="auto"/>
          <w:u w:val="none"/>
        </w:rPr>
        <w:t>emergency measures being put in place by</w:t>
      </w:r>
      <w:r w:rsidRPr="002D4559">
        <w:rPr>
          <w:rStyle w:val="Hyperlink"/>
          <w:b/>
          <w:bCs/>
          <w:color w:val="auto"/>
          <w:u w:val="none"/>
        </w:rPr>
        <w:t xml:space="preserve"> </w:t>
      </w:r>
      <w:r w:rsidR="00117CAA" w:rsidRPr="002D4559">
        <w:rPr>
          <w:rStyle w:val="Hyperlink"/>
          <w:b/>
          <w:bCs/>
          <w:color w:val="auto"/>
          <w:u w:val="none"/>
        </w:rPr>
        <w:t xml:space="preserve">Member States </w:t>
      </w:r>
      <w:r w:rsidRPr="002D4559">
        <w:rPr>
          <w:rStyle w:val="Hyperlink"/>
          <w:b/>
          <w:bCs/>
          <w:color w:val="auto"/>
          <w:u w:val="none"/>
        </w:rPr>
        <w:t xml:space="preserve"> to deal with COVID-19 </w:t>
      </w:r>
      <w:r w:rsidR="00117CAA" w:rsidRPr="002D4559">
        <w:rPr>
          <w:rStyle w:val="Hyperlink"/>
          <w:b/>
          <w:bCs/>
          <w:color w:val="auto"/>
          <w:u w:val="none"/>
        </w:rPr>
        <w:t xml:space="preserve">must be supported to reinforce health, public services and social protection systems as pre-requisites </w:t>
      </w:r>
      <w:r w:rsidR="00117CAA" w:rsidRPr="00B85E63">
        <w:rPr>
          <w:rStyle w:val="Hyperlink"/>
          <w:color w:val="auto"/>
          <w:u w:val="none"/>
        </w:rPr>
        <w:t xml:space="preserve">to effectively protect the poor and vulnerable, reduce inequalities and provide automatic stabilisers which </w:t>
      </w:r>
      <w:r w:rsidRPr="00B85E63">
        <w:rPr>
          <w:rStyle w:val="Hyperlink"/>
          <w:color w:val="auto"/>
          <w:u w:val="none"/>
        </w:rPr>
        <w:t>mitigate the</w:t>
      </w:r>
      <w:r w:rsidR="00117CAA" w:rsidRPr="00B85E63">
        <w:rPr>
          <w:rStyle w:val="Hyperlink"/>
          <w:color w:val="auto"/>
          <w:u w:val="none"/>
        </w:rPr>
        <w:t xml:space="preserve"> worst impact</w:t>
      </w:r>
      <w:r w:rsidRPr="00B85E63">
        <w:rPr>
          <w:rStyle w:val="Hyperlink"/>
          <w:color w:val="auto"/>
          <w:u w:val="none"/>
        </w:rPr>
        <w:t>s and protect against future epidemics.</w:t>
      </w:r>
    </w:p>
    <w:p w14:paraId="29403E7A" w14:textId="1DF9ED27" w:rsidR="006504F3" w:rsidRDefault="0018347E" w:rsidP="001615ED">
      <w:pPr>
        <w:jc w:val="both"/>
      </w:pPr>
      <w:r w:rsidRPr="00736A2D">
        <w:rPr>
          <w:rStyle w:val="Hyperlink"/>
          <w:color w:val="auto"/>
          <w:u w:val="none"/>
        </w:rPr>
        <w:t xml:space="preserve">A further  vital source for EAPN is the </w:t>
      </w:r>
      <w:r w:rsidRPr="00523323">
        <w:rPr>
          <w:rStyle w:val="Hyperlink"/>
          <w:b/>
          <w:bCs/>
          <w:color w:val="auto"/>
          <w:u w:val="none"/>
        </w:rPr>
        <w:t>direct voice of people experiencing poverty</w:t>
      </w:r>
      <w:r w:rsidRPr="00736A2D">
        <w:rPr>
          <w:rStyle w:val="Hyperlink"/>
          <w:color w:val="auto"/>
          <w:u w:val="none"/>
        </w:rPr>
        <w:t xml:space="preserve">, captured in the reports of the </w:t>
      </w:r>
      <w:hyperlink r:id="rId15" w:history="1">
        <w:r w:rsidRPr="00736A2D">
          <w:rPr>
            <w:rStyle w:val="Hyperlink"/>
            <w:color w:val="auto"/>
            <w:u w:val="none"/>
          </w:rPr>
          <w:t>EU People Experiencing Poverty Meetings</w:t>
        </w:r>
      </w:hyperlink>
      <w:r w:rsidRPr="00736A2D">
        <w:rPr>
          <w:rStyle w:val="Hyperlink"/>
          <w:color w:val="auto"/>
          <w:u w:val="none"/>
        </w:rPr>
        <w:t>,</w:t>
      </w:r>
      <w:r w:rsidRPr="00736A2D">
        <w:rPr>
          <w:rStyle w:val="FootnoteReference"/>
        </w:rPr>
        <w:footnoteReference w:id="5"/>
      </w:r>
      <w:r w:rsidRPr="00736A2D">
        <w:rPr>
          <w:rStyle w:val="Hyperlink"/>
          <w:color w:val="auto"/>
          <w:u w:val="none"/>
        </w:rPr>
        <w:t xml:space="preserve"> co-organized with the European Commission and the Presidencies since 2001.</w:t>
      </w:r>
      <w:r w:rsidR="00741E67">
        <w:rPr>
          <w:rStyle w:val="Hyperlink"/>
          <w:color w:val="auto"/>
          <w:u w:val="none"/>
        </w:rPr>
        <w:t xml:space="preserve"> </w:t>
      </w:r>
      <w:r w:rsidR="006E6042">
        <w:t xml:space="preserve">This </w:t>
      </w:r>
      <w:r w:rsidR="001615ED">
        <w:t>input</w:t>
      </w:r>
      <w:r w:rsidR="006E6042">
        <w:t xml:space="preserve"> sets</w:t>
      </w:r>
      <w:r w:rsidR="006D18FD">
        <w:t xml:space="preserve"> out</w:t>
      </w:r>
      <w:r w:rsidR="006E6042">
        <w:t xml:space="preserve"> </w:t>
      </w:r>
      <w:r w:rsidR="006D18FD">
        <w:rPr>
          <w:b/>
          <w:bCs/>
        </w:rPr>
        <w:t>EAPN’s</w:t>
      </w:r>
      <w:r w:rsidR="006E6042" w:rsidRPr="00736A2D">
        <w:rPr>
          <w:b/>
          <w:bCs/>
        </w:rPr>
        <w:t xml:space="preserve"> proposals for EU level action,</w:t>
      </w:r>
      <w:r w:rsidR="006E6042">
        <w:t xml:space="preserve"> developed together with EAPN’s EU-wide Policy Expert group: the EU Inclusion Strategies Group, (EUISG)</w:t>
      </w:r>
      <w:r w:rsidR="00736A2D">
        <w:t>.</w:t>
      </w:r>
      <w:r w:rsidR="006E6042">
        <w:t xml:space="preserve"> </w:t>
      </w:r>
    </w:p>
    <w:p w14:paraId="12227AD5" w14:textId="77777777" w:rsidR="006B1008" w:rsidRDefault="006B1008" w:rsidP="001615ED">
      <w:pPr>
        <w:jc w:val="both"/>
        <w:rPr>
          <w:b/>
          <w:bCs/>
          <w:sz w:val="28"/>
          <w:szCs w:val="28"/>
        </w:rPr>
      </w:pPr>
    </w:p>
    <w:p w14:paraId="7A86FBD1" w14:textId="180BA76B" w:rsidR="006504F3" w:rsidRDefault="006504F3" w:rsidP="001615ED">
      <w:pPr>
        <w:jc w:val="both"/>
        <w:rPr>
          <w:b/>
          <w:bCs/>
          <w:sz w:val="28"/>
          <w:szCs w:val="28"/>
        </w:rPr>
      </w:pPr>
      <w:r w:rsidRPr="006504F3">
        <w:rPr>
          <w:b/>
          <w:bCs/>
          <w:sz w:val="28"/>
          <w:szCs w:val="28"/>
        </w:rPr>
        <w:t>2. Executive Summary</w:t>
      </w:r>
    </w:p>
    <w:p w14:paraId="3298C4FE" w14:textId="03F6CFC2" w:rsidR="003613D9" w:rsidRPr="006D18FD" w:rsidRDefault="003613D9" w:rsidP="006D18FD">
      <w:pPr>
        <w:pBdr>
          <w:top w:val="single" w:sz="4" w:space="1" w:color="auto"/>
          <w:left w:val="single" w:sz="4" w:space="4" w:color="auto"/>
          <w:bottom w:val="single" w:sz="4" w:space="1" w:color="auto"/>
          <w:right w:val="single" w:sz="4" w:space="4" w:color="auto"/>
        </w:pBdr>
        <w:jc w:val="both"/>
        <w:rPr>
          <w:b/>
          <w:bCs/>
          <w:i/>
          <w:iCs/>
        </w:rPr>
      </w:pPr>
      <w:r w:rsidRPr="006D18FD">
        <w:rPr>
          <w:b/>
          <w:bCs/>
          <w:i/>
          <w:iCs/>
        </w:rPr>
        <w:t xml:space="preserve">EAPN calls for a high-profile EPSR Action Plan proposing soft and hard law measures, with a clear timetable at EU and national level, mapping progress towards obligatory social rights that guarantee basic living standards for all EU residents. The Action Plan should be launched at the planned Social Summit in Portugal in 2021 and should include an EU strategy to fight poverty as the overarching goal and framework for the Action Plan </w:t>
      </w:r>
      <w:r w:rsidR="006D18FD">
        <w:rPr>
          <w:b/>
          <w:bCs/>
          <w:i/>
          <w:iCs/>
        </w:rPr>
        <w:t>with</w:t>
      </w:r>
      <w:r w:rsidRPr="006D18FD">
        <w:rPr>
          <w:b/>
          <w:bCs/>
          <w:i/>
          <w:iCs/>
        </w:rPr>
        <w:t xml:space="preserve"> an ambitious poverty target</w:t>
      </w:r>
      <w:r w:rsidR="006B1008">
        <w:rPr>
          <w:b/>
          <w:bCs/>
          <w:i/>
          <w:iCs/>
        </w:rPr>
        <w:t>.</w:t>
      </w:r>
    </w:p>
    <w:p w14:paraId="4B73AB3E" w14:textId="55DDC1F1" w:rsidR="006504F3" w:rsidRPr="003613D9" w:rsidRDefault="00741E67" w:rsidP="001615ED">
      <w:pPr>
        <w:jc w:val="both"/>
        <w:rPr>
          <w:b/>
          <w:bCs/>
          <w:u w:val="single"/>
        </w:rPr>
      </w:pPr>
      <w:r w:rsidRPr="003613D9">
        <w:rPr>
          <w:b/>
          <w:bCs/>
          <w:u w:val="single"/>
        </w:rPr>
        <w:t>Pre-conditions for a successful Action Plan</w:t>
      </w:r>
      <w:r w:rsidR="00A5334A" w:rsidRPr="003613D9">
        <w:rPr>
          <w:b/>
          <w:bCs/>
          <w:u w:val="single"/>
        </w:rPr>
        <w:t>:</w:t>
      </w:r>
    </w:p>
    <w:p w14:paraId="16030BFD" w14:textId="0FAC1ED5" w:rsidR="006504F3" w:rsidRDefault="006504F3" w:rsidP="001615ED">
      <w:pPr>
        <w:jc w:val="both"/>
      </w:pPr>
      <w:r>
        <w:t xml:space="preserve">1. The EU must support </w:t>
      </w:r>
      <w:r w:rsidRPr="003724CD">
        <w:rPr>
          <w:b/>
          <w:bCs/>
        </w:rPr>
        <w:t xml:space="preserve">short-term responses to COVID-19 and ensure </w:t>
      </w:r>
      <w:r w:rsidR="00A5334A" w:rsidRPr="003724CD">
        <w:rPr>
          <w:b/>
          <w:bCs/>
        </w:rPr>
        <w:t>they</w:t>
      </w:r>
      <w:r w:rsidR="0050138F" w:rsidRPr="003724CD">
        <w:rPr>
          <w:b/>
          <w:bCs/>
        </w:rPr>
        <w:t xml:space="preserve"> prevent increases and</w:t>
      </w:r>
      <w:r w:rsidR="00A5334A" w:rsidRPr="003724CD">
        <w:rPr>
          <w:b/>
          <w:bCs/>
        </w:rPr>
        <w:t xml:space="preserve"> lead to </w:t>
      </w:r>
      <w:r w:rsidR="0050138F" w:rsidRPr="003724CD">
        <w:rPr>
          <w:b/>
          <w:bCs/>
        </w:rPr>
        <w:t xml:space="preserve">long-term </w:t>
      </w:r>
      <w:r w:rsidR="00A5334A" w:rsidRPr="003724CD">
        <w:rPr>
          <w:b/>
          <w:bCs/>
        </w:rPr>
        <w:t xml:space="preserve">reductions </w:t>
      </w:r>
      <w:r w:rsidR="00A5334A">
        <w:t>in poverty and inequality.</w:t>
      </w:r>
    </w:p>
    <w:p w14:paraId="109B330A" w14:textId="0A38E409" w:rsidR="00A5334A" w:rsidRDefault="00A5334A" w:rsidP="001615ED">
      <w:pPr>
        <w:jc w:val="both"/>
      </w:pPr>
      <w:r>
        <w:t xml:space="preserve">2. </w:t>
      </w:r>
      <w:r w:rsidRPr="003724CD">
        <w:rPr>
          <w:b/>
          <w:bCs/>
        </w:rPr>
        <w:t>The strategy must be set with</w:t>
      </w:r>
      <w:r w:rsidR="0050138F" w:rsidRPr="003724CD">
        <w:rPr>
          <w:b/>
          <w:bCs/>
        </w:rPr>
        <w:t>in</w:t>
      </w:r>
      <w:r w:rsidRPr="003724CD">
        <w:rPr>
          <w:b/>
          <w:bCs/>
        </w:rPr>
        <w:t xml:space="preserve"> a </w:t>
      </w:r>
      <w:hyperlink r:id="rId16" w:history="1">
        <w:r w:rsidRPr="003613D9">
          <w:rPr>
            <w:rStyle w:val="Hyperlink"/>
            <w:b/>
            <w:bCs/>
          </w:rPr>
          <w:t>coherent post 2020/Europe 2030 strategy</w:t>
        </w:r>
      </w:hyperlink>
      <w:r w:rsidR="003613D9">
        <w:rPr>
          <w:rStyle w:val="FootnoteReference"/>
          <w:b/>
          <w:bCs/>
        </w:rPr>
        <w:footnoteReference w:id="6"/>
      </w:r>
      <w:r>
        <w:t xml:space="preserve"> and a Social and Green Deal underpinning the exit strategies from COVID-19</w:t>
      </w:r>
      <w:r w:rsidR="0050138F">
        <w:t>.</w:t>
      </w:r>
    </w:p>
    <w:p w14:paraId="4157E5A7" w14:textId="2490D7ED" w:rsidR="00A5334A" w:rsidRDefault="00A5334A" w:rsidP="001615ED">
      <w:pPr>
        <w:jc w:val="both"/>
      </w:pPr>
      <w:r>
        <w:t xml:space="preserve">3. </w:t>
      </w:r>
      <w:r w:rsidR="0050138F" w:rsidRPr="003724CD">
        <w:rPr>
          <w:b/>
          <w:bCs/>
        </w:rPr>
        <w:t>A</w:t>
      </w:r>
      <w:r w:rsidRPr="003724CD">
        <w:rPr>
          <w:b/>
          <w:bCs/>
        </w:rPr>
        <w:t>n EU integrated strategy to fight poverty must for</w:t>
      </w:r>
      <w:r w:rsidR="0050138F" w:rsidRPr="003724CD">
        <w:rPr>
          <w:b/>
          <w:bCs/>
        </w:rPr>
        <w:t>m</w:t>
      </w:r>
      <w:r w:rsidRPr="003724CD">
        <w:rPr>
          <w:b/>
          <w:bCs/>
        </w:rPr>
        <w:t xml:space="preserve"> the </w:t>
      </w:r>
      <w:r w:rsidR="0050138F" w:rsidRPr="003724CD">
        <w:rPr>
          <w:b/>
          <w:bCs/>
        </w:rPr>
        <w:t xml:space="preserve">overarching goal and </w:t>
      </w:r>
      <w:r w:rsidRPr="003724CD">
        <w:rPr>
          <w:b/>
          <w:bCs/>
        </w:rPr>
        <w:t>framework for the Action Plan</w:t>
      </w:r>
      <w:r>
        <w:t>.</w:t>
      </w:r>
      <w:r w:rsidR="0050138F">
        <w:t xml:space="preserve"> This should be based on Active Inclusion refocus</w:t>
      </w:r>
      <w:r w:rsidR="003724CD">
        <w:t>ed</w:t>
      </w:r>
      <w:r w:rsidR="0050138F">
        <w:t xml:space="preserve"> </w:t>
      </w:r>
      <w:r w:rsidR="003724CD">
        <w:t>to guarantee</w:t>
      </w:r>
      <w:r w:rsidR="0050138F">
        <w:t xml:space="preserve"> rights to adequate income</w:t>
      </w:r>
      <w:r w:rsidR="000C46B7">
        <w:t xml:space="preserve"> (through </w:t>
      </w:r>
      <w:r w:rsidR="003724CD">
        <w:t>quality jobs and/or</w:t>
      </w:r>
      <w:r w:rsidR="000C46B7">
        <w:t xml:space="preserve"> income support)</w:t>
      </w:r>
      <w:r w:rsidR="0050138F">
        <w:t xml:space="preserve"> and quality </w:t>
      </w:r>
      <w:r w:rsidR="006D18FD">
        <w:t>essential</w:t>
      </w:r>
      <w:r w:rsidR="0050138F">
        <w:t xml:space="preserve"> services</w:t>
      </w:r>
      <w:r w:rsidR="000C46B7">
        <w:t xml:space="preserve"> for all groups.</w:t>
      </w:r>
    </w:p>
    <w:p w14:paraId="6AB11C27" w14:textId="03B56748" w:rsidR="0050138F" w:rsidRDefault="0050138F" w:rsidP="001615ED">
      <w:pPr>
        <w:jc w:val="both"/>
      </w:pPr>
      <w:r>
        <w:t xml:space="preserve">4. </w:t>
      </w:r>
      <w:r w:rsidRPr="003724CD">
        <w:rPr>
          <w:b/>
          <w:bCs/>
        </w:rPr>
        <w:t>This strategy must adopt an ambitious EU target</w:t>
      </w:r>
      <w:r>
        <w:t xml:space="preserve"> to end poverty in all its forms (SDG1), through a   50% target (AROPE)</w:t>
      </w:r>
      <w:r w:rsidRPr="0050138F">
        <w:t xml:space="preserve"> </w:t>
      </w:r>
      <w:r>
        <w:t xml:space="preserve"> and an additional indicator/target  to cover extreme poverty including a</w:t>
      </w:r>
      <w:r w:rsidRPr="00955F21">
        <w:t xml:space="preserve"> concrete measurement of homelessness</w:t>
      </w:r>
      <w:r>
        <w:t xml:space="preserve">, based on the </w:t>
      </w:r>
      <w:hyperlink r:id="rId17" w:history="1">
        <w:r w:rsidRPr="0065618D">
          <w:rPr>
            <w:rStyle w:val="Hyperlink"/>
          </w:rPr>
          <w:t>ETHOS</w:t>
        </w:r>
      </w:hyperlink>
      <w:r>
        <w:rPr>
          <w:rStyle w:val="FootnoteReference"/>
        </w:rPr>
        <w:footnoteReference w:id="7"/>
      </w:r>
      <w:r>
        <w:t xml:space="preserve"> framework</w:t>
      </w:r>
      <w:r w:rsidRPr="00955F21">
        <w:t>.</w:t>
      </w:r>
      <w:r>
        <w:t xml:space="preserve"> </w:t>
      </w:r>
    </w:p>
    <w:p w14:paraId="6147E1E3" w14:textId="395FEA84" w:rsidR="0050138F" w:rsidRDefault="0050138F" w:rsidP="001615ED">
      <w:pPr>
        <w:jc w:val="both"/>
      </w:pPr>
      <w:r>
        <w:t xml:space="preserve">5. </w:t>
      </w:r>
      <w:r w:rsidR="000C46B7" w:rsidRPr="003724CD">
        <w:rPr>
          <w:b/>
          <w:bCs/>
        </w:rPr>
        <w:t>The EU</w:t>
      </w:r>
      <w:r w:rsidR="001355F9" w:rsidRPr="003724CD">
        <w:rPr>
          <w:b/>
          <w:bCs/>
        </w:rPr>
        <w:t xml:space="preserve"> needs obligatory</w:t>
      </w:r>
      <w:r w:rsidR="000C46B7" w:rsidRPr="003724CD">
        <w:rPr>
          <w:b/>
          <w:bCs/>
        </w:rPr>
        <w:t xml:space="preserve"> Social Rights!</w:t>
      </w:r>
      <w:r w:rsidR="000C46B7">
        <w:t xml:space="preserve"> A starting point must be guaranteeing an </w:t>
      </w:r>
      <w:hyperlink r:id="rId18" w:history="1">
        <w:r w:rsidR="000C46B7" w:rsidRPr="006B1008">
          <w:rPr>
            <w:rStyle w:val="Hyperlink"/>
            <w:b/>
            <w:bCs/>
          </w:rPr>
          <w:t>adequate income</w:t>
        </w:r>
      </w:hyperlink>
      <w:r w:rsidR="006B1008">
        <w:rPr>
          <w:rStyle w:val="FootnoteReference"/>
          <w:b/>
          <w:bCs/>
        </w:rPr>
        <w:footnoteReference w:id="8"/>
      </w:r>
      <w:r w:rsidR="001355F9">
        <w:t xml:space="preserve"> for all </w:t>
      </w:r>
      <w:r w:rsidR="003724CD">
        <w:t xml:space="preserve">in the </w:t>
      </w:r>
      <w:r w:rsidR="001355F9">
        <w:t>EU</w:t>
      </w:r>
      <w:r w:rsidR="000C46B7">
        <w:t xml:space="preserve">. </w:t>
      </w:r>
      <w:r w:rsidR="006D18FD">
        <w:t>A</w:t>
      </w:r>
      <w:r w:rsidR="000C46B7">
        <w:t xml:space="preserve">n EU framework Directive to guarantee adequate minimum income (adequate, </w:t>
      </w:r>
      <w:proofErr w:type="gramStart"/>
      <w:r w:rsidR="000C46B7">
        <w:t>accessible</w:t>
      </w:r>
      <w:proofErr w:type="gramEnd"/>
      <w:r w:rsidR="000C46B7">
        <w:t xml:space="preserve"> and enabling) </w:t>
      </w:r>
      <w:r w:rsidR="001355F9">
        <w:t>and an EU framework for minimum/living wages</w:t>
      </w:r>
      <w:r w:rsidR="006D18FD">
        <w:t xml:space="preserve"> is a priority, particularly Post COVID_19.</w:t>
      </w:r>
    </w:p>
    <w:p w14:paraId="5A2DB58C" w14:textId="1010F860" w:rsidR="001355F9" w:rsidRPr="003724CD" w:rsidRDefault="001355F9" w:rsidP="001615ED">
      <w:pPr>
        <w:jc w:val="both"/>
      </w:pPr>
      <w:r>
        <w:rPr>
          <w:b/>
          <w:bCs/>
          <w:sz w:val="24"/>
          <w:szCs w:val="24"/>
        </w:rPr>
        <w:lastRenderedPageBreak/>
        <w:t xml:space="preserve">6. </w:t>
      </w:r>
      <w:r w:rsidRPr="008D74A5">
        <w:rPr>
          <w:b/>
          <w:bCs/>
        </w:rPr>
        <w:t xml:space="preserve">EU soft instruments </w:t>
      </w:r>
      <w:r w:rsidR="003724CD" w:rsidRPr="008D74A5">
        <w:rPr>
          <w:b/>
          <w:bCs/>
        </w:rPr>
        <w:t>must be</w:t>
      </w:r>
      <w:r w:rsidR="008D74A5">
        <w:rPr>
          <w:b/>
          <w:bCs/>
        </w:rPr>
        <w:t xml:space="preserve"> ‘Social-Rights-and-poverty-proofed’:</w:t>
      </w:r>
      <w:r w:rsidRPr="008D74A5">
        <w:rPr>
          <w:b/>
          <w:bCs/>
        </w:rPr>
        <w:t xml:space="preserve"> ‘socialising the European Semester’</w:t>
      </w:r>
      <w:r w:rsidRPr="003724CD">
        <w:t xml:space="preserve"> </w:t>
      </w:r>
      <w:r w:rsidRPr="008D74A5">
        <w:rPr>
          <w:b/>
          <w:bCs/>
        </w:rPr>
        <w:t>and effectively mobilising EU funds to support social rights</w:t>
      </w:r>
      <w:r w:rsidR="008D74A5">
        <w:rPr>
          <w:b/>
          <w:bCs/>
        </w:rPr>
        <w:t xml:space="preserve"> that reduce poverty</w:t>
      </w:r>
      <w:r w:rsidRPr="003724CD">
        <w:t xml:space="preserve"> linked to the Semester.</w:t>
      </w:r>
    </w:p>
    <w:p w14:paraId="0491AFA6" w14:textId="0042126C" w:rsidR="001355F9" w:rsidRPr="003724CD" w:rsidRDefault="001355F9" w:rsidP="001355F9">
      <w:r w:rsidRPr="003724CD">
        <w:rPr>
          <w:b/>
          <w:bCs/>
        </w:rPr>
        <w:t xml:space="preserve">7. </w:t>
      </w:r>
      <w:r w:rsidRPr="008D74A5">
        <w:rPr>
          <w:b/>
          <w:bCs/>
        </w:rPr>
        <w:t>People must be put at the heart</w:t>
      </w:r>
      <w:r w:rsidRPr="003724CD">
        <w:t xml:space="preserve"> – empowering people to contribute to solutions, holding governments to account</w:t>
      </w:r>
      <w:r w:rsidR="008D74A5">
        <w:t xml:space="preserve"> – with obligatory guidelines in the European Semester, in other EU and national decision-making processes</w:t>
      </w:r>
    </w:p>
    <w:p w14:paraId="25E1C26F" w14:textId="00266D14" w:rsidR="00534E49" w:rsidRPr="00C916FB" w:rsidRDefault="008D74A5" w:rsidP="00EB4A38">
      <w:pPr>
        <w:jc w:val="both"/>
      </w:pPr>
      <w:r w:rsidRPr="006953F3">
        <w:rPr>
          <w:b/>
          <w:bCs/>
        </w:rPr>
        <w:t>EAPN highlights</w:t>
      </w:r>
      <w:r w:rsidRPr="00534E49">
        <w:t xml:space="preserve"> </w:t>
      </w:r>
      <w:r w:rsidRPr="00534E49">
        <w:rPr>
          <w:b/>
          <w:bCs/>
        </w:rPr>
        <w:t>5 Key EPSR principals as priorities</w:t>
      </w:r>
      <w:r w:rsidRPr="00534E49">
        <w:t>,</w:t>
      </w:r>
      <w:r w:rsidR="00534E49">
        <w:t xml:space="preserve"> grouped with </w:t>
      </w:r>
      <w:r w:rsidR="00741E67">
        <w:t>other relevant</w:t>
      </w:r>
      <w:r w:rsidRPr="00534E49">
        <w:t xml:space="preserve"> principles</w:t>
      </w:r>
      <w:r w:rsidR="00276C53">
        <w:t xml:space="preserve"> and </w:t>
      </w:r>
      <w:r w:rsidR="00534E49">
        <w:t xml:space="preserve">underpinned by </w:t>
      </w:r>
      <w:r w:rsidRPr="00534E49">
        <w:t>the SDGs</w:t>
      </w:r>
      <w:r w:rsidR="00276C53">
        <w:t>, to be</w:t>
      </w:r>
      <w:r w:rsidR="00EB4A38">
        <w:t xml:space="preserve"> implemented through</w:t>
      </w:r>
      <w:r w:rsidR="006A4C8C" w:rsidRPr="00534E49">
        <w:t xml:space="preserve"> </w:t>
      </w:r>
      <w:r w:rsidR="00276C53">
        <w:t xml:space="preserve">EU </w:t>
      </w:r>
      <w:r w:rsidR="006A4C8C" w:rsidRPr="00534E49">
        <w:t>hard law and soft instruments</w:t>
      </w:r>
      <w:r w:rsidR="00EB4A38">
        <w:t xml:space="preserve">. </w:t>
      </w:r>
      <w:r w:rsidR="00534E49" w:rsidRPr="00C916FB">
        <w:t>EAPN’s overriding priority, particularly in the light of the impact of COVID-1</w:t>
      </w:r>
      <w:r w:rsidR="00B525B8" w:rsidRPr="00C916FB">
        <w:t>9 impact is t</w:t>
      </w:r>
      <w:r w:rsidR="00534E49" w:rsidRPr="00C916FB">
        <w:t xml:space="preserve">he right to an </w:t>
      </w:r>
      <w:r w:rsidR="00534E49" w:rsidRPr="00C916FB">
        <w:rPr>
          <w:b/>
          <w:bCs/>
        </w:rPr>
        <w:t>adequate income (minimum income/social protection and minimum/living wage) and access to universal public and essential services</w:t>
      </w:r>
      <w:r w:rsidR="00534E49" w:rsidRPr="00C916FB">
        <w:t xml:space="preserve"> – </w:t>
      </w:r>
      <w:r w:rsidR="006B1008">
        <w:t>including</w:t>
      </w:r>
      <w:r w:rsidR="00534E49" w:rsidRPr="00C916FB">
        <w:t xml:space="preserve"> housing, health, care, child care</w:t>
      </w:r>
      <w:r w:rsidR="006B1008">
        <w:t>/early learning</w:t>
      </w:r>
      <w:r w:rsidR="00534E49" w:rsidRPr="00C916FB">
        <w:t>, energy</w:t>
      </w:r>
      <w:r w:rsidR="00B525B8" w:rsidRPr="00C916FB">
        <w:t xml:space="preserve"> as the basis for an effective antipoverty strategy</w:t>
      </w:r>
      <w:r w:rsidR="00B551E4">
        <w:t>.</w:t>
      </w:r>
    </w:p>
    <w:p w14:paraId="5303E4AA" w14:textId="208BB210" w:rsidR="00DE0C27" w:rsidRDefault="00DE0C27" w:rsidP="00DE0C27">
      <w:pPr>
        <w:pBdr>
          <w:top w:val="single" w:sz="4" w:space="1" w:color="auto"/>
          <w:left w:val="single" w:sz="4" w:space="4" w:color="auto"/>
          <w:bottom w:val="single" w:sz="4" w:space="1" w:color="auto"/>
          <w:right w:val="single" w:sz="4" w:space="4" w:color="auto"/>
        </w:pBdr>
        <w:jc w:val="center"/>
        <w:rPr>
          <w:b/>
          <w:bCs/>
          <w:i/>
          <w:iCs/>
          <w:u w:val="single"/>
        </w:rPr>
      </w:pPr>
      <w:r>
        <w:rPr>
          <w:b/>
          <w:bCs/>
          <w:i/>
          <w:iCs/>
          <w:u w:val="single"/>
        </w:rPr>
        <w:t>Summary of proposals to implement EAPN 5 Key Principals</w:t>
      </w:r>
    </w:p>
    <w:p w14:paraId="60ECD81E" w14:textId="444981C3" w:rsidR="00534E49" w:rsidRPr="00B525B8" w:rsidRDefault="00534E49" w:rsidP="00DE0C27">
      <w:pPr>
        <w:pBdr>
          <w:top w:val="single" w:sz="4" w:space="1" w:color="auto"/>
          <w:left w:val="single" w:sz="4" w:space="4" w:color="auto"/>
          <w:bottom w:val="single" w:sz="4" w:space="1" w:color="auto"/>
          <w:right w:val="single" w:sz="4" w:space="4" w:color="auto"/>
        </w:pBdr>
        <w:rPr>
          <w:b/>
          <w:bCs/>
          <w:i/>
          <w:iCs/>
          <w:u w:val="single"/>
        </w:rPr>
      </w:pPr>
      <w:r w:rsidRPr="00B525B8">
        <w:rPr>
          <w:b/>
          <w:bCs/>
          <w:i/>
          <w:iCs/>
          <w:u w:val="single"/>
        </w:rPr>
        <w:t>Principle 14: Minimum Income. SDG 1.</w:t>
      </w:r>
    </w:p>
    <w:p w14:paraId="5981C852" w14:textId="79A78B1E" w:rsidR="00534E49" w:rsidRDefault="00534E49" w:rsidP="00DE0C27">
      <w:pPr>
        <w:pBdr>
          <w:top w:val="single" w:sz="4" w:space="1" w:color="auto"/>
          <w:left w:val="single" w:sz="4" w:space="4" w:color="auto"/>
          <w:bottom w:val="single" w:sz="4" w:space="1" w:color="auto"/>
          <w:right w:val="single" w:sz="4" w:space="4" w:color="auto"/>
        </w:pBdr>
        <w:rPr>
          <w:i/>
          <w:iCs/>
        </w:rPr>
      </w:pPr>
      <w:r w:rsidRPr="006953F3">
        <w:rPr>
          <w:b/>
          <w:bCs/>
          <w:i/>
          <w:iCs/>
        </w:rPr>
        <w:t>Key</w:t>
      </w:r>
      <w:r w:rsidR="00B525B8" w:rsidRPr="006953F3">
        <w:rPr>
          <w:b/>
          <w:bCs/>
          <w:i/>
          <w:iCs/>
        </w:rPr>
        <w:t xml:space="preserve"> hard law</w:t>
      </w:r>
      <w:r>
        <w:rPr>
          <w:i/>
          <w:iCs/>
        </w:rPr>
        <w:t xml:space="preserve"> priority is an EU Framework Directive</w:t>
      </w:r>
      <w:r w:rsidR="00B525B8">
        <w:rPr>
          <w:i/>
          <w:iCs/>
        </w:rPr>
        <w:t xml:space="preserve"> (legal base: TFEU (art 153,1,h) </w:t>
      </w:r>
      <w:r>
        <w:rPr>
          <w:i/>
          <w:iCs/>
        </w:rPr>
        <w:t xml:space="preserve"> to guarantee an adequate, accessible and enabling Minimum Income,</w:t>
      </w:r>
      <w:r w:rsidR="00B525B8">
        <w:rPr>
          <w:i/>
          <w:iCs/>
        </w:rPr>
        <w:t xml:space="preserve"> based on</w:t>
      </w:r>
      <w:r>
        <w:rPr>
          <w:i/>
          <w:iCs/>
        </w:rPr>
        <w:t xml:space="preserve"> common definitions</w:t>
      </w:r>
      <w:r w:rsidR="00B525B8">
        <w:rPr>
          <w:i/>
          <w:iCs/>
        </w:rPr>
        <w:t xml:space="preserve"> including </w:t>
      </w:r>
      <w:r>
        <w:rPr>
          <w:i/>
          <w:iCs/>
        </w:rPr>
        <w:t>adequacy</w:t>
      </w:r>
      <w:r w:rsidR="00B525B8">
        <w:rPr>
          <w:i/>
          <w:iCs/>
        </w:rPr>
        <w:t xml:space="preserve"> </w:t>
      </w:r>
      <w:r>
        <w:rPr>
          <w:i/>
          <w:iCs/>
        </w:rPr>
        <w:t>linked to</w:t>
      </w:r>
      <w:r w:rsidR="00B525B8">
        <w:rPr>
          <w:i/>
          <w:iCs/>
        </w:rPr>
        <w:t xml:space="preserve"> the</w:t>
      </w:r>
      <w:r>
        <w:rPr>
          <w:i/>
          <w:iCs/>
        </w:rPr>
        <w:t xml:space="preserve"> 60% AROP poverty threshold and underpinned by national reference budgets.</w:t>
      </w:r>
    </w:p>
    <w:p w14:paraId="1178312B" w14:textId="6CE8F687" w:rsidR="00534E49" w:rsidRDefault="00534E49" w:rsidP="00DE0C27">
      <w:pPr>
        <w:pBdr>
          <w:top w:val="single" w:sz="4" w:space="1" w:color="auto"/>
          <w:left w:val="single" w:sz="4" w:space="4" w:color="auto"/>
          <w:bottom w:val="single" w:sz="4" w:space="1" w:color="auto"/>
          <w:right w:val="single" w:sz="4" w:space="4" w:color="auto"/>
        </w:pBdr>
        <w:rPr>
          <w:i/>
          <w:iCs/>
        </w:rPr>
      </w:pPr>
      <w:r w:rsidRPr="006953F3">
        <w:rPr>
          <w:b/>
          <w:bCs/>
          <w:i/>
          <w:iCs/>
        </w:rPr>
        <w:t>Soft Instruments</w:t>
      </w:r>
      <w:r w:rsidR="00B525B8">
        <w:rPr>
          <w:i/>
          <w:iCs/>
        </w:rPr>
        <w:t xml:space="preserve">: </w:t>
      </w:r>
      <w:r w:rsidR="00C916FB">
        <w:rPr>
          <w:i/>
          <w:iCs/>
        </w:rPr>
        <w:t>MI must be a key</w:t>
      </w:r>
      <w:r w:rsidR="00B525B8">
        <w:rPr>
          <w:i/>
          <w:iCs/>
        </w:rPr>
        <w:t xml:space="preserve"> element of</w:t>
      </w:r>
      <w:r w:rsidR="00C916FB">
        <w:rPr>
          <w:i/>
          <w:iCs/>
        </w:rPr>
        <w:t xml:space="preserve"> an</w:t>
      </w:r>
      <w:r w:rsidR="00B525B8">
        <w:rPr>
          <w:i/>
          <w:iCs/>
        </w:rPr>
        <w:t xml:space="preserve"> integrated </w:t>
      </w:r>
      <w:r w:rsidR="00C916FB">
        <w:rPr>
          <w:i/>
          <w:iCs/>
        </w:rPr>
        <w:t xml:space="preserve">antipoverty </w:t>
      </w:r>
      <w:r w:rsidR="00B525B8">
        <w:rPr>
          <w:i/>
          <w:iCs/>
        </w:rPr>
        <w:t>strategy, based on Active Inclusio</w:t>
      </w:r>
      <w:r w:rsidR="00C916FB">
        <w:rPr>
          <w:i/>
          <w:iCs/>
        </w:rPr>
        <w:t>n and supported through the European Semester with</w:t>
      </w:r>
      <w:r w:rsidR="00B525B8">
        <w:rPr>
          <w:i/>
          <w:iCs/>
        </w:rPr>
        <w:t xml:space="preserve"> increased CSRs</w:t>
      </w:r>
      <w:r w:rsidR="006953F3">
        <w:rPr>
          <w:i/>
          <w:iCs/>
        </w:rPr>
        <w:t xml:space="preserve"> as a trigger for policy actions and sanctions where </w:t>
      </w:r>
      <w:r w:rsidR="006D18FD">
        <w:rPr>
          <w:i/>
          <w:iCs/>
        </w:rPr>
        <w:t xml:space="preserve">there are </w:t>
      </w:r>
      <w:r w:rsidR="006953F3">
        <w:rPr>
          <w:i/>
          <w:iCs/>
        </w:rPr>
        <w:t>inadequate levels or progress</w:t>
      </w:r>
      <w:r w:rsidR="00B525B8">
        <w:rPr>
          <w:i/>
          <w:iCs/>
        </w:rPr>
        <w:t xml:space="preserve"> on adequacy, coverage and</w:t>
      </w:r>
      <w:r w:rsidR="00C916FB">
        <w:rPr>
          <w:i/>
          <w:iCs/>
        </w:rPr>
        <w:t xml:space="preserve"> </w:t>
      </w:r>
      <w:r w:rsidR="00B525B8">
        <w:rPr>
          <w:i/>
          <w:iCs/>
        </w:rPr>
        <w:t xml:space="preserve">enabling </w:t>
      </w:r>
      <w:r w:rsidR="006953F3">
        <w:rPr>
          <w:i/>
          <w:iCs/>
        </w:rPr>
        <w:t>support.</w:t>
      </w:r>
      <w:r w:rsidR="006D18FD">
        <w:rPr>
          <w:i/>
          <w:iCs/>
        </w:rPr>
        <w:t xml:space="preserve"> Further work</w:t>
      </w:r>
      <w:r w:rsidR="00CD0D0A">
        <w:rPr>
          <w:i/>
          <w:iCs/>
        </w:rPr>
        <w:t xml:space="preserve"> is</w:t>
      </w:r>
      <w:r w:rsidR="006D18FD">
        <w:rPr>
          <w:i/>
          <w:iCs/>
        </w:rPr>
        <w:t xml:space="preserve"> needed on</w:t>
      </w:r>
      <w:r w:rsidR="00250FFA">
        <w:rPr>
          <w:i/>
          <w:iCs/>
        </w:rPr>
        <w:t xml:space="preserve"> -</w:t>
      </w:r>
      <w:r w:rsidR="006D18FD">
        <w:rPr>
          <w:i/>
          <w:iCs/>
        </w:rPr>
        <w:t xml:space="preserve"> agreeing</w:t>
      </w:r>
      <w:r w:rsidR="006953F3">
        <w:rPr>
          <w:i/>
          <w:iCs/>
        </w:rPr>
        <w:t xml:space="preserve"> common definitions of all elements, new research on transitions, </w:t>
      </w:r>
      <w:proofErr w:type="gramStart"/>
      <w:r w:rsidR="006953F3">
        <w:rPr>
          <w:i/>
          <w:iCs/>
        </w:rPr>
        <w:t>take</w:t>
      </w:r>
      <w:r w:rsidR="002629D8">
        <w:rPr>
          <w:i/>
          <w:iCs/>
        </w:rPr>
        <w:t>-</w:t>
      </w:r>
      <w:r w:rsidR="006953F3">
        <w:rPr>
          <w:i/>
          <w:iCs/>
        </w:rPr>
        <w:t>up</w:t>
      </w:r>
      <w:proofErr w:type="gramEnd"/>
      <w:r w:rsidR="006D18FD">
        <w:rPr>
          <w:i/>
          <w:iCs/>
        </w:rPr>
        <w:t xml:space="preserve"> and</w:t>
      </w:r>
      <w:r w:rsidR="006953F3">
        <w:rPr>
          <w:i/>
          <w:iCs/>
        </w:rPr>
        <w:t xml:space="preserve"> negative impacts of conditionality. </w:t>
      </w:r>
      <w:r w:rsidR="00C916FB">
        <w:rPr>
          <w:i/>
          <w:iCs/>
        </w:rPr>
        <w:t xml:space="preserve">A requirement to increase financing of MI schemes through increased and more progressive tax collection, with </w:t>
      </w:r>
      <w:r w:rsidR="006953F3">
        <w:rPr>
          <w:i/>
          <w:iCs/>
        </w:rPr>
        <w:t>targeted support from EU funds backing effective national systems</w:t>
      </w:r>
      <w:r w:rsidR="00C25F91">
        <w:rPr>
          <w:i/>
          <w:iCs/>
        </w:rPr>
        <w:t xml:space="preserve"> is key.</w:t>
      </w:r>
    </w:p>
    <w:p w14:paraId="3D812373" w14:textId="00CA1087" w:rsidR="00C916FB" w:rsidRPr="00EB4A38" w:rsidRDefault="00B551E4" w:rsidP="00DE0C27">
      <w:pPr>
        <w:pBdr>
          <w:top w:val="single" w:sz="4" w:space="1" w:color="auto"/>
          <w:left w:val="single" w:sz="4" w:space="4" w:color="auto"/>
          <w:bottom w:val="single" w:sz="4" w:space="1" w:color="auto"/>
          <w:right w:val="single" w:sz="4" w:space="4" w:color="auto"/>
        </w:pBdr>
        <w:rPr>
          <w:b/>
          <w:bCs/>
          <w:i/>
          <w:iCs/>
          <w:u w:val="single"/>
        </w:rPr>
      </w:pPr>
      <w:bookmarkStart w:id="0" w:name="_Hlk42252709"/>
      <w:r w:rsidRPr="00EB4A38">
        <w:rPr>
          <w:b/>
          <w:bCs/>
          <w:i/>
          <w:iCs/>
          <w:u w:val="single"/>
        </w:rPr>
        <w:t>Principle 12: Social Protection. SDG 1 and 10</w:t>
      </w:r>
    </w:p>
    <w:p w14:paraId="56D124B1" w14:textId="4D8AEFEA" w:rsidR="002629D8" w:rsidRPr="002629D8" w:rsidRDefault="003C503C" w:rsidP="00DE0C27">
      <w:pPr>
        <w:pStyle w:val="NormalWeb"/>
        <w:pBdr>
          <w:top w:val="single" w:sz="4" w:space="1" w:color="auto"/>
          <w:left w:val="single" w:sz="4" w:space="4" w:color="auto"/>
          <w:bottom w:val="single" w:sz="4" w:space="1" w:color="auto"/>
          <w:right w:val="single" w:sz="4" w:space="4" w:color="auto"/>
        </w:pBdr>
        <w:spacing w:before="0" w:after="0"/>
        <w:jc w:val="both"/>
        <w:rPr>
          <w:rFonts w:asciiTheme="minorHAnsi" w:hAnsiTheme="minorHAnsi" w:cstheme="minorHAnsi"/>
          <w:i/>
          <w:iCs/>
          <w:sz w:val="22"/>
          <w:szCs w:val="22"/>
        </w:rPr>
      </w:pPr>
      <w:bookmarkStart w:id="1" w:name="_Hlk42253190"/>
      <w:r w:rsidRPr="00EB4A38">
        <w:rPr>
          <w:rFonts w:asciiTheme="minorHAnsi" w:hAnsiTheme="minorHAnsi" w:cstheme="minorHAnsi"/>
          <w:b/>
          <w:bCs/>
          <w:i/>
          <w:iCs/>
          <w:sz w:val="22"/>
          <w:szCs w:val="22"/>
        </w:rPr>
        <w:t xml:space="preserve">Hard </w:t>
      </w:r>
      <w:r w:rsidR="002629D8" w:rsidRPr="00EB4A38">
        <w:rPr>
          <w:rFonts w:asciiTheme="minorHAnsi" w:hAnsiTheme="minorHAnsi" w:cstheme="minorHAnsi"/>
          <w:b/>
          <w:bCs/>
          <w:i/>
          <w:iCs/>
          <w:sz w:val="22"/>
          <w:szCs w:val="22"/>
        </w:rPr>
        <w:t>Law</w:t>
      </w:r>
      <w:r w:rsidR="002629D8" w:rsidRPr="00EB4A38">
        <w:rPr>
          <w:rFonts w:asciiTheme="minorHAnsi" w:hAnsiTheme="minorHAnsi" w:cstheme="minorHAnsi"/>
          <w:i/>
          <w:iCs/>
          <w:sz w:val="22"/>
          <w:szCs w:val="22"/>
        </w:rPr>
        <w:t>:</w:t>
      </w:r>
      <w:r w:rsidR="002629D8" w:rsidRPr="002629D8">
        <w:rPr>
          <w:rFonts w:asciiTheme="minorHAnsi" w:hAnsiTheme="minorHAnsi" w:cstheme="minorHAnsi"/>
          <w:i/>
          <w:iCs/>
          <w:sz w:val="22"/>
          <w:szCs w:val="22"/>
        </w:rPr>
        <w:t xml:space="preserve"> EAPN strongly backs the need for a Framework Directive to guarantee access to social protection. We support the ETUC</w:t>
      </w:r>
      <w:r w:rsidR="002629D8" w:rsidRPr="002629D8">
        <w:rPr>
          <w:rStyle w:val="FootnoteReference"/>
          <w:rFonts w:asciiTheme="minorHAnsi" w:hAnsiTheme="minorHAnsi" w:cstheme="minorHAnsi"/>
          <w:i/>
          <w:iCs/>
          <w:sz w:val="22"/>
          <w:szCs w:val="22"/>
        </w:rPr>
        <w:footnoteReference w:id="9"/>
      </w:r>
      <w:r w:rsidR="002629D8" w:rsidRPr="002629D8">
        <w:rPr>
          <w:rFonts w:asciiTheme="minorHAnsi" w:hAnsiTheme="minorHAnsi" w:cstheme="minorHAnsi"/>
          <w:i/>
          <w:iCs/>
          <w:sz w:val="22"/>
          <w:szCs w:val="22"/>
        </w:rPr>
        <w:t xml:space="preserve"> view that an impact assessment should be carried out in 4 years’ time, involving the social partners, as well as  civil society organizations particularly those working with low-paid and vulnerable workers to ascertain whether a further legal instrument is needed. The social and economic impact of COVID-19 only underlines the urgent need to guarantee social protection to all regardless of employment status.</w:t>
      </w:r>
    </w:p>
    <w:bookmarkEnd w:id="1"/>
    <w:p w14:paraId="022ADC2E" w14:textId="676671F9" w:rsidR="002629D8" w:rsidRPr="002629D8" w:rsidRDefault="002629D8" w:rsidP="00DE0C27">
      <w:pPr>
        <w:pStyle w:val="NormalWeb"/>
        <w:pBdr>
          <w:top w:val="single" w:sz="4" w:space="1" w:color="auto"/>
          <w:left w:val="single" w:sz="4" w:space="4" w:color="auto"/>
          <w:bottom w:val="single" w:sz="4" w:space="1" w:color="auto"/>
          <w:right w:val="single" w:sz="4" w:space="4" w:color="auto"/>
        </w:pBdr>
        <w:spacing w:before="0" w:after="0"/>
        <w:jc w:val="both"/>
        <w:rPr>
          <w:rFonts w:asciiTheme="minorHAnsi" w:hAnsiTheme="minorHAnsi" w:cstheme="minorHAnsi"/>
          <w:i/>
          <w:iCs/>
          <w:sz w:val="22"/>
          <w:szCs w:val="22"/>
        </w:rPr>
      </w:pPr>
      <w:r w:rsidRPr="00EB4A38">
        <w:rPr>
          <w:rFonts w:asciiTheme="minorHAnsi" w:hAnsiTheme="minorHAnsi" w:cstheme="minorHAnsi"/>
          <w:b/>
          <w:bCs/>
          <w:i/>
          <w:iCs/>
          <w:sz w:val="22"/>
          <w:szCs w:val="22"/>
        </w:rPr>
        <w:t>Soft Instruments</w:t>
      </w:r>
      <w:r w:rsidRPr="002629D8">
        <w:rPr>
          <w:rFonts w:asciiTheme="minorHAnsi" w:hAnsiTheme="minorHAnsi" w:cstheme="minorHAnsi"/>
          <w:i/>
          <w:iCs/>
          <w:sz w:val="22"/>
          <w:szCs w:val="22"/>
        </w:rPr>
        <w:t xml:space="preserve">: The Council Recommendation on Access to Social Protection needs to be implemented prioritizing the extension of mandatory and effective coverage, adequate of benefits for all workers, regardless of employment status. This must be monitored rigorously through the European Semester, including coherence </w:t>
      </w:r>
      <w:r w:rsidR="00250FFA">
        <w:rPr>
          <w:rFonts w:asciiTheme="minorHAnsi" w:hAnsiTheme="minorHAnsi" w:cstheme="minorHAnsi"/>
          <w:i/>
          <w:iCs/>
          <w:sz w:val="22"/>
          <w:szCs w:val="22"/>
        </w:rPr>
        <w:t>with</w:t>
      </w:r>
      <w:r w:rsidRPr="002629D8">
        <w:rPr>
          <w:rFonts w:asciiTheme="minorHAnsi" w:hAnsiTheme="minorHAnsi" w:cstheme="minorHAnsi"/>
          <w:i/>
          <w:iCs/>
          <w:sz w:val="22"/>
          <w:szCs w:val="22"/>
        </w:rPr>
        <w:t xml:space="preserve"> macroeconomic CSRs, increased support for adequacy of financing of social protection</w:t>
      </w:r>
      <w:r w:rsidR="00250FFA">
        <w:rPr>
          <w:rFonts w:asciiTheme="minorHAnsi" w:hAnsiTheme="minorHAnsi" w:cstheme="minorHAnsi"/>
          <w:i/>
          <w:iCs/>
          <w:sz w:val="22"/>
          <w:szCs w:val="22"/>
        </w:rPr>
        <w:t xml:space="preserve"> -</w:t>
      </w:r>
      <w:r w:rsidRPr="002629D8">
        <w:rPr>
          <w:rFonts w:asciiTheme="minorHAnsi" w:hAnsiTheme="minorHAnsi" w:cstheme="minorHAnsi"/>
          <w:i/>
          <w:iCs/>
          <w:sz w:val="22"/>
          <w:szCs w:val="22"/>
        </w:rPr>
        <w:t xml:space="preserve"> at least at 35% of GDP, financed through better and more progressive tax collection. </w:t>
      </w:r>
    </w:p>
    <w:p w14:paraId="392F119B" w14:textId="7B88AB21" w:rsidR="00B551E4" w:rsidRPr="00EB4A38" w:rsidRDefault="00B551E4" w:rsidP="00DE0C27">
      <w:pPr>
        <w:pBdr>
          <w:top w:val="single" w:sz="4" w:space="1" w:color="auto"/>
          <w:left w:val="single" w:sz="4" w:space="4" w:color="auto"/>
          <w:bottom w:val="single" w:sz="4" w:space="1" w:color="auto"/>
          <w:right w:val="single" w:sz="4" w:space="4" w:color="auto"/>
        </w:pBdr>
        <w:rPr>
          <w:b/>
          <w:bCs/>
          <w:i/>
          <w:iCs/>
          <w:u w:val="single"/>
        </w:rPr>
      </w:pPr>
      <w:r w:rsidRPr="00EB4A38">
        <w:rPr>
          <w:b/>
          <w:bCs/>
          <w:i/>
          <w:iCs/>
          <w:u w:val="single"/>
        </w:rPr>
        <w:t>Principle 6: Fair Wages, connected to Principles 3, 4, 5 and 8</w:t>
      </w:r>
      <w:r w:rsidR="003C503C" w:rsidRPr="00EB4A38">
        <w:rPr>
          <w:b/>
          <w:bCs/>
          <w:i/>
          <w:iCs/>
          <w:u w:val="single"/>
        </w:rPr>
        <w:t xml:space="preserve"> - </w:t>
      </w:r>
      <w:r w:rsidRPr="00EB4A38">
        <w:rPr>
          <w:b/>
          <w:bCs/>
          <w:i/>
          <w:iCs/>
          <w:u w:val="single"/>
        </w:rPr>
        <w:t>SDG 8.</w:t>
      </w:r>
    </w:p>
    <w:p w14:paraId="2CAD26AD" w14:textId="08917F55" w:rsidR="00EC12A6" w:rsidRDefault="00C25F91" w:rsidP="00DE0C27">
      <w:pPr>
        <w:pBdr>
          <w:top w:val="single" w:sz="4" w:space="1" w:color="auto"/>
          <w:left w:val="single" w:sz="4" w:space="4" w:color="auto"/>
          <w:bottom w:val="single" w:sz="4" w:space="1" w:color="auto"/>
          <w:right w:val="single" w:sz="4" w:space="4" w:color="auto"/>
        </w:pBdr>
        <w:rPr>
          <w:i/>
          <w:iCs/>
        </w:rPr>
      </w:pPr>
      <w:r>
        <w:rPr>
          <w:b/>
          <w:bCs/>
          <w:i/>
          <w:iCs/>
        </w:rPr>
        <w:lastRenderedPageBreak/>
        <w:t xml:space="preserve">Hard law: </w:t>
      </w:r>
      <w:r>
        <w:rPr>
          <w:i/>
          <w:iCs/>
        </w:rPr>
        <w:t xml:space="preserve">Propose </w:t>
      </w:r>
      <w:r w:rsidRPr="00C25F91">
        <w:rPr>
          <w:i/>
          <w:iCs/>
        </w:rPr>
        <w:t>an EU obligatory framework establishing minimum</w:t>
      </w:r>
      <w:r>
        <w:rPr>
          <w:i/>
          <w:iCs/>
        </w:rPr>
        <w:t xml:space="preserve"> living</w:t>
      </w:r>
      <w:r w:rsidRPr="00C25F91">
        <w:rPr>
          <w:i/>
          <w:iCs/>
        </w:rPr>
        <w:t xml:space="preserve"> wages, which allow</w:t>
      </w:r>
      <w:r w:rsidR="00B551E4">
        <w:rPr>
          <w:i/>
          <w:iCs/>
        </w:rPr>
        <w:t>s</w:t>
      </w:r>
      <w:r w:rsidRPr="00C25F91">
        <w:rPr>
          <w:i/>
          <w:iCs/>
        </w:rPr>
        <w:t xml:space="preserve"> for a decent st</w:t>
      </w:r>
      <w:r w:rsidR="00B551E4">
        <w:rPr>
          <w:i/>
          <w:iCs/>
        </w:rPr>
        <w:t>a</w:t>
      </w:r>
      <w:r w:rsidRPr="00C25F91">
        <w:rPr>
          <w:i/>
          <w:iCs/>
        </w:rPr>
        <w:t xml:space="preserve">ndard of living for workers and their families, </w:t>
      </w:r>
      <w:r w:rsidR="00B551E4">
        <w:rPr>
          <w:i/>
          <w:iCs/>
        </w:rPr>
        <w:t>benchmarked at</w:t>
      </w:r>
      <w:r w:rsidRPr="00C25F91">
        <w:rPr>
          <w:i/>
          <w:iCs/>
        </w:rPr>
        <w:t xml:space="preserve"> 60% of median wage</w:t>
      </w:r>
      <w:r>
        <w:rPr>
          <w:i/>
          <w:iCs/>
        </w:rPr>
        <w:t xml:space="preserve"> contextualized with reference budgets. Require</w:t>
      </w:r>
      <w:r w:rsidRPr="00C25F91">
        <w:rPr>
          <w:i/>
          <w:iCs/>
        </w:rPr>
        <w:t xml:space="preserve"> </w:t>
      </w:r>
      <w:r w:rsidR="006D18FD">
        <w:rPr>
          <w:i/>
          <w:iCs/>
        </w:rPr>
        <w:t>s</w:t>
      </w:r>
      <w:r w:rsidRPr="00C25F91">
        <w:rPr>
          <w:i/>
          <w:iCs/>
        </w:rPr>
        <w:t>tatutory minimum wages, where none exist and support collective bargaining as a pre-requisite.</w:t>
      </w:r>
      <w:r>
        <w:rPr>
          <w:i/>
          <w:iCs/>
        </w:rPr>
        <w:t xml:space="preserve"> Support an EU </w:t>
      </w:r>
      <w:r w:rsidR="006D18FD">
        <w:rPr>
          <w:i/>
          <w:iCs/>
        </w:rPr>
        <w:t>D</w:t>
      </w:r>
      <w:r>
        <w:rPr>
          <w:i/>
          <w:iCs/>
        </w:rPr>
        <w:t>irective on gender pay gap and to require pay transparency.</w:t>
      </w:r>
    </w:p>
    <w:p w14:paraId="7F834A08" w14:textId="602F4049" w:rsidR="00C25F91" w:rsidRDefault="00C25F91" w:rsidP="00DE0C27">
      <w:pPr>
        <w:pBdr>
          <w:top w:val="single" w:sz="4" w:space="1" w:color="auto"/>
          <w:left w:val="single" w:sz="4" w:space="4" w:color="auto"/>
          <w:bottom w:val="single" w:sz="4" w:space="1" w:color="auto"/>
          <w:right w:val="single" w:sz="4" w:space="4" w:color="auto"/>
        </w:pBdr>
        <w:rPr>
          <w:i/>
          <w:iCs/>
        </w:rPr>
      </w:pPr>
      <w:r w:rsidRPr="00C25F91">
        <w:rPr>
          <w:b/>
          <w:bCs/>
          <w:i/>
          <w:iCs/>
        </w:rPr>
        <w:t>Soft Instruments</w:t>
      </w:r>
      <w:r>
        <w:rPr>
          <w:i/>
          <w:iCs/>
        </w:rPr>
        <w:t>: Prioritize quality employment principles and indicators to capture adequacy of wages, benchmarked to the 60% of median wage</w:t>
      </w:r>
      <w:r w:rsidR="00B551E4">
        <w:rPr>
          <w:i/>
          <w:iCs/>
        </w:rPr>
        <w:t>. Through the European Semester adopt a fair-wage/decent work priority for CSRs includin</w:t>
      </w:r>
      <w:r w:rsidR="006D18FD">
        <w:rPr>
          <w:i/>
          <w:iCs/>
        </w:rPr>
        <w:t>g:</w:t>
      </w:r>
      <w:r w:rsidR="00B551E4">
        <w:rPr>
          <w:i/>
          <w:iCs/>
        </w:rPr>
        <w:t xml:space="preserve"> increased analysis of in-work poverty related to gender and other groups, supporting increased employment security/employment status for all workers, collective bargaining and trade union membership and person-centred supportive active inclusion. Improve consultation with people facing in-work poverty and NGOs supporting them in</w:t>
      </w:r>
      <w:r w:rsidR="006D18FD">
        <w:rPr>
          <w:i/>
          <w:iCs/>
        </w:rPr>
        <w:t xml:space="preserve"> policy</w:t>
      </w:r>
      <w:r w:rsidR="00B551E4">
        <w:rPr>
          <w:i/>
          <w:iCs/>
        </w:rPr>
        <w:t xml:space="preserve"> dialogue processes.</w:t>
      </w:r>
    </w:p>
    <w:p w14:paraId="0FC220C4" w14:textId="34C85020" w:rsidR="00250FFA" w:rsidRPr="00C25F91" w:rsidRDefault="00250FFA" w:rsidP="00DE0C27">
      <w:pPr>
        <w:pBdr>
          <w:top w:val="single" w:sz="4" w:space="1" w:color="auto"/>
          <w:left w:val="single" w:sz="4" w:space="4" w:color="auto"/>
          <w:bottom w:val="single" w:sz="4" w:space="1" w:color="auto"/>
          <w:right w:val="single" w:sz="4" w:space="4" w:color="auto"/>
        </w:pBdr>
        <w:rPr>
          <w:i/>
          <w:iCs/>
        </w:rPr>
      </w:pPr>
      <w:hyperlink r:id="rId19" w:history="1">
        <w:r w:rsidRPr="00250FFA">
          <w:rPr>
            <w:rStyle w:val="Hyperlink"/>
          </w:rPr>
          <w:t>See also EAPN’s Position Paper on Adequate Income</w:t>
        </w:r>
      </w:hyperlink>
      <w:r>
        <w:rPr>
          <w:i/>
          <w:iCs/>
        </w:rPr>
        <w:t>.</w:t>
      </w:r>
    </w:p>
    <w:p w14:paraId="0D33391D" w14:textId="1C1AD8BF" w:rsidR="00534E49" w:rsidRPr="00EB4A38" w:rsidRDefault="00534E49" w:rsidP="00DE0C27">
      <w:pPr>
        <w:pBdr>
          <w:top w:val="single" w:sz="4" w:space="1" w:color="auto"/>
          <w:left w:val="single" w:sz="4" w:space="4" w:color="auto"/>
          <w:bottom w:val="single" w:sz="4" w:space="1" w:color="auto"/>
          <w:right w:val="single" w:sz="4" w:space="4" w:color="auto"/>
        </w:pBdr>
        <w:rPr>
          <w:b/>
          <w:bCs/>
          <w:i/>
          <w:iCs/>
          <w:u w:val="single"/>
        </w:rPr>
      </w:pPr>
      <w:r w:rsidRPr="00EB4A38">
        <w:rPr>
          <w:b/>
          <w:bCs/>
          <w:i/>
          <w:iCs/>
          <w:u w:val="single"/>
        </w:rPr>
        <w:t>Principle 20: Access to Essential Services, connected to Principles 19, 16, 18, 11</w:t>
      </w:r>
      <w:r w:rsidR="003C503C" w:rsidRPr="00EB4A38">
        <w:rPr>
          <w:b/>
          <w:bCs/>
          <w:i/>
          <w:iCs/>
          <w:u w:val="single"/>
        </w:rPr>
        <w:t xml:space="preserve"> – SDG </w:t>
      </w:r>
      <w:r w:rsidRPr="00EB4A38">
        <w:rPr>
          <w:b/>
          <w:bCs/>
          <w:i/>
          <w:iCs/>
          <w:u w:val="single"/>
        </w:rPr>
        <w:t>1,3,6,7,</w:t>
      </w:r>
      <w:r w:rsidR="003C503C" w:rsidRPr="00EB4A38">
        <w:rPr>
          <w:b/>
          <w:bCs/>
          <w:i/>
          <w:iCs/>
          <w:u w:val="single"/>
        </w:rPr>
        <w:t>1</w:t>
      </w:r>
      <w:r w:rsidRPr="00EB4A38">
        <w:rPr>
          <w:b/>
          <w:bCs/>
          <w:i/>
          <w:iCs/>
          <w:u w:val="single"/>
        </w:rPr>
        <w:t>0,</w:t>
      </w:r>
      <w:r w:rsidR="003C503C" w:rsidRPr="00EB4A38">
        <w:rPr>
          <w:b/>
          <w:bCs/>
          <w:i/>
          <w:iCs/>
          <w:u w:val="single"/>
        </w:rPr>
        <w:t>1</w:t>
      </w:r>
      <w:r w:rsidRPr="00EB4A38">
        <w:rPr>
          <w:b/>
          <w:bCs/>
          <w:i/>
          <w:iCs/>
          <w:u w:val="single"/>
        </w:rPr>
        <w:t>1.</w:t>
      </w:r>
    </w:p>
    <w:p w14:paraId="31E99438" w14:textId="55CC694A" w:rsidR="003C503C" w:rsidRDefault="003C503C" w:rsidP="00DE0C2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
          <w:iCs/>
          <w:lang w:eastAsia="en-GB"/>
        </w:rPr>
      </w:pPr>
      <w:r w:rsidRPr="003C503C">
        <w:rPr>
          <w:rFonts w:eastAsia="Times New Roman" w:cstheme="minorHAnsi"/>
          <w:b/>
          <w:bCs/>
          <w:i/>
          <w:iCs/>
          <w:lang w:eastAsia="en-GB"/>
        </w:rPr>
        <w:t>Hard Law</w:t>
      </w:r>
      <w:r w:rsidRPr="003C503C">
        <w:rPr>
          <w:rFonts w:eastAsia="Times New Roman" w:cstheme="minorHAnsi"/>
          <w:i/>
          <w:iCs/>
          <w:lang w:eastAsia="en-GB"/>
        </w:rPr>
        <w:t xml:space="preserve">:  EAPN continues to support the need </w:t>
      </w:r>
      <w:r w:rsidR="006D18FD">
        <w:rPr>
          <w:rFonts w:eastAsia="Times New Roman" w:cstheme="minorHAnsi"/>
          <w:i/>
          <w:iCs/>
          <w:lang w:eastAsia="en-GB"/>
        </w:rPr>
        <w:t xml:space="preserve">for </w:t>
      </w:r>
      <w:r w:rsidRPr="003C503C">
        <w:rPr>
          <w:rFonts w:eastAsia="Times New Roman" w:cstheme="minorHAnsi"/>
          <w:i/>
          <w:iCs/>
          <w:lang w:eastAsia="en-GB"/>
        </w:rPr>
        <w:t xml:space="preserve">an </w:t>
      </w:r>
      <w:r w:rsidRPr="003C503C">
        <w:rPr>
          <w:rFonts w:eastAsia="Times New Roman" w:cstheme="minorHAnsi"/>
          <w:b/>
          <w:bCs/>
          <w:i/>
          <w:iCs/>
          <w:lang w:eastAsia="en-GB"/>
        </w:rPr>
        <w:t xml:space="preserve">EU Directive </w:t>
      </w:r>
      <w:r>
        <w:rPr>
          <w:rFonts w:eastAsia="Times New Roman" w:cstheme="minorHAnsi"/>
          <w:b/>
          <w:bCs/>
          <w:i/>
          <w:iCs/>
          <w:lang w:eastAsia="en-GB"/>
        </w:rPr>
        <w:t>to protect</w:t>
      </w:r>
      <w:r w:rsidRPr="003C503C">
        <w:rPr>
          <w:rFonts w:eastAsia="Times New Roman" w:cstheme="minorHAnsi"/>
          <w:b/>
          <w:bCs/>
          <w:i/>
          <w:iCs/>
          <w:lang w:eastAsia="en-GB"/>
        </w:rPr>
        <w:t xml:space="preserve"> universal public services, </w:t>
      </w:r>
      <w:r w:rsidR="00250FFA">
        <w:rPr>
          <w:rFonts w:eastAsia="Times New Roman" w:cstheme="minorHAnsi"/>
          <w:b/>
          <w:bCs/>
          <w:i/>
          <w:iCs/>
          <w:lang w:eastAsia="en-GB"/>
        </w:rPr>
        <w:t xml:space="preserve">as a public good, </w:t>
      </w:r>
      <w:r w:rsidRPr="003C503C">
        <w:rPr>
          <w:rFonts w:eastAsia="Times New Roman" w:cstheme="minorHAnsi"/>
          <w:i/>
          <w:iCs/>
          <w:lang w:eastAsia="en-GB"/>
        </w:rPr>
        <w:t xml:space="preserve">to </w:t>
      </w:r>
      <w:r w:rsidR="00250FFA">
        <w:rPr>
          <w:rFonts w:eastAsia="Times New Roman" w:cstheme="minorHAnsi"/>
          <w:i/>
          <w:iCs/>
          <w:lang w:eastAsia="en-GB"/>
        </w:rPr>
        <w:t>avoid</w:t>
      </w:r>
      <w:r w:rsidRPr="003C503C">
        <w:rPr>
          <w:rFonts w:eastAsia="Times New Roman" w:cstheme="minorHAnsi"/>
          <w:i/>
          <w:iCs/>
          <w:lang w:eastAsia="en-GB"/>
        </w:rPr>
        <w:t xml:space="preserve"> an increasingly marketized, profit-driven model. The absence of any obligatory </w:t>
      </w:r>
      <w:r w:rsidRPr="003C503C">
        <w:rPr>
          <w:rFonts w:eastAsia="Times New Roman" w:cstheme="minorHAnsi"/>
          <w:b/>
          <w:bCs/>
          <w:i/>
          <w:iCs/>
          <w:lang w:eastAsia="en-GB"/>
        </w:rPr>
        <w:t>right to housing</w:t>
      </w:r>
      <w:r w:rsidRPr="003C503C">
        <w:rPr>
          <w:rFonts w:eastAsia="Times New Roman" w:cstheme="minorHAnsi"/>
          <w:i/>
          <w:iCs/>
          <w:lang w:eastAsia="en-GB"/>
        </w:rPr>
        <w:t xml:space="preserve"> is a major weakness in the EU social model. The right to housing should be enforced regardless of residence status, to ensure access to rights for migrants, homeless people and other excluded.</w:t>
      </w:r>
    </w:p>
    <w:p w14:paraId="7B6B8393" w14:textId="77777777" w:rsidR="00EC12A6" w:rsidRPr="003C503C" w:rsidRDefault="00EC12A6" w:rsidP="00DE0C27">
      <w:pPr>
        <w:pBdr>
          <w:top w:val="single" w:sz="4" w:space="1" w:color="auto"/>
          <w:left w:val="single" w:sz="4" w:space="4" w:color="auto"/>
          <w:bottom w:val="single" w:sz="4" w:space="1" w:color="auto"/>
          <w:right w:val="single" w:sz="4" w:space="4" w:color="auto"/>
        </w:pBdr>
        <w:spacing w:after="0" w:line="240" w:lineRule="auto"/>
        <w:jc w:val="both"/>
        <w:rPr>
          <w:b/>
          <w:bCs/>
          <w:i/>
          <w:iCs/>
        </w:rPr>
      </w:pPr>
    </w:p>
    <w:p w14:paraId="2BD35B4D" w14:textId="77777777" w:rsidR="00EB4A38" w:rsidRDefault="003C503C" w:rsidP="00DE0C27">
      <w:pPr>
        <w:pBdr>
          <w:top w:val="single" w:sz="4" w:space="1" w:color="auto"/>
          <w:left w:val="single" w:sz="4" w:space="4" w:color="auto"/>
          <w:bottom w:val="single" w:sz="4" w:space="1" w:color="auto"/>
          <w:right w:val="single" w:sz="4" w:space="4" w:color="auto"/>
        </w:pBdr>
        <w:jc w:val="both"/>
        <w:rPr>
          <w:rFonts w:cstheme="minorHAnsi"/>
          <w:i/>
          <w:iCs/>
        </w:rPr>
      </w:pPr>
      <w:r w:rsidRPr="003C503C">
        <w:rPr>
          <w:b/>
          <w:bCs/>
          <w:i/>
          <w:iCs/>
        </w:rPr>
        <w:t>Soft Instruments:</w:t>
      </w:r>
      <w:r w:rsidRPr="003C503C">
        <w:rPr>
          <w:rFonts w:cstheme="minorHAnsi"/>
        </w:rPr>
        <w:t xml:space="preserve"> </w:t>
      </w:r>
      <w:r w:rsidR="00C7541F" w:rsidRPr="00C7541F">
        <w:rPr>
          <w:rFonts w:cstheme="minorHAnsi"/>
          <w:i/>
          <w:iCs/>
        </w:rPr>
        <w:t xml:space="preserve">the </w:t>
      </w:r>
      <w:r w:rsidRPr="00C7541F">
        <w:rPr>
          <w:rFonts w:cstheme="minorHAnsi"/>
          <w:i/>
          <w:iCs/>
        </w:rPr>
        <w:t>European Semester</w:t>
      </w:r>
      <w:r w:rsidR="00C7541F" w:rsidRPr="00C7541F">
        <w:rPr>
          <w:rFonts w:cstheme="minorHAnsi"/>
          <w:i/>
          <w:iCs/>
        </w:rPr>
        <w:t xml:space="preserve"> needs to be rebalanced</w:t>
      </w:r>
      <w:r w:rsidRPr="00C7541F">
        <w:rPr>
          <w:rFonts w:cstheme="minorHAnsi"/>
          <w:i/>
          <w:iCs/>
        </w:rPr>
        <w:t xml:space="preserve"> towards ensuring universal access to </w:t>
      </w:r>
      <w:r w:rsidR="00C7541F" w:rsidRPr="00C7541F">
        <w:rPr>
          <w:rFonts w:cstheme="minorHAnsi"/>
          <w:i/>
          <w:iCs/>
        </w:rPr>
        <w:t xml:space="preserve">accessible, </w:t>
      </w:r>
      <w:r w:rsidRPr="00C7541F">
        <w:rPr>
          <w:rFonts w:cstheme="minorHAnsi"/>
          <w:i/>
          <w:iCs/>
        </w:rPr>
        <w:t>affordable</w:t>
      </w:r>
      <w:r w:rsidR="00C7541F" w:rsidRPr="00C7541F">
        <w:rPr>
          <w:rFonts w:cstheme="minorHAnsi"/>
          <w:i/>
          <w:iCs/>
        </w:rPr>
        <w:t xml:space="preserve">, quality </w:t>
      </w:r>
      <w:r w:rsidRPr="00C7541F">
        <w:rPr>
          <w:rFonts w:cstheme="minorHAnsi"/>
          <w:i/>
          <w:iCs/>
        </w:rPr>
        <w:t>services in all areas, rather than viewed predominantly as a cost and a target for restructurin</w:t>
      </w:r>
      <w:r w:rsidR="00C7541F" w:rsidRPr="00C7541F">
        <w:rPr>
          <w:rFonts w:cstheme="minorHAnsi"/>
          <w:i/>
          <w:iCs/>
        </w:rPr>
        <w:t xml:space="preserve">g. </w:t>
      </w:r>
    </w:p>
    <w:p w14:paraId="56F5C831" w14:textId="174E8CC5" w:rsidR="003C503C" w:rsidRDefault="00C7541F" w:rsidP="00DE0C27">
      <w:pPr>
        <w:pBdr>
          <w:top w:val="single" w:sz="4" w:space="1" w:color="auto"/>
          <w:left w:val="single" w:sz="4" w:space="4" w:color="auto"/>
          <w:bottom w:val="single" w:sz="4" w:space="1" w:color="auto"/>
          <w:right w:val="single" w:sz="4" w:space="4" w:color="auto"/>
        </w:pBdr>
        <w:jc w:val="both"/>
        <w:rPr>
          <w:rFonts w:eastAsia="Times New Roman" w:cstheme="minorHAnsi"/>
          <w:i/>
          <w:iCs/>
          <w:lang w:eastAsia="en-GB"/>
        </w:rPr>
      </w:pPr>
      <w:r w:rsidRPr="00C7541F">
        <w:rPr>
          <w:rFonts w:cstheme="minorHAnsi"/>
          <w:i/>
          <w:iCs/>
        </w:rPr>
        <w:t xml:space="preserve">In the area of </w:t>
      </w:r>
      <w:r w:rsidRPr="00C7541F">
        <w:rPr>
          <w:rFonts w:cstheme="minorHAnsi"/>
          <w:b/>
          <w:bCs/>
          <w:i/>
          <w:iCs/>
        </w:rPr>
        <w:t>Energy Poverty</w:t>
      </w:r>
      <w:r w:rsidRPr="00C7541F">
        <w:rPr>
          <w:rFonts w:cstheme="minorHAnsi"/>
          <w:i/>
          <w:iCs/>
        </w:rPr>
        <w:t>:</w:t>
      </w:r>
      <w:r>
        <w:rPr>
          <w:rFonts w:cstheme="minorHAnsi"/>
          <w:i/>
          <w:iCs/>
        </w:rPr>
        <w:t xml:space="preserve"> </w:t>
      </w:r>
      <w:r w:rsidR="006D18FD">
        <w:rPr>
          <w:rFonts w:cstheme="minorHAnsi"/>
          <w:i/>
          <w:iCs/>
        </w:rPr>
        <w:t>The European Green Deal</w:t>
      </w:r>
      <w:r>
        <w:rPr>
          <w:rFonts w:cstheme="minorHAnsi"/>
          <w:i/>
          <w:iCs/>
        </w:rPr>
        <w:t>/</w:t>
      </w:r>
      <w:r w:rsidRPr="00C7541F">
        <w:rPr>
          <w:rFonts w:cstheme="minorHAnsi"/>
          <w:i/>
          <w:iCs/>
        </w:rPr>
        <w:t xml:space="preserve"> Just Transition must assert the right to affordable, clean energy</w:t>
      </w:r>
      <w:r>
        <w:rPr>
          <w:rFonts w:cstheme="minorHAnsi"/>
          <w:i/>
          <w:iCs/>
        </w:rPr>
        <w:t xml:space="preserve"> for all</w:t>
      </w:r>
      <w:r w:rsidRPr="00C7541F">
        <w:rPr>
          <w:rFonts w:cstheme="minorHAnsi"/>
          <w:i/>
          <w:iCs/>
        </w:rPr>
        <w:t xml:space="preserve"> and develop obligatory EU guidelines to ensure rights based approaches in the national climate and energy plans based o</w:t>
      </w:r>
      <w:r w:rsidR="003C503C" w:rsidRPr="00C7541F">
        <w:rPr>
          <w:rFonts w:cstheme="minorHAnsi"/>
          <w:i/>
          <w:iCs/>
        </w:rPr>
        <w:t>n the 3 pillar approach (adequate income, reducing consumption/energy efficiency and fair prices)</w:t>
      </w:r>
      <w:r w:rsidRPr="00C7541F">
        <w:rPr>
          <w:rFonts w:cstheme="minorHAnsi"/>
          <w:i/>
          <w:iCs/>
        </w:rPr>
        <w:t xml:space="preserve">. </w:t>
      </w:r>
      <w:r w:rsidR="003C503C" w:rsidRPr="00C7541F">
        <w:rPr>
          <w:rFonts w:cstheme="minorHAnsi"/>
          <w:i/>
          <w:iCs/>
        </w:rPr>
        <w:t>Further EU action is needed to ban disconnections,  stop the phasing out of regulated prices in the energy sector for domestic households</w:t>
      </w:r>
      <w:r w:rsidRPr="00C7541F">
        <w:rPr>
          <w:rFonts w:cstheme="minorHAnsi"/>
          <w:i/>
          <w:iCs/>
        </w:rPr>
        <w:t xml:space="preserve">, </w:t>
      </w:r>
      <w:r w:rsidR="003C503C" w:rsidRPr="00C7541F">
        <w:rPr>
          <w:rFonts w:cstheme="minorHAnsi"/>
          <w:i/>
          <w:iCs/>
        </w:rPr>
        <w:t>support social tariffs for vulnerable customers</w:t>
      </w:r>
      <w:r w:rsidRPr="00C7541F">
        <w:rPr>
          <w:rFonts w:cstheme="minorHAnsi"/>
          <w:i/>
          <w:iCs/>
        </w:rPr>
        <w:t xml:space="preserve">, prioritising </w:t>
      </w:r>
      <w:r w:rsidR="003C503C" w:rsidRPr="00C7541F">
        <w:rPr>
          <w:rFonts w:eastAsia="Times New Roman" w:cstheme="minorHAnsi"/>
          <w:i/>
          <w:iCs/>
          <w:lang w:eastAsia="en-GB"/>
        </w:rPr>
        <w:t>EU Invest financing to support energy efficiency and</w:t>
      </w:r>
      <w:r w:rsidR="003C503C" w:rsidRPr="00F15FB1">
        <w:rPr>
          <w:rFonts w:eastAsia="Times New Roman" w:cstheme="minorHAnsi"/>
          <w:lang w:eastAsia="en-GB"/>
        </w:rPr>
        <w:t xml:space="preserve"> </w:t>
      </w:r>
      <w:r w:rsidR="003C503C" w:rsidRPr="00C7541F">
        <w:rPr>
          <w:rFonts w:eastAsia="Times New Roman" w:cstheme="minorHAnsi"/>
          <w:i/>
          <w:iCs/>
          <w:lang w:eastAsia="en-GB"/>
        </w:rPr>
        <w:t>decent housing, including expansion of social housing measures targeting low income households ensuring</w:t>
      </w:r>
      <w:r w:rsidR="006D18FD">
        <w:rPr>
          <w:rFonts w:eastAsia="Times New Roman" w:cstheme="minorHAnsi"/>
          <w:i/>
          <w:iCs/>
          <w:lang w:eastAsia="en-GB"/>
        </w:rPr>
        <w:t xml:space="preserve"> </w:t>
      </w:r>
      <w:r w:rsidR="00250FFA">
        <w:rPr>
          <w:rFonts w:eastAsia="Times New Roman" w:cstheme="minorHAnsi"/>
          <w:i/>
          <w:iCs/>
          <w:lang w:eastAsia="en-GB"/>
        </w:rPr>
        <w:t>no</w:t>
      </w:r>
      <w:r w:rsidR="003C503C" w:rsidRPr="00C7541F">
        <w:rPr>
          <w:rFonts w:eastAsia="Times New Roman" w:cstheme="minorHAnsi"/>
          <w:i/>
          <w:iCs/>
          <w:lang w:eastAsia="en-GB"/>
        </w:rPr>
        <w:t xml:space="preserve"> additional costs in housing or bills</w:t>
      </w:r>
      <w:r w:rsidR="00EC12A6">
        <w:rPr>
          <w:rFonts w:eastAsia="Times New Roman" w:cstheme="minorHAnsi"/>
          <w:i/>
          <w:iCs/>
          <w:lang w:eastAsia="en-GB"/>
        </w:rPr>
        <w:t>.</w:t>
      </w:r>
    </w:p>
    <w:p w14:paraId="7EC000C9" w14:textId="29614241" w:rsidR="00C7541F" w:rsidRDefault="00C7541F" w:rsidP="00DE0C2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
          <w:iCs/>
          <w:lang w:eastAsia="en-GB"/>
        </w:rPr>
      </w:pPr>
      <w:r w:rsidRPr="00EC12A6">
        <w:rPr>
          <w:rFonts w:eastAsia="Times New Roman" w:cstheme="minorHAnsi"/>
          <w:b/>
          <w:bCs/>
          <w:i/>
          <w:iCs/>
          <w:lang w:eastAsia="en-GB"/>
        </w:rPr>
        <w:t>Housing:</w:t>
      </w:r>
      <w:r w:rsidRPr="00EC12A6">
        <w:rPr>
          <w:rFonts w:eastAsia="Times New Roman" w:cstheme="minorHAnsi"/>
          <w:lang w:eastAsia="en-GB"/>
        </w:rPr>
        <w:t xml:space="preserve"> </w:t>
      </w:r>
      <w:r w:rsidRPr="009E1DB0">
        <w:rPr>
          <w:rFonts w:eastAsia="Times New Roman" w:cstheme="minorHAnsi"/>
          <w:i/>
          <w:iCs/>
          <w:lang w:eastAsia="en-GB"/>
        </w:rPr>
        <w:t>The European Semester should ensure that the Country-Specific Recommendations (CSRs) treat housing as a social right, rather than primarily as a market for growth. It must address speculation and support the increase of adequate and affordable housing for low income groups, including through significant investment in social housing. EU funds including ESF, ERDF and EU Invest should support the growth of new housing provision including local/regional social housing cooperatives owned by people themselves</w:t>
      </w:r>
      <w:r w:rsidR="00EC12A6" w:rsidRPr="009E1DB0">
        <w:rPr>
          <w:rFonts w:eastAsia="Times New Roman" w:cstheme="minorHAnsi"/>
          <w:i/>
          <w:iCs/>
          <w:lang w:eastAsia="en-GB"/>
        </w:rPr>
        <w:t xml:space="preserve">. </w:t>
      </w:r>
      <w:r w:rsidR="009E1DB0" w:rsidRPr="009E1DB0">
        <w:rPr>
          <w:rFonts w:eastAsia="Times New Roman" w:cstheme="minorHAnsi"/>
          <w:i/>
          <w:iCs/>
          <w:lang w:eastAsia="en-GB"/>
        </w:rPr>
        <w:t>The EU should support regulation of rents particularly where there is evidence of market failure</w:t>
      </w:r>
      <w:r w:rsidR="009E1DB0">
        <w:rPr>
          <w:rFonts w:eastAsia="Times New Roman" w:cstheme="minorHAnsi"/>
          <w:i/>
          <w:iCs/>
          <w:lang w:eastAsia="en-GB"/>
        </w:rPr>
        <w:t>.</w:t>
      </w:r>
      <w:r w:rsidR="009E1DB0" w:rsidRPr="009E1DB0">
        <w:rPr>
          <w:rFonts w:eastAsia="Times New Roman" w:cstheme="minorHAnsi"/>
          <w:i/>
          <w:iCs/>
          <w:lang w:eastAsia="en-GB"/>
        </w:rPr>
        <w:t xml:space="preserve"> </w:t>
      </w:r>
      <w:r w:rsidR="00EC12A6" w:rsidRPr="009E1DB0">
        <w:rPr>
          <w:rFonts w:eastAsia="Times New Roman" w:cstheme="minorHAnsi"/>
          <w:i/>
          <w:iCs/>
          <w:lang w:eastAsia="en-GB"/>
        </w:rPr>
        <w:t xml:space="preserve">Strong backing must be given </w:t>
      </w:r>
      <w:r w:rsidR="009E1DB0" w:rsidRPr="009E1DB0">
        <w:rPr>
          <w:rFonts w:eastAsia="Times New Roman" w:cstheme="minorHAnsi"/>
          <w:i/>
          <w:iCs/>
          <w:lang w:eastAsia="en-GB"/>
        </w:rPr>
        <w:t xml:space="preserve">to the </w:t>
      </w:r>
      <w:r w:rsidRPr="009E1DB0">
        <w:rPr>
          <w:rFonts w:eastAsia="Times New Roman" w:cstheme="minorHAnsi"/>
          <w:i/>
          <w:iCs/>
          <w:lang w:eastAsia="en-GB"/>
        </w:rPr>
        <w:t>prevention of evictions, the promotion of national cross-sectoral strategies to tackle homelessness</w:t>
      </w:r>
      <w:r w:rsidRPr="009E1DB0">
        <w:rPr>
          <w:rStyle w:val="FootnoteReference"/>
          <w:rFonts w:eastAsia="Times New Roman" w:cstheme="minorHAnsi"/>
          <w:i/>
          <w:iCs/>
          <w:lang w:eastAsia="en-GB"/>
        </w:rPr>
        <w:footnoteReference w:id="10"/>
      </w:r>
      <w:r w:rsidRPr="009E1DB0">
        <w:rPr>
          <w:rFonts w:eastAsia="Times New Roman" w:cstheme="minorHAnsi"/>
          <w:i/>
          <w:iCs/>
          <w:lang w:eastAsia="en-GB"/>
        </w:rPr>
        <w:t>, investing in Housing First strategies and ensuring a stop to criminalisation of the homeless.</w:t>
      </w:r>
      <w:r w:rsidR="009E1DB0" w:rsidRPr="009E1DB0">
        <w:rPr>
          <w:rFonts w:eastAsia="Times New Roman" w:cstheme="minorHAnsi"/>
          <w:i/>
          <w:iCs/>
          <w:lang w:eastAsia="en-GB"/>
        </w:rPr>
        <w:t xml:space="preserve"> </w:t>
      </w:r>
      <w:r w:rsidRPr="009E1DB0">
        <w:rPr>
          <w:rFonts w:eastAsia="Times New Roman" w:cstheme="minorHAnsi"/>
          <w:i/>
          <w:iCs/>
          <w:lang w:eastAsia="en-GB"/>
        </w:rPr>
        <w:t>Progress should be made on a common EU definition and indicator for ‘affordable’ housing costs</w:t>
      </w:r>
      <w:r w:rsidR="001B0334">
        <w:rPr>
          <w:rFonts w:eastAsia="Times New Roman" w:cstheme="minorHAnsi"/>
          <w:i/>
          <w:iCs/>
          <w:lang w:eastAsia="en-GB"/>
        </w:rPr>
        <w:t xml:space="preserve"> of 25% of personal budgets, underpinned by</w:t>
      </w:r>
      <w:r w:rsidR="009E1DB0" w:rsidRPr="009E1DB0">
        <w:rPr>
          <w:rFonts w:eastAsia="Times New Roman" w:cstheme="minorHAnsi"/>
          <w:i/>
          <w:iCs/>
          <w:lang w:eastAsia="en-GB"/>
        </w:rPr>
        <w:t xml:space="preserve"> </w:t>
      </w:r>
      <w:r w:rsidRPr="009E1DB0">
        <w:rPr>
          <w:rFonts w:eastAsia="Times New Roman" w:cstheme="minorHAnsi"/>
          <w:i/>
          <w:iCs/>
          <w:lang w:eastAsia="en-GB"/>
        </w:rPr>
        <w:t>EU minimum quality standards on housing</w:t>
      </w:r>
      <w:r w:rsidR="009E1DB0" w:rsidRPr="009E1DB0">
        <w:rPr>
          <w:rFonts w:eastAsia="Times New Roman" w:cstheme="minorHAnsi"/>
          <w:i/>
          <w:iCs/>
          <w:lang w:eastAsia="en-GB"/>
        </w:rPr>
        <w:t>. A concrete EU indicator is needed to</w:t>
      </w:r>
      <w:r w:rsidRPr="009E1DB0">
        <w:rPr>
          <w:rFonts w:eastAsia="Times New Roman" w:cstheme="minorHAnsi"/>
          <w:i/>
          <w:iCs/>
          <w:lang w:eastAsia="en-GB"/>
        </w:rPr>
        <w:t xml:space="preserve"> </w:t>
      </w:r>
      <w:r w:rsidRPr="009E1DB0">
        <w:rPr>
          <w:rFonts w:eastAsia="Times New Roman" w:cstheme="minorHAnsi"/>
          <w:i/>
          <w:iCs/>
          <w:lang w:eastAsia="en-GB"/>
        </w:rPr>
        <w:lastRenderedPageBreak/>
        <w:t>measure homelessness</w:t>
      </w:r>
      <w:r w:rsidRPr="009E1DB0">
        <w:rPr>
          <w:i/>
          <w:iCs/>
        </w:rPr>
        <w:t xml:space="preserve">, covering the widest scope of homelessness defined by the </w:t>
      </w:r>
      <w:hyperlink r:id="rId20" w:history="1">
        <w:r w:rsidRPr="009E1DB0">
          <w:rPr>
            <w:rStyle w:val="Hyperlink"/>
            <w:i/>
            <w:iCs/>
          </w:rPr>
          <w:t>ETHOS</w:t>
        </w:r>
      </w:hyperlink>
      <w:r w:rsidRPr="009E1DB0">
        <w:rPr>
          <w:rStyle w:val="FootnoteReference"/>
          <w:i/>
          <w:iCs/>
        </w:rPr>
        <w:footnoteReference w:id="11"/>
      </w:r>
      <w:r w:rsidRPr="009E1DB0">
        <w:rPr>
          <w:i/>
          <w:iCs/>
        </w:rPr>
        <w:t xml:space="preserve"> framework. </w:t>
      </w:r>
      <w:r w:rsidRPr="009E1DB0">
        <w:rPr>
          <w:rFonts w:eastAsia="Times New Roman" w:cstheme="minorHAnsi"/>
          <w:i/>
          <w:iCs/>
          <w:lang w:eastAsia="en-GB"/>
        </w:rPr>
        <w:t>The participation of people facing homelessness and housing exclusion is crucial to achieve viable policy solutions in national and EU decision-making processes, together with the NGOs that support them.</w:t>
      </w:r>
    </w:p>
    <w:p w14:paraId="33E2B4CA" w14:textId="77777777" w:rsidR="009A7349" w:rsidRPr="009E1DB0" w:rsidRDefault="009A7349" w:rsidP="00DE0C27">
      <w:pPr>
        <w:pBdr>
          <w:top w:val="single" w:sz="4" w:space="1" w:color="auto"/>
          <w:left w:val="single" w:sz="4" w:space="4" w:color="auto"/>
          <w:bottom w:val="single" w:sz="4" w:space="1" w:color="auto"/>
          <w:right w:val="single" w:sz="4" w:space="4" w:color="auto"/>
        </w:pBdr>
        <w:spacing w:after="0" w:line="240" w:lineRule="auto"/>
        <w:jc w:val="both"/>
        <w:rPr>
          <w:rFonts w:cstheme="minorHAnsi"/>
          <w:b/>
          <w:bCs/>
          <w:i/>
          <w:iCs/>
        </w:rPr>
      </w:pPr>
    </w:p>
    <w:p w14:paraId="183D9ECE" w14:textId="4CFECEFF" w:rsidR="009A7349" w:rsidRPr="009A7349" w:rsidRDefault="00C7541F" w:rsidP="00DE0C27">
      <w:pPr>
        <w:pBdr>
          <w:top w:val="single" w:sz="4" w:space="1" w:color="auto"/>
          <w:left w:val="single" w:sz="4" w:space="4" w:color="auto"/>
          <w:bottom w:val="single" w:sz="4" w:space="1" w:color="auto"/>
          <w:right w:val="single" w:sz="4" w:space="4" w:color="auto"/>
        </w:pBdr>
        <w:jc w:val="both"/>
        <w:rPr>
          <w:rFonts w:eastAsia="Times New Roman" w:cstheme="minorHAnsi"/>
          <w:i/>
          <w:iCs/>
          <w:lang w:eastAsia="en-GB"/>
        </w:rPr>
      </w:pPr>
      <w:r w:rsidRPr="009A7349">
        <w:rPr>
          <w:rFonts w:eastAsia="Times New Roman" w:cstheme="minorHAnsi"/>
          <w:b/>
          <w:bCs/>
          <w:i/>
          <w:iCs/>
          <w:lang w:eastAsia="en-GB"/>
        </w:rPr>
        <w:t>Health and Care</w:t>
      </w:r>
      <w:r w:rsidRPr="009A7349">
        <w:rPr>
          <w:rFonts w:eastAsia="Times New Roman" w:cstheme="minorHAnsi"/>
          <w:i/>
          <w:iCs/>
          <w:lang w:eastAsia="en-GB"/>
        </w:rPr>
        <w:t>:</w:t>
      </w:r>
      <w:r w:rsidR="009A7349" w:rsidRPr="009A7349">
        <w:rPr>
          <w:rFonts w:eastAsia="Times New Roman" w:cstheme="minorHAnsi"/>
          <w:i/>
          <w:iCs/>
          <w:lang w:eastAsia="en-GB"/>
        </w:rPr>
        <w:t xml:space="preserve"> The current distinction between health and care services is problematic</w:t>
      </w:r>
      <w:r w:rsidR="004C5198">
        <w:rPr>
          <w:rFonts w:eastAsia="Times New Roman" w:cstheme="minorHAnsi"/>
          <w:i/>
          <w:iCs/>
          <w:lang w:eastAsia="en-GB"/>
        </w:rPr>
        <w:t>, as underlined by t</w:t>
      </w:r>
      <w:r w:rsidR="009A7349" w:rsidRPr="009A7349">
        <w:rPr>
          <w:rFonts w:eastAsia="Times New Roman" w:cstheme="minorHAnsi"/>
          <w:i/>
          <w:iCs/>
          <w:lang w:eastAsia="en-GB"/>
        </w:rPr>
        <w:t>he COVID-19 epidemic</w:t>
      </w:r>
      <w:r w:rsidR="004C5198">
        <w:rPr>
          <w:rFonts w:eastAsia="Times New Roman" w:cstheme="minorHAnsi"/>
          <w:i/>
          <w:iCs/>
          <w:lang w:eastAsia="en-GB"/>
        </w:rPr>
        <w:t>.</w:t>
      </w:r>
      <w:r w:rsidR="009A7349" w:rsidRPr="009A7349">
        <w:rPr>
          <w:rFonts w:eastAsia="Times New Roman" w:cstheme="minorHAnsi"/>
          <w:i/>
          <w:iCs/>
          <w:lang w:eastAsia="en-GB"/>
        </w:rPr>
        <w:t xml:space="preserve"> The EU should create an adequate framework to guarantee the right to universal, affordable, quality health and social care services for all, covering all essential health and care services (including prevention, primary, community, hospital and specialist care, dental, mental health, social and long-term care and the cost of medicines). The Semester should give specific </w:t>
      </w:r>
      <w:r w:rsidR="00250FFA">
        <w:rPr>
          <w:rFonts w:eastAsia="Times New Roman" w:cstheme="minorHAnsi"/>
          <w:i/>
          <w:iCs/>
          <w:lang w:eastAsia="en-GB"/>
        </w:rPr>
        <w:t>priority</w:t>
      </w:r>
      <w:r w:rsidR="009A7349" w:rsidRPr="009A7349">
        <w:rPr>
          <w:rFonts w:eastAsia="Times New Roman" w:cstheme="minorHAnsi"/>
          <w:i/>
          <w:iCs/>
          <w:lang w:eastAsia="en-GB"/>
        </w:rPr>
        <w:t xml:space="preserve"> to defending universal provision as a public good and ensuring equal access for all groups/also rural</w:t>
      </w:r>
      <w:r w:rsidR="00250FFA">
        <w:rPr>
          <w:rFonts w:eastAsia="Times New Roman" w:cstheme="minorHAnsi"/>
          <w:i/>
          <w:iCs/>
          <w:lang w:eastAsia="en-GB"/>
        </w:rPr>
        <w:t>/</w:t>
      </w:r>
      <w:r w:rsidR="009A7349" w:rsidRPr="009A7349">
        <w:rPr>
          <w:rFonts w:eastAsia="Times New Roman" w:cstheme="minorHAnsi"/>
          <w:i/>
          <w:iCs/>
          <w:lang w:eastAsia="en-GB"/>
        </w:rPr>
        <w:t>city divide. An independent assessment should be carried out of the impact of privatisation and liberalisation and recommendations made to support the financing of universal</w:t>
      </w:r>
      <w:r w:rsidR="001B0334">
        <w:rPr>
          <w:rFonts w:eastAsia="Times New Roman" w:cstheme="minorHAnsi"/>
          <w:i/>
          <w:iCs/>
          <w:lang w:eastAsia="en-GB"/>
        </w:rPr>
        <w:t xml:space="preserve"> public</w:t>
      </w:r>
      <w:r w:rsidR="009A7349" w:rsidRPr="009A7349">
        <w:rPr>
          <w:rFonts w:eastAsia="Times New Roman" w:cstheme="minorHAnsi"/>
          <w:i/>
          <w:iCs/>
          <w:lang w:eastAsia="en-GB"/>
        </w:rPr>
        <w:t xml:space="preserve"> systems through either</w:t>
      </w:r>
      <w:r w:rsidR="00250FFA">
        <w:rPr>
          <w:rFonts w:eastAsia="Times New Roman" w:cstheme="minorHAnsi"/>
          <w:i/>
          <w:iCs/>
          <w:lang w:eastAsia="en-GB"/>
        </w:rPr>
        <w:t xml:space="preserve"> pro</w:t>
      </w:r>
      <w:r w:rsidR="009A7349" w:rsidRPr="009A7349">
        <w:rPr>
          <w:rFonts w:eastAsia="Times New Roman" w:cstheme="minorHAnsi"/>
          <w:i/>
          <w:iCs/>
          <w:lang w:eastAsia="en-GB"/>
        </w:rPr>
        <w:t>gressive tax systems or national health insurance schemes where all pay into the system according to their means,  supported by EU  macroeconomic policy, rather than a focus on</w:t>
      </w:r>
      <w:r w:rsidR="004C5198">
        <w:rPr>
          <w:rFonts w:eastAsia="Times New Roman" w:cstheme="minorHAnsi"/>
          <w:i/>
          <w:iCs/>
          <w:lang w:eastAsia="en-GB"/>
        </w:rPr>
        <w:t xml:space="preserve"> cost-saving</w:t>
      </w:r>
      <w:r w:rsidR="009A7349" w:rsidRPr="009A7349">
        <w:rPr>
          <w:rFonts w:eastAsia="Times New Roman" w:cstheme="minorHAnsi"/>
          <w:i/>
          <w:iCs/>
          <w:lang w:eastAsia="en-GB"/>
        </w:rPr>
        <w:t xml:space="preserve"> efficiencies</w:t>
      </w:r>
      <w:r w:rsidR="004C5198">
        <w:rPr>
          <w:rFonts w:eastAsia="Times New Roman" w:cstheme="minorHAnsi"/>
          <w:i/>
          <w:iCs/>
          <w:lang w:eastAsia="en-GB"/>
        </w:rPr>
        <w:t>.</w:t>
      </w:r>
      <w:r w:rsidR="006D18FD">
        <w:rPr>
          <w:rFonts w:eastAsia="Times New Roman" w:cstheme="minorHAnsi"/>
          <w:i/>
          <w:iCs/>
          <w:lang w:eastAsia="en-GB"/>
        </w:rPr>
        <w:t xml:space="preserve"> </w:t>
      </w:r>
      <w:r w:rsidR="009A7349" w:rsidRPr="009A7349">
        <w:rPr>
          <w:rFonts w:eastAsia="Times New Roman" w:cstheme="minorHAnsi"/>
          <w:i/>
          <w:iCs/>
          <w:lang w:eastAsia="en-GB"/>
        </w:rPr>
        <w:t>EU</w:t>
      </w:r>
      <w:r w:rsidR="004C5198">
        <w:rPr>
          <w:rFonts w:eastAsia="Times New Roman" w:cstheme="minorHAnsi"/>
          <w:i/>
          <w:iCs/>
          <w:lang w:eastAsia="en-GB"/>
        </w:rPr>
        <w:t xml:space="preserve"> mobility and</w:t>
      </w:r>
      <w:r w:rsidR="009A7349" w:rsidRPr="009A7349">
        <w:rPr>
          <w:rFonts w:eastAsia="Times New Roman" w:cstheme="minorHAnsi"/>
          <w:i/>
          <w:iCs/>
          <w:lang w:eastAsia="en-GB"/>
        </w:rPr>
        <w:t xml:space="preserve"> transferability of rights </w:t>
      </w:r>
      <w:r w:rsidR="006D18FD">
        <w:rPr>
          <w:rFonts w:eastAsia="Times New Roman" w:cstheme="minorHAnsi"/>
          <w:i/>
          <w:iCs/>
          <w:lang w:eastAsia="en-GB"/>
        </w:rPr>
        <w:t>for</w:t>
      </w:r>
      <w:r w:rsidR="009A7349" w:rsidRPr="009A7349">
        <w:rPr>
          <w:rFonts w:eastAsia="Times New Roman" w:cstheme="minorHAnsi"/>
          <w:i/>
          <w:iCs/>
          <w:lang w:eastAsia="en-GB"/>
        </w:rPr>
        <w:t xml:space="preserve"> affordable health services</w:t>
      </w:r>
      <w:r w:rsidR="004C5198">
        <w:rPr>
          <w:rFonts w:eastAsia="Times New Roman" w:cstheme="minorHAnsi"/>
          <w:i/>
          <w:iCs/>
          <w:lang w:eastAsia="en-GB"/>
        </w:rPr>
        <w:t xml:space="preserve"> must be clarified</w:t>
      </w:r>
      <w:r w:rsidR="009A7349" w:rsidRPr="009A7349">
        <w:rPr>
          <w:rFonts w:eastAsia="Times New Roman" w:cstheme="minorHAnsi"/>
          <w:i/>
          <w:iCs/>
          <w:lang w:eastAsia="en-GB"/>
        </w:rPr>
        <w:t xml:space="preserve"> and monitoring</w:t>
      </w:r>
      <w:r w:rsidR="004C5198">
        <w:rPr>
          <w:rFonts w:eastAsia="Times New Roman" w:cstheme="minorHAnsi"/>
          <w:i/>
          <w:iCs/>
          <w:lang w:eastAsia="en-GB"/>
        </w:rPr>
        <w:t xml:space="preserve"> improved</w:t>
      </w:r>
      <w:r w:rsidR="009A7349" w:rsidRPr="009A7349">
        <w:rPr>
          <w:rFonts w:eastAsia="Times New Roman" w:cstheme="minorHAnsi"/>
          <w:i/>
          <w:iCs/>
          <w:lang w:eastAsia="en-GB"/>
        </w:rPr>
        <w:t xml:space="preserve"> of national legal frameworks and obligations, including commitments to universality, non-discrimination, reimbursement of costs, waiting lists etc. </w:t>
      </w:r>
      <w:r w:rsidR="001B0334">
        <w:rPr>
          <w:rFonts w:eastAsia="Times New Roman" w:cstheme="minorHAnsi"/>
          <w:i/>
          <w:iCs/>
          <w:lang w:eastAsia="en-GB"/>
        </w:rPr>
        <w:t>P</w:t>
      </w:r>
      <w:r w:rsidR="009A7349" w:rsidRPr="009A7349">
        <w:rPr>
          <w:rFonts w:eastAsia="Times New Roman" w:cstheme="minorHAnsi"/>
          <w:i/>
          <w:iCs/>
          <w:lang w:eastAsia="en-GB"/>
        </w:rPr>
        <w:t xml:space="preserve">overty and social exclusion </w:t>
      </w:r>
      <w:r w:rsidR="001B0334">
        <w:rPr>
          <w:rFonts w:eastAsia="Times New Roman" w:cstheme="minorHAnsi"/>
          <w:i/>
          <w:iCs/>
          <w:lang w:eastAsia="en-GB"/>
        </w:rPr>
        <w:t xml:space="preserve">must be recognized </w:t>
      </w:r>
      <w:r w:rsidR="009A7349" w:rsidRPr="009A7349">
        <w:rPr>
          <w:rFonts w:eastAsia="Times New Roman" w:cstheme="minorHAnsi"/>
          <w:i/>
          <w:iCs/>
          <w:lang w:eastAsia="en-GB"/>
        </w:rPr>
        <w:t>as major social determinants of health inequality which lead</w:t>
      </w:r>
      <w:r w:rsidR="004C5198">
        <w:rPr>
          <w:rFonts w:eastAsia="Times New Roman" w:cstheme="minorHAnsi"/>
          <w:i/>
          <w:iCs/>
          <w:lang w:eastAsia="en-GB"/>
        </w:rPr>
        <w:t>s</w:t>
      </w:r>
      <w:r w:rsidR="009A7349" w:rsidRPr="009A7349">
        <w:rPr>
          <w:rFonts w:eastAsia="Times New Roman" w:cstheme="minorHAnsi"/>
          <w:i/>
          <w:iCs/>
          <w:lang w:eastAsia="en-GB"/>
        </w:rPr>
        <w:t xml:space="preserve"> to long-term social and economic costs. A full study must be made</w:t>
      </w:r>
      <w:r w:rsidR="004C5198">
        <w:rPr>
          <w:rFonts w:eastAsia="Times New Roman" w:cstheme="minorHAnsi"/>
          <w:i/>
          <w:iCs/>
          <w:lang w:eastAsia="en-GB"/>
        </w:rPr>
        <w:t xml:space="preserve"> of COVID-19 impact in relation to health inequalities and access to health and care services,</w:t>
      </w:r>
      <w:r w:rsidR="009A7349" w:rsidRPr="009A7349">
        <w:rPr>
          <w:rFonts w:eastAsia="Times New Roman" w:cstheme="minorHAnsi"/>
          <w:i/>
          <w:iCs/>
          <w:lang w:eastAsia="en-GB"/>
        </w:rPr>
        <w:t xml:space="preserve"> to assess the key factors and links to social determinants, </w:t>
      </w:r>
      <w:r w:rsidR="004C5198">
        <w:rPr>
          <w:rFonts w:eastAsia="Times New Roman" w:cstheme="minorHAnsi"/>
          <w:i/>
          <w:iCs/>
          <w:lang w:eastAsia="en-GB"/>
        </w:rPr>
        <w:t xml:space="preserve">including poverty. </w:t>
      </w:r>
      <w:r w:rsidR="009A7349" w:rsidRPr="009A7349">
        <w:rPr>
          <w:rFonts w:eastAsia="Times New Roman" w:cstheme="minorHAnsi"/>
          <w:i/>
          <w:iCs/>
          <w:lang w:eastAsia="en-GB"/>
        </w:rPr>
        <w:t>Recommendations</w:t>
      </w:r>
      <w:r w:rsidR="004C5198">
        <w:rPr>
          <w:rFonts w:eastAsia="Times New Roman" w:cstheme="minorHAnsi"/>
          <w:i/>
          <w:iCs/>
          <w:lang w:eastAsia="en-GB"/>
        </w:rPr>
        <w:t xml:space="preserve"> must be made to support investment</w:t>
      </w:r>
      <w:r w:rsidR="009A7349" w:rsidRPr="009A7349">
        <w:rPr>
          <w:rFonts w:eastAsia="Times New Roman" w:cstheme="minorHAnsi"/>
          <w:i/>
          <w:iCs/>
          <w:lang w:eastAsia="en-GB"/>
        </w:rPr>
        <w:t xml:space="preserve"> to ensure universal coverage of health and care services, as well as targeted action to compensate for inequalities</w:t>
      </w:r>
      <w:r w:rsidR="001B0334">
        <w:rPr>
          <w:rFonts w:eastAsia="Times New Roman" w:cstheme="minorHAnsi"/>
          <w:i/>
          <w:iCs/>
          <w:lang w:eastAsia="en-GB"/>
        </w:rPr>
        <w:t xml:space="preserve"> for specific groups</w:t>
      </w:r>
      <w:r w:rsidR="009A7349" w:rsidRPr="009A7349">
        <w:rPr>
          <w:rFonts w:eastAsia="Times New Roman" w:cstheme="minorHAnsi"/>
          <w:i/>
          <w:iCs/>
          <w:lang w:eastAsia="en-GB"/>
        </w:rPr>
        <w:t>.</w:t>
      </w:r>
      <w:r w:rsidR="009A7349">
        <w:rPr>
          <w:rFonts w:eastAsia="Times New Roman" w:cstheme="minorHAnsi"/>
          <w:i/>
          <w:iCs/>
          <w:lang w:eastAsia="en-GB"/>
        </w:rPr>
        <w:t xml:space="preserve"> </w:t>
      </w:r>
      <w:r w:rsidR="009A7349" w:rsidRPr="009A7349">
        <w:rPr>
          <w:rFonts w:eastAsia="Times New Roman" w:cstheme="minorHAnsi"/>
          <w:i/>
          <w:iCs/>
          <w:lang w:eastAsia="en-GB"/>
        </w:rPr>
        <w:t>The users (patient</w:t>
      </w:r>
      <w:r w:rsidR="00250FFA">
        <w:rPr>
          <w:rFonts w:eastAsia="Times New Roman" w:cstheme="minorHAnsi"/>
          <w:i/>
          <w:iCs/>
          <w:lang w:eastAsia="en-GB"/>
        </w:rPr>
        <w:t>s</w:t>
      </w:r>
      <w:r w:rsidR="009A7349" w:rsidRPr="009A7349">
        <w:rPr>
          <w:rFonts w:eastAsia="Times New Roman" w:cstheme="minorHAnsi"/>
          <w:i/>
          <w:iCs/>
          <w:lang w:eastAsia="en-GB"/>
        </w:rPr>
        <w:t>, people facing poverty and social exclusion and those currently unable to access health services) must be made key actors in the design, monitoring and support in delivery, particularly through the European Semester.</w:t>
      </w:r>
    </w:p>
    <w:p w14:paraId="24E6081B" w14:textId="7664D825" w:rsidR="009E1DB0" w:rsidRPr="009A7349" w:rsidRDefault="009E1DB0" w:rsidP="00DE0C2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
          <w:iCs/>
          <w:lang w:eastAsia="en-GB"/>
        </w:rPr>
      </w:pPr>
      <w:r w:rsidRPr="009A7349">
        <w:rPr>
          <w:rFonts w:eastAsia="Times New Roman" w:cstheme="minorHAnsi"/>
          <w:b/>
          <w:bCs/>
          <w:i/>
          <w:iCs/>
          <w:lang w:eastAsia="en-GB"/>
        </w:rPr>
        <w:t>Child poverty</w:t>
      </w:r>
      <w:r w:rsidRPr="009A7349">
        <w:rPr>
          <w:rFonts w:eastAsia="Times New Roman" w:cstheme="minorHAnsi"/>
          <w:i/>
          <w:iCs/>
          <w:lang w:eastAsia="en-GB"/>
        </w:rPr>
        <w:t xml:space="preserve"> :As partners to the </w:t>
      </w:r>
      <w:hyperlink r:id="rId21" w:history="1">
        <w:r w:rsidR="00EB4A38">
          <w:rPr>
            <w:rStyle w:val="Hyperlink"/>
            <w:rFonts w:eastAsia="Times New Roman" w:cstheme="minorHAnsi"/>
            <w:i/>
            <w:iCs/>
            <w:lang w:eastAsia="en-GB"/>
          </w:rPr>
          <w:t>I</w:t>
        </w:r>
        <w:r w:rsidRPr="009A7349">
          <w:rPr>
            <w:rStyle w:val="Hyperlink"/>
            <w:rFonts w:eastAsia="Times New Roman" w:cstheme="minorHAnsi"/>
            <w:i/>
            <w:iCs/>
            <w:lang w:eastAsia="en-GB"/>
          </w:rPr>
          <w:t>nvesting in Children Alliance joint statement</w:t>
        </w:r>
      </w:hyperlink>
      <w:r w:rsidRPr="009A7349">
        <w:rPr>
          <w:rStyle w:val="FootnoteReference"/>
          <w:rFonts w:eastAsia="Times New Roman" w:cstheme="minorHAnsi"/>
          <w:i/>
          <w:iCs/>
          <w:lang w:eastAsia="en-GB"/>
        </w:rPr>
        <w:footnoteReference w:id="12"/>
      </w:r>
      <w:r w:rsidRPr="009A7349">
        <w:rPr>
          <w:rFonts w:eastAsia="Times New Roman" w:cstheme="minorHAnsi"/>
          <w:i/>
          <w:iCs/>
          <w:lang w:eastAsia="en-GB"/>
        </w:rPr>
        <w:t>, EAPN supports the implementation of the Child Guarantee, with a Council  Recommendation</w:t>
      </w:r>
      <w:r w:rsidR="00EB4A38">
        <w:rPr>
          <w:rFonts w:eastAsia="Times New Roman" w:cstheme="minorHAnsi"/>
          <w:i/>
          <w:iCs/>
          <w:lang w:eastAsia="en-GB"/>
        </w:rPr>
        <w:t xml:space="preserve">, </w:t>
      </w:r>
      <w:r w:rsidRPr="009A7349">
        <w:rPr>
          <w:rFonts w:eastAsia="Times New Roman" w:cstheme="minorHAnsi"/>
          <w:i/>
          <w:iCs/>
          <w:lang w:eastAsia="en-GB"/>
        </w:rPr>
        <w:t>reinforcing the Investing in Children Commission Recommendation (201</w:t>
      </w:r>
      <w:r w:rsidR="00250FFA">
        <w:rPr>
          <w:rFonts w:eastAsia="Times New Roman" w:cstheme="minorHAnsi"/>
          <w:i/>
          <w:iCs/>
          <w:lang w:eastAsia="en-GB"/>
        </w:rPr>
        <w:t>3</w:t>
      </w:r>
      <w:r w:rsidRPr="009A7349">
        <w:rPr>
          <w:rFonts w:eastAsia="Times New Roman" w:cstheme="minorHAnsi"/>
          <w:i/>
          <w:iCs/>
          <w:lang w:eastAsia="en-GB"/>
        </w:rPr>
        <w:t>), recognizing the multidimensionality of poverty and framing the Recommendation within an integrated</w:t>
      </w:r>
      <w:r w:rsidR="00EB4A38">
        <w:rPr>
          <w:rFonts w:eastAsia="Times New Roman" w:cstheme="minorHAnsi"/>
          <w:i/>
          <w:iCs/>
          <w:lang w:eastAsia="en-GB"/>
        </w:rPr>
        <w:t xml:space="preserve"> antipoverty</w:t>
      </w:r>
      <w:r w:rsidRPr="009A7349">
        <w:rPr>
          <w:rFonts w:eastAsia="Times New Roman" w:cstheme="minorHAnsi"/>
          <w:i/>
          <w:iCs/>
          <w:lang w:eastAsia="en-GB"/>
        </w:rPr>
        <w:t xml:space="preserve"> approach tackling the needs of children and their carers/parents</w:t>
      </w:r>
      <w:r w:rsidR="00EB4A38">
        <w:rPr>
          <w:rFonts w:eastAsia="Times New Roman" w:cstheme="minorHAnsi"/>
          <w:i/>
          <w:iCs/>
          <w:lang w:eastAsia="en-GB"/>
        </w:rPr>
        <w:t xml:space="preserve">: </w:t>
      </w:r>
      <w:r w:rsidRPr="009A7349">
        <w:rPr>
          <w:rFonts w:eastAsia="Times New Roman" w:cstheme="minorHAnsi"/>
          <w:i/>
          <w:iCs/>
          <w:lang w:eastAsia="en-GB"/>
        </w:rPr>
        <w:t>( 1) Access to adequate resources and benefit</w:t>
      </w:r>
      <w:r w:rsidR="00250FFA">
        <w:rPr>
          <w:rFonts w:eastAsia="Times New Roman" w:cstheme="minorHAnsi"/>
          <w:i/>
          <w:iCs/>
          <w:lang w:eastAsia="en-GB"/>
        </w:rPr>
        <w:t>s</w:t>
      </w:r>
      <w:r w:rsidRPr="009A7349">
        <w:rPr>
          <w:rFonts w:eastAsia="Times New Roman" w:cstheme="minorHAnsi"/>
          <w:i/>
          <w:iCs/>
          <w:lang w:eastAsia="en-GB"/>
        </w:rPr>
        <w:t xml:space="preserve">. 2) Access to affordable, </w:t>
      </w:r>
      <w:proofErr w:type="gramStart"/>
      <w:r w:rsidRPr="009A7349">
        <w:rPr>
          <w:rFonts w:eastAsia="Times New Roman" w:cstheme="minorHAnsi"/>
          <w:i/>
          <w:iCs/>
          <w:lang w:eastAsia="en-GB"/>
        </w:rPr>
        <w:t>quality</w:t>
      </w:r>
      <w:proofErr w:type="gramEnd"/>
      <w:r w:rsidRPr="009A7349">
        <w:rPr>
          <w:rFonts w:eastAsia="Times New Roman" w:cstheme="minorHAnsi"/>
          <w:i/>
          <w:iCs/>
          <w:lang w:eastAsia="en-GB"/>
        </w:rPr>
        <w:t xml:space="preserve"> and inclusive services, 3) Children’s right to participate in cultural and recreational activities and in decisions made for their lives).</w:t>
      </w:r>
      <w:r w:rsidR="00250FFA">
        <w:rPr>
          <w:rFonts w:eastAsia="Times New Roman" w:cstheme="minorHAnsi"/>
          <w:i/>
          <w:iCs/>
          <w:lang w:eastAsia="en-GB"/>
        </w:rPr>
        <w:t xml:space="preserve"> </w:t>
      </w:r>
      <w:r w:rsidRPr="009A7349">
        <w:rPr>
          <w:rFonts w:eastAsia="Times New Roman" w:cstheme="minorHAnsi"/>
          <w:i/>
          <w:iCs/>
          <w:lang w:eastAsia="en-GB"/>
        </w:rPr>
        <w:t>Ensuring that the Council Recommendation has a clear implementation plan to ensure effective monitoring and is properly financed and interconnected to other EU financial instruments beyond ESF+.</w:t>
      </w:r>
    </w:p>
    <w:p w14:paraId="6F6462C8" w14:textId="77777777" w:rsidR="009E1DB0" w:rsidRPr="003C503C" w:rsidRDefault="009E1DB0" w:rsidP="00DE0C27">
      <w:pPr>
        <w:pBdr>
          <w:top w:val="single" w:sz="4" w:space="1" w:color="auto"/>
          <w:left w:val="single" w:sz="4" w:space="4" w:color="auto"/>
          <w:bottom w:val="single" w:sz="4" w:space="1" w:color="auto"/>
          <w:right w:val="single" w:sz="4" w:space="4" w:color="auto"/>
        </w:pBdr>
        <w:jc w:val="both"/>
        <w:rPr>
          <w:b/>
          <w:bCs/>
          <w:i/>
          <w:iCs/>
        </w:rPr>
      </w:pPr>
    </w:p>
    <w:p w14:paraId="5BF66AEE" w14:textId="16194B9D" w:rsidR="00534E49" w:rsidRDefault="00534E49" w:rsidP="00DE0C27">
      <w:pPr>
        <w:pBdr>
          <w:top w:val="single" w:sz="4" w:space="1" w:color="auto"/>
          <w:left w:val="single" w:sz="4" w:space="4" w:color="auto"/>
          <w:bottom w:val="single" w:sz="4" w:space="1" w:color="auto"/>
          <w:right w:val="single" w:sz="4" w:space="4" w:color="auto"/>
        </w:pBdr>
        <w:rPr>
          <w:b/>
          <w:bCs/>
          <w:i/>
          <w:iCs/>
          <w:u w:val="single"/>
        </w:rPr>
      </w:pPr>
      <w:r w:rsidRPr="00EB4A38">
        <w:rPr>
          <w:b/>
          <w:bCs/>
          <w:i/>
          <w:iCs/>
          <w:u w:val="single"/>
        </w:rPr>
        <w:t>Principle 1: Education, Training and Life-long learning</w:t>
      </w:r>
      <w:r w:rsidR="00EB4A38">
        <w:rPr>
          <w:b/>
          <w:bCs/>
          <w:i/>
          <w:iCs/>
          <w:u w:val="single"/>
        </w:rPr>
        <w:t>-</w:t>
      </w:r>
      <w:r w:rsidRPr="00EB4A38">
        <w:rPr>
          <w:b/>
          <w:bCs/>
          <w:i/>
          <w:iCs/>
          <w:u w:val="single"/>
        </w:rPr>
        <w:t xml:space="preserve"> SDG 4.</w:t>
      </w:r>
    </w:p>
    <w:p w14:paraId="5CB0DC04" w14:textId="753A5A53" w:rsidR="00EB4A38" w:rsidRPr="00DE0C27" w:rsidRDefault="00EB4A38" w:rsidP="00DE0C27">
      <w:pPr>
        <w:pBdr>
          <w:top w:val="single" w:sz="4" w:space="1" w:color="auto"/>
          <w:left w:val="single" w:sz="4" w:space="4" w:color="auto"/>
          <w:bottom w:val="single" w:sz="4" w:space="1" w:color="auto"/>
          <w:right w:val="single" w:sz="4" w:space="4" w:color="auto"/>
        </w:pBdr>
        <w:spacing w:after="0"/>
        <w:contextualSpacing/>
        <w:jc w:val="both"/>
        <w:rPr>
          <w:i/>
          <w:iCs/>
        </w:rPr>
      </w:pPr>
      <w:r w:rsidRPr="00DE0C27">
        <w:rPr>
          <w:rFonts w:eastAsia="Times New Roman" w:cs="Calibri"/>
          <w:b/>
          <w:i/>
          <w:iCs/>
          <w:lang w:eastAsia="ar-SA"/>
        </w:rPr>
        <w:t>Soft Instruments</w:t>
      </w:r>
      <w:r w:rsidR="004C5198">
        <w:rPr>
          <w:rFonts w:eastAsia="Times New Roman" w:cs="Calibri"/>
          <w:bCs/>
          <w:i/>
          <w:iCs/>
          <w:lang w:eastAsia="ar-SA"/>
        </w:rPr>
        <w:t xml:space="preserve">: </w:t>
      </w:r>
      <w:r w:rsidR="00741E67">
        <w:rPr>
          <w:rFonts w:eastAsia="Times New Roman" w:cs="Calibri"/>
          <w:bCs/>
          <w:i/>
          <w:iCs/>
          <w:lang w:eastAsia="ar-SA"/>
        </w:rPr>
        <w:t xml:space="preserve">The </w:t>
      </w:r>
      <w:r w:rsidRPr="00DE0C27">
        <w:rPr>
          <w:rFonts w:eastAsia="Times New Roman" w:cs="Calibri"/>
          <w:bCs/>
          <w:i/>
          <w:iCs/>
          <w:lang w:eastAsia="ar-SA"/>
        </w:rPr>
        <w:t>right</w:t>
      </w:r>
      <w:r w:rsidR="00DE0C27">
        <w:rPr>
          <w:rFonts w:eastAsia="Times New Roman" w:cs="Calibri"/>
          <w:bCs/>
          <w:i/>
          <w:iCs/>
          <w:lang w:eastAsia="ar-SA"/>
        </w:rPr>
        <w:t xml:space="preserve"> to universal, </w:t>
      </w:r>
      <w:r w:rsidRPr="00DE0C27">
        <w:rPr>
          <w:rFonts w:eastAsia="Times New Roman" w:cs="Calibri"/>
          <w:bCs/>
          <w:i/>
          <w:iCs/>
          <w:lang w:eastAsia="ar-SA"/>
        </w:rPr>
        <w:t>quality a</w:t>
      </w:r>
      <w:r w:rsidR="00DE0C27">
        <w:rPr>
          <w:rFonts w:eastAsia="Times New Roman" w:cs="Calibri"/>
          <w:bCs/>
          <w:i/>
          <w:iCs/>
          <w:lang w:eastAsia="ar-SA"/>
        </w:rPr>
        <w:t>n</w:t>
      </w:r>
      <w:r w:rsidRPr="00DE0C27">
        <w:rPr>
          <w:rFonts w:eastAsia="Times New Roman" w:cs="Calibri"/>
          <w:bCs/>
          <w:i/>
          <w:iCs/>
          <w:lang w:eastAsia="ar-SA"/>
        </w:rPr>
        <w:t xml:space="preserve">d affordable education, VET and LLL throughout the life course, </w:t>
      </w:r>
      <w:r w:rsidR="00741E67">
        <w:rPr>
          <w:rFonts w:eastAsia="Times New Roman" w:cs="Calibri"/>
          <w:bCs/>
          <w:i/>
          <w:iCs/>
          <w:lang w:eastAsia="ar-SA"/>
        </w:rPr>
        <w:t xml:space="preserve">must be systematically implemented in the European Semester, </w:t>
      </w:r>
      <w:r w:rsidRPr="00DE0C27">
        <w:rPr>
          <w:rFonts w:eastAsia="Times New Roman" w:cs="Calibri"/>
          <w:bCs/>
          <w:i/>
          <w:iCs/>
          <w:lang w:eastAsia="ar-SA"/>
        </w:rPr>
        <w:t xml:space="preserve">prioritising CSRs for those MS which have made low progress or have major problems with ensuring equal treatment for poor, or excluded groups. </w:t>
      </w:r>
      <w:r w:rsidR="004C5198">
        <w:rPr>
          <w:rFonts w:eastAsia="Times New Roman" w:cs="Calibri"/>
          <w:bCs/>
          <w:i/>
          <w:iCs/>
          <w:lang w:eastAsia="ar-SA"/>
        </w:rPr>
        <w:t xml:space="preserve">Dedicated funding to support investments in </w:t>
      </w:r>
      <w:r w:rsidR="004C5198" w:rsidRPr="00DE0C27">
        <w:rPr>
          <w:rFonts w:eastAsia="Times New Roman" w:cs="Calibri"/>
          <w:bCs/>
          <w:i/>
          <w:iCs/>
          <w:lang w:eastAsia="ar-SA"/>
        </w:rPr>
        <w:t>more inclusive education systems, informal and non-formal education in particular for NEETs and adult learners</w:t>
      </w:r>
      <w:r w:rsidR="00741E67">
        <w:rPr>
          <w:rFonts w:eastAsia="Times New Roman" w:cs="Calibri"/>
          <w:bCs/>
          <w:i/>
          <w:iCs/>
          <w:lang w:eastAsia="ar-SA"/>
        </w:rPr>
        <w:t>,</w:t>
      </w:r>
      <w:r w:rsidR="004C5198" w:rsidRPr="00DE0C27">
        <w:rPr>
          <w:rFonts w:eastAsia="Times New Roman" w:cs="Calibri"/>
          <w:bCs/>
          <w:i/>
          <w:iCs/>
          <w:lang w:eastAsia="ar-SA"/>
        </w:rPr>
        <w:t xml:space="preserve"> accessibility, awareness raising and anti-discrimination measures</w:t>
      </w:r>
      <w:r w:rsidR="004C5198">
        <w:rPr>
          <w:rFonts w:eastAsia="Times New Roman" w:cs="Calibri"/>
          <w:bCs/>
          <w:i/>
          <w:iCs/>
          <w:lang w:eastAsia="ar-SA"/>
        </w:rPr>
        <w:t xml:space="preserve"> must be included</w:t>
      </w:r>
      <w:r w:rsidRPr="00DE0C27">
        <w:rPr>
          <w:rFonts w:eastAsia="Times New Roman" w:cs="Calibri"/>
          <w:bCs/>
          <w:i/>
          <w:iCs/>
          <w:lang w:eastAsia="ar-SA"/>
        </w:rPr>
        <w:t xml:space="preserve"> in the Multi-Annual Financial Framework </w:t>
      </w:r>
      <w:r w:rsidRPr="00DE0C27">
        <w:rPr>
          <w:rFonts w:eastAsia="Times New Roman" w:cs="Calibri"/>
          <w:bCs/>
          <w:i/>
          <w:iCs/>
          <w:lang w:eastAsia="ar-SA"/>
        </w:rPr>
        <w:lastRenderedPageBreak/>
        <w:t>(MFF) and more specifically in the ESF+</w:t>
      </w:r>
      <w:r w:rsidR="004C5198">
        <w:rPr>
          <w:rFonts w:eastAsia="Times New Roman" w:cs="Calibri"/>
          <w:bCs/>
          <w:i/>
          <w:iCs/>
          <w:lang w:eastAsia="ar-SA"/>
        </w:rPr>
        <w:t xml:space="preserve">. </w:t>
      </w:r>
      <w:r w:rsidRPr="00DE0C27">
        <w:rPr>
          <w:rFonts w:eastAsia="Times New Roman" w:cs="Calibri"/>
          <w:bCs/>
          <w:i/>
          <w:iCs/>
          <w:lang w:eastAsia="ar-SA"/>
        </w:rPr>
        <w:t>Introduce socio-economic background as grounds for discrimination with disaggregated data. Redefine higher targets for early school leavers and NEETs, including quality of support</w:t>
      </w:r>
      <w:r w:rsidR="00741E67">
        <w:rPr>
          <w:rFonts w:eastAsia="Times New Roman" w:cs="Calibri"/>
          <w:bCs/>
          <w:i/>
          <w:iCs/>
          <w:lang w:eastAsia="ar-SA"/>
        </w:rPr>
        <w:t xml:space="preserve"> and e</w:t>
      </w:r>
      <w:r w:rsidRPr="00DE0C27">
        <w:rPr>
          <w:rFonts w:eastAsia="Times New Roman" w:cs="Calibri"/>
          <w:bCs/>
          <w:i/>
          <w:iCs/>
          <w:lang w:eastAsia="ar-SA"/>
        </w:rPr>
        <w:t>nsure adequate investment to meet the needs of those requiring support with basic literacy and numeracy</w:t>
      </w:r>
      <w:r w:rsidR="00DE0C27">
        <w:rPr>
          <w:rFonts w:eastAsia="Times New Roman" w:cs="Calibri"/>
          <w:bCs/>
          <w:i/>
          <w:iCs/>
          <w:lang w:eastAsia="ar-SA"/>
        </w:rPr>
        <w:t xml:space="preserve">. </w:t>
      </w:r>
      <w:r w:rsidR="00DE0C27" w:rsidRPr="00DE0C27">
        <w:rPr>
          <w:rFonts w:eastAsia="Times New Roman" w:cs="Times New Roman"/>
          <w:i/>
          <w:iCs/>
          <w:lang w:eastAsia="ar-SA"/>
        </w:rPr>
        <w:t>U</w:t>
      </w:r>
      <w:r w:rsidRPr="00DE0C27">
        <w:rPr>
          <w:i/>
          <w:iCs/>
          <w:szCs w:val="24"/>
        </w:rPr>
        <w:t>pdate an EU-wide inventory of existing systems and procedures to validate non-formal education, training and life skills as the basis to elaborate recommendations to EU MS with non-existing or underdeveloped validation systems</w:t>
      </w:r>
      <w:r w:rsidR="00741E67">
        <w:rPr>
          <w:i/>
          <w:iCs/>
          <w:szCs w:val="24"/>
        </w:rPr>
        <w:t>, including</w:t>
      </w:r>
      <w:r w:rsidR="00DE0C27" w:rsidRPr="00DE0C27">
        <w:rPr>
          <w:rFonts w:eastAsia="Times New Roman" w:cs="Calibri"/>
          <w:bCs/>
          <w:i/>
          <w:iCs/>
          <w:lang w:eastAsia="ar-SA"/>
        </w:rPr>
        <w:t xml:space="preserve"> action on non-formal education in the EEA. </w:t>
      </w:r>
      <w:r w:rsidRPr="00DE0C27">
        <w:rPr>
          <w:i/>
          <w:iCs/>
          <w:szCs w:val="24"/>
        </w:rPr>
        <w:t xml:space="preserve">Better target EU funds to support lifelong learning from a broader perspective than labour market needs, for example through implementing enabling conditionalities in the </w:t>
      </w:r>
      <w:r w:rsidRPr="00DE0C27">
        <w:rPr>
          <w:rFonts w:cs="Calibri"/>
          <w:bCs/>
          <w:i/>
          <w:iCs/>
        </w:rPr>
        <w:t>European Social Fund/ESF+</w:t>
      </w:r>
      <w:r w:rsidR="00DE0C27" w:rsidRPr="00DE0C27">
        <w:rPr>
          <w:i/>
          <w:iCs/>
          <w:szCs w:val="24"/>
        </w:rPr>
        <w:t xml:space="preserve">  prioritiz</w:t>
      </w:r>
      <w:r w:rsidR="00741E67">
        <w:rPr>
          <w:i/>
          <w:iCs/>
          <w:szCs w:val="24"/>
        </w:rPr>
        <w:t>ing</w:t>
      </w:r>
      <w:r w:rsidR="00DE0C27" w:rsidRPr="00DE0C27">
        <w:rPr>
          <w:i/>
          <w:iCs/>
          <w:szCs w:val="24"/>
        </w:rPr>
        <w:t xml:space="preserve"> funding </w:t>
      </w:r>
      <w:r w:rsidR="00DE0C27" w:rsidRPr="00DE0C27">
        <w:rPr>
          <w:rFonts w:eastAsia="Times New Roman" w:cs="Times New Roman"/>
          <w:i/>
          <w:iCs/>
          <w:lang w:eastAsia="ar-SA"/>
        </w:rPr>
        <w:t xml:space="preserve">aimed at </w:t>
      </w:r>
      <w:r w:rsidRPr="00DE0C27">
        <w:rPr>
          <w:rFonts w:eastAsia="Times New Roman" w:cs="Times New Roman"/>
          <w:i/>
          <w:iCs/>
          <w:lang w:eastAsia="ar-SA"/>
        </w:rPr>
        <w:t>those with the lowest level of educational attainment, in adult literacy, as well as those from low income families or suffering from discrimination</w:t>
      </w:r>
      <w:r w:rsidR="00DE0C27" w:rsidRPr="00DE0C27">
        <w:rPr>
          <w:rFonts w:eastAsia="Times New Roman" w:cs="Times New Roman"/>
          <w:i/>
          <w:iCs/>
          <w:lang w:eastAsia="ar-SA"/>
        </w:rPr>
        <w:t>. E</w:t>
      </w:r>
      <w:r w:rsidRPr="00DE0C27">
        <w:rPr>
          <w:i/>
          <w:iCs/>
        </w:rPr>
        <w:t xml:space="preserve">xpand use of EU funding from ESF+ to co-finance language and integration courses for migrant workers, refugees and asylum seekers </w:t>
      </w:r>
      <w:r w:rsidR="00DE0C27" w:rsidRPr="00DE0C27">
        <w:rPr>
          <w:i/>
          <w:iCs/>
        </w:rPr>
        <w:t xml:space="preserve">and </w:t>
      </w:r>
      <w:r w:rsidRPr="00DE0C27">
        <w:rPr>
          <w:i/>
          <w:iCs/>
        </w:rPr>
        <w:t>support measures for the educational attainment and social inclusion of Roma children and to overcome segregation and discrimination.</w:t>
      </w:r>
      <w:r w:rsidR="00DE0C27" w:rsidRPr="00DE0C27">
        <w:rPr>
          <w:rFonts w:eastAsia="Times New Roman" w:cs="Times New Roman"/>
          <w:i/>
          <w:iCs/>
          <w:lang w:eastAsia="ar-SA"/>
        </w:rPr>
        <w:t xml:space="preserve"> Ensure the active participation of children, youth and adults in educational systems and services as well as in dialogue processes to develop and monitor educational and training policies.</w:t>
      </w:r>
    </w:p>
    <w:p w14:paraId="07F563CB" w14:textId="77777777" w:rsidR="00EB4A38" w:rsidRPr="00DE0C27" w:rsidRDefault="00EB4A38" w:rsidP="00EB4A38">
      <w:pPr>
        <w:spacing w:after="0"/>
        <w:contextualSpacing/>
        <w:jc w:val="both"/>
        <w:rPr>
          <w:rFonts w:eastAsia="Times New Roman" w:cs="Times New Roman"/>
          <w:i/>
          <w:iCs/>
          <w:lang w:eastAsia="ar-SA"/>
        </w:rPr>
      </w:pPr>
    </w:p>
    <w:bookmarkEnd w:id="0"/>
    <w:p w14:paraId="6C020A28" w14:textId="77777777" w:rsidR="00EB4A38" w:rsidRPr="00DE0C27" w:rsidRDefault="00EB4A38" w:rsidP="00EB4A38">
      <w:pPr>
        <w:spacing w:after="0"/>
        <w:contextualSpacing/>
        <w:jc w:val="both"/>
        <w:rPr>
          <w:rFonts w:eastAsia="Times New Roman" w:cs="Times New Roman"/>
          <w:i/>
          <w:iCs/>
          <w:lang w:eastAsia="ar-SA"/>
        </w:rPr>
      </w:pPr>
    </w:p>
    <w:p w14:paraId="252A9D7B" w14:textId="0BC57DA2" w:rsidR="0067058C" w:rsidRPr="000E3C68" w:rsidRDefault="000C46B7" w:rsidP="001615ED">
      <w:pPr>
        <w:jc w:val="both"/>
        <w:rPr>
          <w:b/>
          <w:bCs/>
          <w:sz w:val="28"/>
          <w:szCs w:val="28"/>
        </w:rPr>
      </w:pPr>
      <w:r>
        <w:rPr>
          <w:b/>
          <w:bCs/>
          <w:sz w:val="28"/>
          <w:szCs w:val="28"/>
        </w:rPr>
        <w:t>3</w:t>
      </w:r>
      <w:r w:rsidR="00B03107">
        <w:rPr>
          <w:b/>
          <w:bCs/>
          <w:sz w:val="28"/>
          <w:szCs w:val="28"/>
        </w:rPr>
        <w:t xml:space="preserve">. </w:t>
      </w:r>
      <w:r w:rsidR="0067058C" w:rsidRPr="000E3C68">
        <w:rPr>
          <w:b/>
          <w:bCs/>
          <w:sz w:val="28"/>
          <w:szCs w:val="28"/>
        </w:rPr>
        <w:t xml:space="preserve">Overarching </w:t>
      </w:r>
      <w:r w:rsidR="004B6011">
        <w:rPr>
          <w:b/>
          <w:bCs/>
          <w:sz w:val="28"/>
          <w:szCs w:val="28"/>
        </w:rPr>
        <w:t xml:space="preserve">EU </w:t>
      </w:r>
      <w:r>
        <w:rPr>
          <w:b/>
          <w:bCs/>
          <w:sz w:val="28"/>
          <w:szCs w:val="28"/>
        </w:rPr>
        <w:t>pre-requisites</w:t>
      </w:r>
      <w:r w:rsidR="00CD7DBE">
        <w:rPr>
          <w:b/>
          <w:bCs/>
          <w:sz w:val="28"/>
          <w:szCs w:val="28"/>
        </w:rPr>
        <w:t xml:space="preserve"> – detailed proposals</w:t>
      </w:r>
    </w:p>
    <w:p w14:paraId="2A4D4186" w14:textId="59B17F5E" w:rsidR="009154C1" w:rsidRDefault="000C46B7" w:rsidP="00276C53">
      <w:pPr>
        <w:pStyle w:val="ListParagraph"/>
        <w:ind w:left="0"/>
        <w:jc w:val="both"/>
        <w:rPr>
          <w:b/>
          <w:bCs/>
          <w:sz w:val="24"/>
          <w:szCs w:val="24"/>
        </w:rPr>
      </w:pPr>
      <w:r>
        <w:rPr>
          <w:b/>
          <w:bCs/>
          <w:sz w:val="24"/>
          <w:szCs w:val="24"/>
        </w:rPr>
        <w:t>3</w:t>
      </w:r>
      <w:r w:rsidR="005E2176">
        <w:rPr>
          <w:b/>
          <w:bCs/>
          <w:sz w:val="24"/>
          <w:szCs w:val="24"/>
        </w:rPr>
        <w:t xml:space="preserve">.1 </w:t>
      </w:r>
      <w:r w:rsidR="005B3C3A">
        <w:rPr>
          <w:b/>
          <w:bCs/>
          <w:sz w:val="24"/>
          <w:szCs w:val="24"/>
        </w:rPr>
        <w:t>Support</w:t>
      </w:r>
      <w:r w:rsidR="00EC082E" w:rsidRPr="009154C1">
        <w:rPr>
          <w:b/>
          <w:bCs/>
          <w:sz w:val="24"/>
          <w:szCs w:val="24"/>
        </w:rPr>
        <w:t xml:space="preserve"> short-term responses to COVID-19</w:t>
      </w:r>
      <w:r w:rsidR="005B3C3A">
        <w:rPr>
          <w:b/>
          <w:bCs/>
          <w:sz w:val="24"/>
          <w:szCs w:val="24"/>
        </w:rPr>
        <w:t xml:space="preserve"> and ensure they</w:t>
      </w:r>
      <w:r w:rsidR="00EC082E" w:rsidRPr="009154C1">
        <w:rPr>
          <w:b/>
          <w:bCs/>
          <w:sz w:val="24"/>
          <w:szCs w:val="24"/>
        </w:rPr>
        <w:t xml:space="preserve"> lead to long-term reductions in poverty and inequalit</w:t>
      </w:r>
      <w:r w:rsidR="00B03107">
        <w:rPr>
          <w:b/>
          <w:bCs/>
          <w:sz w:val="24"/>
          <w:szCs w:val="24"/>
        </w:rPr>
        <w:t>y</w:t>
      </w:r>
    </w:p>
    <w:p w14:paraId="097018B0" w14:textId="77777777" w:rsidR="00E47DEA" w:rsidRPr="009154C1" w:rsidRDefault="00E47DEA" w:rsidP="00276C53">
      <w:pPr>
        <w:pStyle w:val="ListParagraph"/>
        <w:ind w:left="0"/>
        <w:jc w:val="both"/>
      </w:pPr>
    </w:p>
    <w:p w14:paraId="22BC5DB8" w14:textId="2BA40644" w:rsidR="00EC082E" w:rsidRDefault="009154C1" w:rsidP="009154C1">
      <w:pPr>
        <w:pStyle w:val="ListParagraph"/>
        <w:numPr>
          <w:ilvl w:val="0"/>
          <w:numId w:val="26"/>
        </w:numPr>
        <w:jc w:val="both"/>
      </w:pPr>
      <w:r>
        <w:t>C</w:t>
      </w:r>
      <w:r w:rsidR="00BC3318" w:rsidRPr="009154C1">
        <w:t xml:space="preserve">arry out </w:t>
      </w:r>
      <w:r w:rsidR="00276C53">
        <w:t xml:space="preserve">a </w:t>
      </w:r>
      <w:r w:rsidRPr="00276C53">
        <w:rPr>
          <w:b/>
          <w:bCs/>
        </w:rPr>
        <w:t xml:space="preserve">poverty/social </w:t>
      </w:r>
      <w:r w:rsidR="00BC3318" w:rsidRPr="00276C53">
        <w:rPr>
          <w:b/>
          <w:bCs/>
        </w:rPr>
        <w:t xml:space="preserve">impact assessment </w:t>
      </w:r>
      <w:r w:rsidR="00BC3318" w:rsidRPr="00250FFA">
        <w:t xml:space="preserve">to </w:t>
      </w:r>
      <w:r w:rsidR="00BC3318" w:rsidRPr="009154C1">
        <w:t>ascertain which groups are hardest hit, and provid</w:t>
      </w:r>
      <w:r>
        <w:t>e</w:t>
      </w:r>
      <w:r w:rsidR="00BC3318" w:rsidRPr="009154C1">
        <w:t xml:space="preserve"> effective immediate and long-term support;</w:t>
      </w:r>
      <w:r w:rsidR="00EC082E" w:rsidRPr="009154C1">
        <w:t xml:space="preserve"> priorit</w:t>
      </w:r>
      <w:r w:rsidR="005B3C3A">
        <w:t>ize</w:t>
      </w:r>
      <w:r w:rsidR="00EC082E" w:rsidRPr="009154C1">
        <w:t xml:space="preserve"> investment in welfare states (universal public health</w:t>
      </w:r>
      <w:r w:rsidRPr="009154C1">
        <w:t xml:space="preserve"> and social care</w:t>
      </w:r>
      <w:r w:rsidR="00EC082E" w:rsidRPr="009154C1">
        <w:t xml:space="preserve"> systems, adequate</w:t>
      </w:r>
      <w:r w:rsidRPr="009154C1">
        <w:t xml:space="preserve"> minimum income and</w:t>
      </w:r>
      <w:r w:rsidR="00EC082E" w:rsidRPr="009154C1">
        <w:t xml:space="preserve"> social protection), quality jobs and essential services</w:t>
      </w:r>
      <w:r w:rsidR="003E19B8">
        <w:t xml:space="preserve"> with </w:t>
      </w:r>
      <w:r w:rsidR="00BC3318" w:rsidRPr="009154C1">
        <w:t xml:space="preserve">access to </w:t>
      </w:r>
      <w:r w:rsidR="00EC082E" w:rsidRPr="009154C1">
        <w:t>affordable social housing!</w:t>
      </w:r>
      <w:r w:rsidRPr="009154C1">
        <w:t xml:space="preserve"> </w:t>
      </w:r>
      <w:r w:rsidR="00BC3318" w:rsidRPr="009154C1">
        <w:t>(</w:t>
      </w:r>
      <w:r w:rsidR="00EC082E" w:rsidRPr="009154C1">
        <w:rPr>
          <w:b/>
          <w:bCs/>
        </w:rPr>
        <w:t xml:space="preserve">See EAPN </w:t>
      </w:r>
      <w:hyperlink r:id="rId22" w:history="1">
        <w:r w:rsidR="00EC082E" w:rsidRPr="009154C1">
          <w:rPr>
            <w:rStyle w:val="Hyperlink"/>
            <w:b/>
            <w:bCs/>
          </w:rPr>
          <w:t>letter to Vice President Dombrov</w:t>
        </w:r>
        <w:r w:rsidR="002D4559" w:rsidRPr="009154C1">
          <w:rPr>
            <w:rStyle w:val="Hyperlink"/>
            <w:b/>
            <w:bCs/>
          </w:rPr>
          <w:t>sk</w:t>
        </w:r>
        <w:r>
          <w:rPr>
            <w:rStyle w:val="Hyperlink"/>
            <w:b/>
            <w:bCs/>
          </w:rPr>
          <w:t>is</w:t>
        </w:r>
        <w:r w:rsidR="00EC082E" w:rsidRPr="009154C1">
          <w:rPr>
            <w:rStyle w:val="Hyperlink"/>
            <w:b/>
            <w:bCs/>
          </w:rPr>
          <w:t xml:space="preserve"> here.</w:t>
        </w:r>
      </w:hyperlink>
      <w:r w:rsidR="00BC3318" w:rsidRPr="009154C1">
        <w:rPr>
          <w:b/>
          <w:bCs/>
        </w:rPr>
        <w:t xml:space="preserve">) </w:t>
      </w:r>
      <w:r w:rsidR="00BC3318" w:rsidRPr="009154C1">
        <w:t xml:space="preserve">The avoidance of the mistakes of the 2008 crisis imposing austerity measures must be explicitly backed, if poverty and inequality </w:t>
      </w:r>
      <w:r>
        <w:t>are not to be drastically increased</w:t>
      </w:r>
      <w:r w:rsidR="00BC3318" w:rsidRPr="009154C1">
        <w:t>.</w:t>
      </w:r>
    </w:p>
    <w:p w14:paraId="3522B0ED" w14:textId="0A90CBAC" w:rsidR="0067058C" w:rsidRPr="00276C53" w:rsidRDefault="00276C53" w:rsidP="00276C53">
      <w:pPr>
        <w:jc w:val="both"/>
        <w:rPr>
          <w:b/>
          <w:bCs/>
          <w:sz w:val="24"/>
          <w:szCs w:val="24"/>
        </w:rPr>
      </w:pPr>
      <w:r>
        <w:rPr>
          <w:b/>
          <w:bCs/>
          <w:sz w:val="24"/>
          <w:szCs w:val="24"/>
        </w:rPr>
        <w:t>3</w:t>
      </w:r>
      <w:r w:rsidR="005E2176" w:rsidRPr="00276C53">
        <w:rPr>
          <w:b/>
          <w:bCs/>
          <w:sz w:val="24"/>
          <w:szCs w:val="24"/>
        </w:rPr>
        <w:t xml:space="preserve">.2 </w:t>
      </w:r>
      <w:r w:rsidR="009154C1" w:rsidRPr="00276C53">
        <w:rPr>
          <w:b/>
          <w:bCs/>
          <w:sz w:val="24"/>
          <w:szCs w:val="24"/>
        </w:rPr>
        <w:t xml:space="preserve">Promote </w:t>
      </w:r>
      <w:r w:rsidR="005E2176" w:rsidRPr="00276C53">
        <w:rPr>
          <w:b/>
          <w:bCs/>
          <w:sz w:val="24"/>
          <w:szCs w:val="24"/>
        </w:rPr>
        <w:t xml:space="preserve">a </w:t>
      </w:r>
      <w:r w:rsidR="009154C1" w:rsidRPr="00276C53">
        <w:rPr>
          <w:b/>
          <w:bCs/>
          <w:sz w:val="24"/>
          <w:szCs w:val="24"/>
        </w:rPr>
        <w:t>c</w:t>
      </w:r>
      <w:r w:rsidR="0067058C" w:rsidRPr="00276C53">
        <w:rPr>
          <w:b/>
          <w:bCs/>
          <w:sz w:val="24"/>
          <w:szCs w:val="24"/>
        </w:rPr>
        <w:t>oherent</w:t>
      </w:r>
      <w:r w:rsidR="000B1A8D" w:rsidRPr="00276C53">
        <w:rPr>
          <w:b/>
          <w:bCs/>
          <w:sz w:val="24"/>
          <w:szCs w:val="24"/>
        </w:rPr>
        <w:t xml:space="preserve"> </w:t>
      </w:r>
      <w:r w:rsidR="00960EB6" w:rsidRPr="00276C53">
        <w:rPr>
          <w:b/>
          <w:bCs/>
          <w:sz w:val="24"/>
          <w:szCs w:val="24"/>
        </w:rPr>
        <w:t xml:space="preserve">Europe 2030 Strategy </w:t>
      </w:r>
      <w:r w:rsidR="005E2176" w:rsidRPr="00276C53">
        <w:rPr>
          <w:b/>
          <w:bCs/>
          <w:sz w:val="24"/>
          <w:szCs w:val="24"/>
        </w:rPr>
        <w:t>–</w:t>
      </w:r>
      <w:r w:rsidR="00960EB6" w:rsidRPr="00276C53">
        <w:rPr>
          <w:b/>
          <w:bCs/>
          <w:sz w:val="24"/>
          <w:szCs w:val="24"/>
        </w:rPr>
        <w:t xml:space="preserve"> a</w:t>
      </w:r>
      <w:r w:rsidR="0067058C" w:rsidRPr="00276C53">
        <w:rPr>
          <w:b/>
          <w:bCs/>
          <w:sz w:val="24"/>
          <w:szCs w:val="24"/>
        </w:rPr>
        <w:t xml:space="preserve"> </w:t>
      </w:r>
      <w:r w:rsidR="00BB7A26" w:rsidRPr="00276C53">
        <w:rPr>
          <w:b/>
          <w:bCs/>
          <w:sz w:val="24"/>
          <w:szCs w:val="24"/>
        </w:rPr>
        <w:t>S</w:t>
      </w:r>
      <w:r w:rsidR="0067058C" w:rsidRPr="00276C53">
        <w:rPr>
          <w:b/>
          <w:bCs/>
          <w:sz w:val="24"/>
          <w:szCs w:val="24"/>
        </w:rPr>
        <w:t xml:space="preserve">ocial and </w:t>
      </w:r>
      <w:r w:rsidR="00BB7A26" w:rsidRPr="00276C53">
        <w:rPr>
          <w:b/>
          <w:bCs/>
          <w:sz w:val="24"/>
          <w:szCs w:val="24"/>
        </w:rPr>
        <w:t>G</w:t>
      </w:r>
      <w:r w:rsidR="0067058C" w:rsidRPr="00276C53">
        <w:rPr>
          <w:b/>
          <w:bCs/>
          <w:sz w:val="24"/>
          <w:szCs w:val="24"/>
        </w:rPr>
        <w:t xml:space="preserve">reen </w:t>
      </w:r>
      <w:r w:rsidR="006612E4" w:rsidRPr="00276C53">
        <w:rPr>
          <w:b/>
          <w:bCs/>
          <w:sz w:val="24"/>
          <w:szCs w:val="24"/>
        </w:rPr>
        <w:t>Deal</w:t>
      </w:r>
      <w:r w:rsidR="00960EB6" w:rsidRPr="00276C53">
        <w:rPr>
          <w:b/>
          <w:bCs/>
          <w:sz w:val="24"/>
          <w:szCs w:val="24"/>
        </w:rPr>
        <w:t>!</w:t>
      </w:r>
    </w:p>
    <w:p w14:paraId="5E836B89" w14:textId="4F94D2E4" w:rsidR="000E3C68" w:rsidRPr="000E3C68" w:rsidRDefault="00BB7A26" w:rsidP="001615ED">
      <w:pPr>
        <w:pStyle w:val="ListParagraph"/>
        <w:numPr>
          <w:ilvl w:val="0"/>
          <w:numId w:val="6"/>
        </w:numPr>
        <w:jc w:val="both"/>
        <w:rPr>
          <w:sz w:val="24"/>
          <w:szCs w:val="24"/>
        </w:rPr>
      </w:pPr>
      <w:r w:rsidRPr="00327C3A">
        <w:t>EAPN strongly backs the</w:t>
      </w:r>
      <w:r w:rsidR="00327C3A">
        <w:t xml:space="preserve"> implementation of the</w:t>
      </w:r>
      <w:r w:rsidRPr="00327C3A">
        <w:t xml:space="preserve"> European Pillar of Social Rights, but underlines that an effective implementation will depend upon the coherence of </w:t>
      </w:r>
      <w:r w:rsidR="00327C3A" w:rsidRPr="00327C3A">
        <w:t>its role</w:t>
      </w:r>
      <w:r w:rsidRPr="00327C3A">
        <w:t xml:space="preserve"> within the overarching strategies</w:t>
      </w:r>
      <w:r w:rsidR="00736A2D">
        <w:t xml:space="preserve"> and approach </w:t>
      </w:r>
      <w:r w:rsidRPr="00327C3A">
        <w:t xml:space="preserve">being developed by the EU. </w:t>
      </w:r>
    </w:p>
    <w:p w14:paraId="167D7BFB" w14:textId="28F5BB99" w:rsidR="00960EB6" w:rsidRPr="00960EB6" w:rsidRDefault="003C5A71" w:rsidP="001615ED">
      <w:pPr>
        <w:pStyle w:val="ListParagraph"/>
        <w:numPr>
          <w:ilvl w:val="0"/>
          <w:numId w:val="6"/>
        </w:numPr>
        <w:jc w:val="both"/>
        <w:rPr>
          <w:sz w:val="24"/>
          <w:szCs w:val="24"/>
        </w:rPr>
      </w:pPr>
      <w:r>
        <w:t>In 2019,</w:t>
      </w:r>
      <w:r w:rsidR="00BB7A26" w:rsidRPr="00327C3A">
        <w:t xml:space="preserve"> the ‘European Green Deal’ </w:t>
      </w:r>
      <w:r>
        <w:t>was</w:t>
      </w:r>
      <w:r w:rsidR="00BB7A26" w:rsidRPr="00327C3A">
        <w:t xml:space="preserve"> announced by President Von der Leyen, as the new Growth Strategy</w:t>
      </w:r>
      <w:r>
        <w:rPr>
          <w:rStyle w:val="FootnoteReference"/>
        </w:rPr>
        <w:footnoteReference w:id="13"/>
      </w:r>
      <w:r>
        <w:t xml:space="preserve">. Whilst welcoming the commitment to swift action on climate change, </w:t>
      </w:r>
      <w:r w:rsidR="00BB7A26" w:rsidRPr="00327C3A">
        <w:t xml:space="preserve"> there is  </w:t>
      </w:r>
      <w:r>
        <w:t xml:space="preserve">a </w:t>
      </w:r>
      <w:r w:rsidR="00BB7A26" w:rsidRPr="00327C3A">
        <w:t xml:space="preserve">need for </w:t>
      </w:r>
      <w:r w:rsidR="009154C1">
        <w:t xml:space="preserve">more than </w:t>
      </w:r>
      <w:r w:rsidR="00BB7A26" w:rsidRPr="00327C3A">
        <w:t>‘</w:t>
      </w:r>
      <w:r w:rsidR="00BB7A26" w:rsidRPr="00736A2D">
        <w:rPr>
          <w:i/>
          <w:iCs/>
        </w:rPr>
        <w:t>just transition’</w:t>
      </w:r>
      <w:r w:rsidR="00BB7A26" w:rsidRPr="00327C3A">
        <w:t xml:space="preserve">, primarily targeted at regions converting from fossil-fuels, </w:t>
      </w:r>
      <w:r w:rsidR="00960EB6">
        <w:t>by</w:t>
      </w:r>
      <w:r w:rsidR="00BB7A26" w:rsidRPr="00327C3A">
        <w:t xml:space="preserve"> </w:t>
      </w:r>
      <w:r w:rsidR="009154C1">
        <w:t>embedding a</w:t>
      </w:r>
      <w:r w:rsidR="00BB7A26" w:rsidRPr="00327C3A">
        <w:t xml:space="preserve"> </w:t>
      </w:r>
      <w:r w:rsidR="00BB7A26" w:rsidRPr="00736A2D">
        <w:rPr>
          <w:i/>
          <w:iCs/>
        </w:rPr>
        <w:t>Just Transition principle</w:t>
      </w:r>
      <w:r w:rsidR="005B3C3A">
        <w:t xml:space="preserve"> that ensures</w:t>
      </w:r>
      <w:r w:rsidR="00BB7A26" w:rsidRPr="00327C3A">
        <w:t xml:space="preserve"> that the poor don</w:t>
      </w:r>
      <w:r w:rsidR="00736A2D">
        <w:t>’t</w:t>
      </w:r>
      <w:r w:rsidR="00BB7A26" w:rsidRPr="00327C3A">
        <w:t xml:space="preserve"> </w:t>
      </w:r>
      <w:r>
        <w:t>pay for regressive</w:t>
      </w:r>
      <w:r w:rsidR="00BB7A26" w:rsidRPr="00327C3A">
        <w:t xml:space="preserve"> effects of transition </w:t>
      </w:r>
      <w:r w:rsidR="005B3C3A">
        <w:t>and</w:t>
      </w:r>
      <w:r w:rsidR="00BB7A26" w:rsidRPr="00327C3A">
        <w:t xml:space="preserve"> positively benefit</w:t>
      </w:r>
      <w:r w:rsidR="005B3C3A">
        <w:t>.</w:t>
      </w:r>
    </w:p>
    <w:p w14:paraId="7CCF7BB5" w14:textId="6F4F7B9D" w:rsidR="000E3C68" w:rsidRPr="00B85E63" w:rsidRDefault="00BB7A26" w:rsidP="001615ED">
      <w:pPr>
        <w:pStyle w:val="ListParagraph"/>
        <w:numPr>
          <w:ilvl w:val="0"/>
          <w:numId w:val="6"/>
        </w:numPr>
        <w:jc w:val="both"/>
        <w:rPr>
          <w:sz w:val="24"/>
          <w:szCs w:val="24"/>
        </w:rPr>
      </w:pPr>
      <w:r w:rsidRPr="00327C3A">
        <w:t xml:space="preserve">The </w:t>
      </w:r>
      <w:r w:rsidRPr="00276C53">
        <w:rPr>
          <w:b/>
          <w:bCs/>
        </w:rPr>
        <w:t xml:space="preserve">Green Deal itself </w:t>
      </w:r>
      <w:r w:rsidR="00960EB6" w:rsidRPr="00276C53">
        <w:rPr>
          <w:b/>
          <w:bCs/>
        </w:rPr>
        <w:t xml:space="preserve">must also be a </w:t>
      </w:r>
      <w:r w:rsidR="006F2468" w:rsidRPr="00276C53">
        <w:rPr>
          <w:b/>
          <w:bCs/>
        </w:rPr>
        <w:t>Social Deal</w:t>
      </w:r>
      <w:r w:rsidRPr="00327C3A">
        <w:t xml:space="preserve"> framed within an overarching balanced economic, environmental and social sustainability project</w:t>
      </w:r>
      <w:r w:rsidR="00327C3A" w:rsidRPr="00327C3A">
        <w:t xml:space="preserve">, </w:t>
      </w:r>
      <w:r w:rsidR="006F2468">
        <w:t xml:space="preserve"> </w:t>
      </w:r>
      <w:r w:rsidR="000B1A8D">
        <w:t>building on the Europe 2020 strategy, where</w:t>
      </w:r>
      <w:r w:rsidR="00327C3A" w:rsidRPr="00327C3A">
        <w:t xml:space="preserve"> macroeconomic policy </w:t>
      </w:r>
      <w:r w:rsidR="000B1A8D">
        <w:t>explicitly</w:t>
      </w:r>
      <w:r w:rsidR="003C5A71">
        <w:t xml:space="preserve"> supports and</w:t>
      </w:r>
      <w:r w:rsidR="000B1A8D">
        <w:t xml:space="preserve"> </w:t>
      </w:r>
      <w:r w:rsidR="003C3A63">
        <w:t>invests in social</w:t>
      </w:r>
      <w:r w:rsidR="00960EB6">
        <w:t xml:space="preserve"> </w:t>
      </w:r>
      <w:r w:rsidR="003C3A63">
        <w:t>protection</w:t>
      </w:r>
      <w:r w:rsidR="00736A2D">
        <w:t xml:space="preserve"> and </w:t>
      </w:r>
      <w:r w:rsidR="005B3C3A">
        <w:t xml:space="preserve">social </w:t>
      </w:r>
      <w:r w:rsidR="00736A2D">
        <w:t>rights</w:t>
      </w:r>
      <w:r w:rsidR="003C3A63">
        <w:t xml:space="preserve"> </w:t>
      </w:r>
      <w:r w:rsidR="00680C84">
        <w:t xml:space="preserve">underpinned by effective ex-ante </w:t>
      </w:r>
      <w:r w:rsidR="008111E8">
        <w:t>social/</w:t>
      </w:r>
      <w:r w:rsidR="00680C84">
        <w:t>poverty impact assessment</w:t>
      </w:r>
      <w:r w:rsidR="00327C3A" w:rsidRPr="00327C3A">
        <w:t>.</w:t>
      </w:r>
      <w:r w:rsidRPr="00327C3A">
        <w:t xml:space="preserve"> </w:t>
      </w:r>
    </w:p>
    <w:p w14:paraId="647F1BA1" w14:textId="19AB2214" w:rsidR="00BB7A26" w:rsidRPr="00276C53" w:rsidRDefault="00117CAA" w:rsidP="004D6376">
      <w:pPr>
        <w:pStyle w:val="ListParagraph"/>
        <w:numPr>
          <w:ilvl w:val="0"/>
          <w:numId w:val="6"/>
        </w:numPr>
        <w:jc w:val="both"/>
        <w:rPr>
          <w:sz w:val="24"/>
          <w:szCs w:val="24"/>
        </w:rPr>
      </w:pPr>
      <w:r>
        <w:t xml:space="preserve">The </w:t>
      </w:r>
      <w:r w:rsidRPr="00276C53">
        <w:rPr>
          <w:b/>
          <w:bCs/>
        </w:rPr>
        <w:t>impact of COVID-19 only further strengthens the call for a coherent</w:t>
      </w:r>
      <w:r w:rsidR="00276C53">
        <w:rPr>
          <w:b/>
          <w:bCs/>
        </w:rPr>
        <w:t xml:space="preserve">, overarching </w:t>
      </w:r>
      <w:r w:rsidRPr="00276C53">
        <w:rPr>
          <w:b/>
          <w:bCs/>
        </w:rPr>
        <w:t>social and sustainable EU 2030 strategy.</w:t>
      </w:r>
      <w:r>
        <w:t xml:space="preserve"> Whilst </w:t>
      </w:r>
      <w:r w:rsidR="00276C53">
        <w:t xml:space="preserve">the </w:t>
      </w:r>
      <w:r w:rsidR="00BC3318">
        <w:t xml:space="preserve">EU Exit Strategy </w:t>
      </w:r>
      <w:r w:rsidR="005B3C3A">
        <w:t>must</w:t>
      </w:r>
      <w:r w:rsidR="00BC3318">
        <w:t xml:space="preserve"> be used</w:t>
      </w:r>
      <w:r>
        <w:t xml:space="preserve"> to support transition</w:t>
      </w:r>
      <w:r w:rsidR="005B3C3A">
        <w:t xml:space="preserve"> this </w:t>
      </w:r>
      <w:r w:rsidR="005B3C3A">
        <w:lastRenderedPageBreak/>
        <w:t>must be balance</w:t>
      </w:r>
      <w:r w:rsidR="00276C53">
        <w:t>d</w:t>
      </w:r>
      <w:r w:rsidR="005B3C3A">
        <w:t xml:space="preserve"> with effective </w:t>
      </w:r>
      <w:r w:rsidR="00BC3318">
        <w:t xml:space="preserve">social </w:t>
      </w:r>
      <w:r>
        <w:t>investment in welfare states and social rights if inequalities are to be reduced and an inclusive</w:t>
      </w:r>
      <w:r w:rsidR="005B3C3A">
        <w:t>, social</w:t>
      </w:r>
      <w:r>
        <w:t xml:space="preserve"> </w:t>
      </w:r>
      <w:r w:rsidR="005B3C3A">
        <w:t>as well as a green recovery achieved</w:t>
      </w:r>
      <w:r>
        <w:t>.</w:t>
      </w:r>
      <w:r w:rsidR="00276C53">
        <w:t xml:space="preserve"> A 10</w:t>
      </w:r>
      <w:r w:rsidR="003E19B8">
        <w:t>-</w:t>
      </w:r>
      <w:r w:rsidR="00276C53">
        <w:t>year</w:t>
      </w:r>
      <w:r w:rsidR="00327C3A" w:rsidRPr="00327C3A">
        <w:t xml:space="preserve"> coherent, </w:t>
      </w:r>
      <w:proofErr w:type="gramStart"/>
      <w:r w:rsidR="00327C3A" w:rsidRPr="00327C3A">
        <w:t>social</w:t>
      </w:r>
      <w:proofErr w:type="gramEnd"/>
      <w:r w:rsidR="00327C3A" w:rsidRPr="00327C3A">
        <w:t xml:space="preserve"> and sustainable development strategy </w:t>
      </w:r>
      <w:r w:rsidR="00276C53">
        <w:t>must aim to end</w:t>
      </w:r>
      <w:r w:rsidR="00327C3A" w:rsidRPr="00327C3A">
        <w:t xml:space="preserve"> poverty and social exclusion,</w:t>
      </w:r>
      <w:r w:rsidR="00276C53">
        <w:t xml:space="preserve"> underpinned by the SDGs and EPSR</w:t>
      </w:r>
      <w:r w:rsidR="00327C3A" w:rsidRPr="00327C3A">
        <w:t>.</w:t>
      </w:r>
      <w:r w:rsidR="00960EB6">
        <w:t xml:space="preserve"> </w:t>
      </w:r>
      <w:r w:rsidR="00327C3A" w:rsidRPr="00327C3A">
        <w:t>The European Green Deal and the EPSR would be equal pillars within this overarching approach. (</w:t>
      </w:r>
      <w:hyperlink r:id="rId23" w:history="1">
        <w:r w:rsidR="00327C3A" w:rsidRPr="00327C3A">
          <w:rPr>
            <w:rStyle w:val="Hyperlink"/>
          </w:rPr>
          <w:t>See EAPN Position: Delivering Agenda 2030 for People and Planet (EAPN proposals for a Post Europe 2020 strategy</w:t>
        </w:r>
      </w:hyperlink>
      <w:r w:rsidR="00327C3A" w:rsidRPr="00276C53">
        <w:rPr>
          <w:sz w:val="24"/>
          <w:szCs w:val="24"/>
        </w:rPr>
        <w:t>)</w:t>
      </w:r>
    </w:p>
    <w:p w14:paraId="3501AE96" w14:textId="10440A06" w:rsidR="005B3C3A" w:rsidRPr="00276C53" w:rsidRDefault="00551DA0" w:rsidP="004D6376">
      <w:pPr>
        <w:pStyle w:val="ListParagraph"/>
        <w:numPr>
          <w:ilvl w:val="0"/>
          <w:numId w:val="6"/>
        </w:numPr>
        <w:jc w:val="both"/>
        <w:rPr>
          <w:sz w:val="24"/>
          <w:szCs w:val="24"/>
        </w:rPr>
      </w:pPr>
      <w:r>
        <w:t xml:space="preserve">Neither is it possible to design an Action Plan for social rights, without clear reference to the </w:t>
      </w:r>
      <w:r w:rsidR="00276C53" w:rsidRPr="00276C53">
        <w:rPr>
          <w:b/>
          <w:bCs/>
        </w:rPr>
        <w:t xml:space="preserve">appropriate </w:t>
      </w:r>
      <w:r w:rsidRPr="00276C53">
        <w:rPr>
          <w:b/>
          <w:bCs/>
        </w:rPr>
        <w:t xml:space="preserve">macroeconomic policies to help implement </w:t>
      </w:r>
      <w:r w:rsidR="00D8410E" w:rsidRPr="00276C53">
        <w:rPr>
          <w:b/>
          <w:bCs/>
        </w:rPr>
        <w:t xml:space="preserve">those </w:t>
      </w:r>
      <w:r w:rsidRPr="00276C53">
        <w:rPr>
          <w:b/>
          <w:bCs/>
        </w:rPr>
        <w:t>rights</w:t>
      </w:r>
      <w:r>
        <w:t>. The negative legacy of the EU’s priority on fiscal consolidation, austerity</w:t>
      </w:r>
      <w:r w:rsidR="00736A2D">
        <w:t>,</w:t>
      </w:r>
      <w:r>
        <w:t xml:space="preserve"> </w:t>
      </w:r>
      <w:proofErr w:type="gramStart"/>
      <w:r>
        <w:t>liberalisation</w:t>
      </w:r>
      <w:proofErr w:type="gramEnd"/>
      <w:r>
        <w:t xml:space="preserve"> and privatisation of public services </w:t>
      </w:r>
      <w:r w:rsidR="003C5A71">
        <w:t>particularly during the crisis</w:t>
      </w:r>
      <w:r>
        <w:t xml:space="preserve">, </w:t>
      </w:r>
      <w:r w:rsidR="00FD42B5">
        <w:t>continues</w:t>
      </w:r>
      <w:r w:rsidR="003C5A71">
        <w:t xml:space="preserve"> to </w:t>
      </w:r>
      <w:r>
        <w:t>threaten social rights.</w:t>
      </w:r>
      <w:r w:rsidR="000E2560">
        <w:t xml:space="preserve"> This is particularly pertinent in the Exit Strategy post COVID-19.</w:t>
      </w:r>
      <w:r w:rsidR="00276C53">
        <w:t xml:space="preserve"> </w:t>
      </w:r>
      <w:r>
        <w:t>A transparent social/distributional impact assessment needs to be</w:t>
      </w:r>
      <w:r w:rsidR="005B3C3A">
        <w:t xml:space="preserve"> developed on all policies.</w:t>
      </w:r>
    </w:p>
    <w:p w14:paraId="22E5CEF6" w14:textId="6F759352" w:rsidR="00551DA0" w:rsidRPr="00276C53" w:rsidRDefault="005B3C3A" w:rsidP="004D6376">
      <w:pPr>
        <w:pStyle w:val="ListParagraph"/>
        <w:numPr>
          <w:ilvl w:val="0"/>
          <w:numId w:val="6"/>
        </w:numPr>
        <w:jc w:val="both"/>
        <w:rPr>
          <w:sz w:val="24"/>
          <w:szCs w:val="24"/>
        </w:rPr>
      </w:pPr>
      <w:r>
        <w:t>Require</w:t>
      </w:r>
      <w:r w:rsidR="00551DA0">
        <w:t xml:space="preserve"> </w:t>
      </w:r>
      <w:r w:rsidR="00551DA0" w:rsidRPr="00276C53">
        <w:rPr>
          <w:b/>
          <w:bCs/>
        </w:rPr>
        <w:t xml:space="preserve">support </w:t>
      </w:r>
      <w:r w:rsidRPr="00276C53">
        <w:rPr>
          <w:b/>
          <w:bCs/>
        </w:rPr>
        <w:t>of</w:t>
      </w:r>
      <w:r w:rsidR="00551DA0" w:rsidRPr="00276C53">
        <w:rPr>
          <w:b/>
          <w:bCs/>
        </w:rPr>
        <w:t xml:space="preserve"> a golden rule</w:t>
      </w:r>
      <w:r w:rsidR="00551DA0" w:rsidRPr="00276C53">
        <w:rPr>
          <w:rStyle w:val="FootnoteReference"/>
          <w:b/>
          <w:bCs/>
        </w:rPr>
        <w:footnoteReference w:id="14"/>
      </w:r>
      <w:r w:rsidR="00551DA0" w:rsidRPr="00276C53">
        <w:rPr>
          <w:b/>
          <w:bCs/>
        </w:rPr>
        <w:t xml:space="preserve"> to support investment in public infrastructure</w:t>
      </w:r>
      <w:r w:rsidR="00551DA0">
        <w:t xml:space="preserve"> essential for social rights, </w:t>
      </w:r>
      <w:r w:rsidR="007B3E7B">
        <w:t>including social protection</w:t>
      </w:r>
      <w:r w:rsidR="007B3E7B">
        <w:rPr>
          <w:rStyle w:val="FootnoteReference"/>
        </w:rPr>
        <w:footnoteReference w:id="15"/>
      </w:r>
      <w:r w:rsidR="00D8410E">
        <w:t>,</w:t>
      </w:r>
      <w:r w:rsidR="003C5A71">
        <w:t xml:space="preserve"> </w:t>
      </w:r>
      <w:proofErr w:type="gramStart"/>
      <w:r w:rsidR="003C5A71">
        <w:t>in order to</w:t>
      </w:r>
      <w:proofErr w:type="gramEnd"/>
      <w:r w:rsidR="003C5A71">
        <w:t xml:space="preserve"> ensure real progress on reducing</w:t>
      </w:r>
      <w:r w:rsidR="00551DA0">
        <w:t xml:space="preserve"> poverty and inequality. A key indicator/target for increasing public spending in relation to GDP on funding of welfare states, and increasing progressive taxation is crucial.</w:t>
      </w:r>
    </w:p>
    <w:p w14:paraId="7E083BC2" w14:textId="77777777" w:rsidR="00276C53" w:rsidRDefault="00276C53" w:rsidP="00276C53">
      <w:pPr>
        <w:pStyle w:val="ListParagraph"/>
        <w:ind w:left="360"/>
        <w:jc w:val="both"/>
        <w:rPr>
          <w:sz w:val="24"/>
          <w:szCs w:val="24"/>
        </w:rPr>
      </w:pPr>
    </w:p>
    <w:p w14:paraId="6A7588AA" w14:textId="6B04E48B" w:rsidR="0067058C" w:rsidRDefault="00276C53" w:rsidP="00276C53">
      <w:pPr>
        <w:pStyle w:val="ListParagraph"/>
        <w:ind w:left="0"/>
        <w:jc w:val="both"/>
        <w:rPr>
          <w:b/>
          <w:bCs/>
          <w:sz w:val="24"/>
          <w:szCs w:val="24"/>
        </w:rPr>
      </w:pPr>
      <w:r w:rsidRPr="00276C53">
        <w:rPr>
          <w:b/>
          <w:bCs/>
          <w:sz w:val="24"/>
          <w:szCs w:val="24"/>
        </w:rPr>
        <w:t>3</w:t>
      </w:r>
      <w:r w:rsidR="005E2176" w:rsidRPr="00276C53">
        <w:rPr>
          <w:b/>
          <w:bCs/>
          <w:sz w:val="24"/>
          <w:szCs w:val="24"/>
        </w:rPr>
        <w:t>.</w:t>
      </w:r>
      <w:r w:rsidR="005E2176">
        <w:rPr>
          <w:b/>
          <w:bCs/>
          <w:sz w:val="24"/>
          <w:szCs w:val="24"/>
        </w:rPr>
        <w:t>3 Adopt an</w:t>
      </w:r>
      <w:r w:rsidR="001A3CAC">
        <w:rPr>
          <w:b/>
          <w:bCs/>
          <w:sz w:val="24"/>
          <w:szCs w:val="24"/>
        </w:rPr>
        <w:t xml:space="preserve"> </w:t>
      </w:r>
      <w:r w:rsidR="00680C84">
        <w:rPr>
          <w:b/>
          <w:bCs/>
          <w:sz w:val="24"/>
          <w:szCs w:val="24"/>
        </w:rPr>
        <w:t>EU</w:t>
      </w:r>
      <w:r w:rsidR="00FA3313">
        <w:rPr>
          <w:b/>
          <w:bCs/>
          <w:sz w:val="24"/>
          <w:szCs w:val="24"/>
        </w:rPr>
        <w:t xml:space="preserve"> </w:t>
      </w:r>
      <w:r w:rsidR="00B03107">
        <w:rPr>
          <w:b/>
          <w:bCs/>
          <w:sz w:val="24"/>
          <w:szCs w:val="24"/>
        </w:rPr>
        <w:t>i</w:t>
      </w:r>
      <w:r w:rsidR="001A3CAC">
        <w:rPr>
          <w:b/>
          <w:bCs/>
          <w:sz w:val="24"/>
          <w:szCs w:val="24"/>
        </w:rPr>
        <w:t xml:space="preserve">ntegrated </w:t>
      </w:r>
      <w:r w:rsidR="00FA3313">
        <w:rPr>
          <w:b/>
          <w:bCs/>
          <w:sz w:val="24"/>
          <w:szCs w:val="24"/>
        </w:rPr>
        <w:t>strategy to fight poverty</w:t>
      </w:r>
      <w:r w:rsidR="001A3CAC">
        <w:rPr>
          <w:b/>
          <w:bCs/>
          <w:sz w:val="24"/>
          <w:szCs w:val="24"/>
        </w:rPr>
        <w:t xml:space="preserve"> </w:t>
      </w:r>
      <w:r w:rsidR="005E2176">
        <w:rPr>
          <w:b/>
          <w:bCs/>
          <w:sz w:val="24"/>
          <w:szCs w:val="24"/>
        </w:rPr>
        <w:t>as the framework for social rights</w:t>
      </w:r>
    </w:p>
    <w:p w14:paraId="35C0A747" w14:textId="77777777" w:rsidR="00E47DEA" w:rsidRDefault="00E47DEA" w:rsidP="00276C53">
      <w:pPr>
        <w:pStyle w:val="ListParagraph"/>
        <w:ind w:left="0"/>
        <w:jc w:val="both"/>
        <w:rPr>
          <w:b/>
          <w:bCs/>
          <w:sz w:val="24"/>
          <w:szCs w:val="24"/>
        </w:rPr>
      </w:pPr>
    </w:p>
    <w:p w14:paraId="4721BFC0" w14:textId="5791A7D4" w:rsidR="000E3C68" w:rsidRDefault="00327C3A" w:rsidP="001615ED">
      <w:pPr>
        <w:pStyle w:val="ListParagraph"/>
        <w:numPr>
          <w:ilvl w:val="0"/>
          <w:numId w:val="8"/>
        </w:numPr>
        <w:jc w:val="both"/>
      </w:pPr>
      <w:r w:rsidRPr="003C3A63">
        <w:t xml:space="preserve">Whilst the 20 Social </w:t>
      </w:r>
      <w:r w:rsidR="003C5A71">
        <w:t>Rights</w:t>
      </w:r>
      <w:r w:rsidRPr="003C3A63">
        <w:t xml:space="preserve"> </w:t>
      </w:r>
      <w:r w:rsidR="000E3C68">
        <w:t>i</w:t>
      </w:r>
      <w:r w:rsidRPr="003C3A63">
        <w:t>n the EPSR ar</w:t>
      </w:r>
      <w:r w:rsidR="000B1A8D">
        <w:t>e</w:t>
      </w:r>
      <w:r w:rsidR="003C5A71">
        <w:t xml:space="preserve"> highly</w:t>
      </w:r>
      <w:r w:rsidR="000B1A8D">
        <w:t xml:space="preserve"> relevant </w:t>
      </w:r>
      <w:r w:rsidRPr="003C3A63">
        <w:t xml:space="preserve">to the fight against </w:t>
      </w:r>
      <w:r w:rsidR="00680C84">
        <w:t>poverty,</w:t>
      </w:r>
      <w:r w:rsidR="000B1A8D">
        <w:t xml:space="preserve"> </w:t>
      </w:r>
      <w:r w:rsidR="00680C84">
        <w:t xml:space="preserve">a focus on </w:t>
      </w:r>
      <w:r w:rsidR="000B1A8D">
        <w:t xml:space="preserve">gradual </w:t>
      </w:r>
      <w:r w:rsidR="00680C84">
        <w:t xml:space="preserve">implementation of individual rights alone will not deliver </w:t>
      </w:r>
      <w:r w:rsidR="003C5A71">
        <w:t xml:space="preserve">tangible </w:t>
      </w:r>
      <w:r w:rsidR="00680C84">
        <w:t>results</w:t>
      </w:r>
      <w:r w:rsidR="003C5A71">
        <w:t xml:space="preserve"> on poverty</w:t>
      </w:r>
      <w:r w:rsidR="00680C84">
        <w:t xml:space="preserve">. </w:t>
      </w:r>
      <w:r w:rsidR="000B1A8D">
        <w:t xml:space="preserve">The </w:t>
      </w:r>
      <w:r w:rsidR="003C3A63" w:rsidRPr="003C3A63">
        <w:t xml:space="preserve">implementation of social rights </w:t>
      </w:r>
      <w:r w:rsidR="003C5A71">
        <w:t xml:space="preserve">needs to be coordinated in a </w:t>
      </w:r>
      <w:r w:rsidR="003C5A71" w:rsidRPr="00736A2D">
        <w:rPr>
          <w:b/>
          <w:bCs/>
        </w:rPr>
        <w:t>multidimensional strategy</w:t>
      </w:r>
      <w:r w:rsidR="001F39EA">
        <w:t xml:space="preserve">, linking the different individual rights, with the overarching </w:t>
      </w:r>
      <w:r w:rsidR="003C3A63" w:rsidRPr="003C3A63">
        <w:t>goal to eradicate poverty, reduce inequality and promote well-being</w:t>
      </w:r>
      <w:r w:rsidR="001F39EA">
        <w:t>.</w:t>
      </w:r>
      <w:r w:rsidR="000E2560">
        <w:t xml:space="preserve"> The importance of this focus is only underlined with the social and economic impact of COVID-19.</w:t>
      </w:r>
    </w:p>
    <w:p w14:paraId="3574837C" w14:textId="6D04F16F" w:rsidR="00FA3313" w:rsidRDefault="003C3A63" w:rsidP="001615ED">
      <w:pPr>
        <w:pStyle w:val="ListParagraph"/>
        <w:numPr>
          <w:ilvl w:val="0"/>
          <w:numId w:val="8"/>
        </w:numPr>
        <w:jc w:val="both"/>
      </w:pPr>
      <w:r>
        <w:t xml:space="preserve">EAPN strongly </w:t>
      </w:r>
      <w:r w:rsidRPr="00960EB6">
        <w:rPr>
          <w:b/>
          <w:bCs/>
        </w:rPr>
        <w:t>welcomes the increased focus on poverty reduction</w:t>
      </w:r>
      <w:r>
        <w:t xml:space="preserve"> in the Commission’s recent Communication</w:t>
      </w:r>
      <w:r>
        <w:rPr>
          <w:rStyle w:val="FootnoteReference"/>
        </w:rPr>
        <w:footnoteReference w:id="16"/>
      </w:r>
      <w:r w:rsidR="00FA3313">
        <w:t xml:space="preserve"> </w:t>
      </w:r>
      <w:r w:rsidR="000B1A8D">
        <w:t xml:space="preserve">on the EPSR, </w:t>
      </w:r>
      <w:r w:rsidR="00FA3313">
        <w:t>highlighting the need to support a life in dignity by “</w:t>
      </w:r>
      <w:r w:rsidR="00FA3313" w:rsidRPr="000E3C68">
        <w:rPr>
          <w:i/>
          <w:iCs/>
        </w:rPr>
        <w:t>g</w:t>
      </w:r>
      <w:r w:rsidRPr="000E3C68">
        <w:rPr>
          <w:i/>
          <w:iCs/>
        </w:rPr>
        <w:t>etting the support needed to look for a job, being able to access affordable and quality health care, decent opportunities for education and training, affordable housing and affordable access to essential goods and services, including water, energy, transport and digital communications.</w:t>
      </w:r>
      <w:r w:rsidR="00D8410E">
        <w:rPr>
          <w:i/>
          <w:iCs/>
        </w:rPr>
        <w:t xml:space="preserve"> </w:t>
      </w:r>
      <w:r w:rsidRPr="000E3C68">
        <w:rPr>
          <w:i/>
          <w:iCs/>
        </w:rPr>
        <w:t>For those out of the labour market, minimum income schemes, accompanied by enabling services, offer a last resort which should ensure a life in dignity</w:t>
      </w:r>
      <w:r w:rsidR="00FA3313" w:rsidRPr="000E3C68">
        <w:rPr>
          <w:i/>
          <w:iCs/>
        </w:rPr>
        <w:t>’</w:t>
      </w:r>
      <w:r w:rsidR="001F39EA">
        <w:t>’,</w:t>
      </w:r>
      <w:r w:rsidR="00FA3313">
        <w:t xml:space="preserve"> as well as support on housing, energy poverty, for children and Roma.</w:t>
      </w:r>
      <w:r w:rsidR="000B1A8D">
        <w:t xml:space="preserve"> </w:t>
      </w:r>
      <w:r w:rsidR="008111E8">
        <w:t xml:space="preserve">Commissioner </w:t>
      </w:r>
      <w:proofErr w:type="spellStart"/>
      <w:r w:rsidR="008111E8">
        <w:t>Schmit</w:t>
      </w:r>
      <w:proofErr w:type="spellEnd"/>
      <w:r w:rsidR="008111E8">
        <w:t xml:space="preserve"> has made clear his support for an EU anti</w:t>
      </w:r>
      <w:r w:rsidR="00D8410E">
        <w:t>-</w:t>
      </w:r>
      <w:r w:rsidR="008111E8">
        <w:t>poverty strategy in the EP hearings and conse</w:t>
      </w:r>
      <w:r w:rsidR="00736A2D">
        <w:t>quent</w:t>
      </w:r>
      <w:r w:rsidR="008111E8">
        <w:t xml:space="preserve"> events.</w:t>
      </w:r>
    </w:p>
    <w:p w14:paraId="3438339B" w14:textId="3E831155" w:rsidR="005000AA" w:rsidRDefault="00FA3313" w:rsidP="001615ED">
      <w:pPr>
        <w:pStyle w:val="ListParagraph"/>
        <w:numPr>
          <w:ilvl w:val="0"/>
          <w:numId w:val="8"/>
        </w:numPr>
        <w:jc w:val="both"/>
      </w:pPr>
      <w:r>
        <w:t xml:space="preserve">For </w:t>
      </w:r>
      <w:r w:rsidR="008111E8">
        <w:t xml:space="preserve">this reason, </w:t>
      </w:r>
      <w:r>
        <w:t xml:space="preserve">EAPN it is clear that the </w:t>
      </w:r>
      <w:r w:rsidRPr="000E3C68">
        <w:rPr>
          <w:b/>
          <w:bCs/>
        </w:rPr>
        <w:t>opening premise and goal</w:t>
      </w:r>
      <w:r>
        <w:t xml:space="preserve"> of the Action Plan should be the commitment to </w:t>
      </w:r>
      <w:r w:rsidRPr="000E3C68">
        <w:rPr>
          <w:b/>
          <w:bCs/>
          <w:u w:val="single"/>
        </w:rPr>
        <w:t>End Poverty in all its forms</w:t>
      </w:r>
      <w:r>
        <w:t xml:space="preserve"> (SDG 1)</w:t>
      </w:r>
      <w:r w:rsidR="001F39EA">
        <w:t xml:space="preserve">, building on the Europe 2020 goal </w:t>
      </w:r>
      <w:r w:rsidR="00FA3B69">
        <w:t>for a new ambitious Poverty Target post 2020,</w:t>
      </w:r>
      <w:r>
        <w:t xml:space="preserve"> and to a </w:t>
      </w:r>
      <w:r w:rsidRPr="000E3C68">
        <w:rPr>
          <w:b/>
          <w:bCs/>
          <w:u w:val="single"/>
        </w:rPr>
        <w:t>rights-based</w:t>
      </w:r>
      <w:r w:rsidR="00680C84" w:rsidRPr="000E3C68">
        <w:rPr>
          <w:b/>
          <w:bCs/>
          <w:u w:val="single"/>
        </w:rPr>
        <w:t>, person-centred</w:t>
      </w:r>
      <w:r w:rsidRPr="000E3C68">
        <w:rPr>
          <w:b/>
          <w:bCs/>
          <w:u w:val="single"/>
        </w:rPr>
        <w:t xml:space="preserve"> integrated strategy to fight poverty and exclusion, for all groups, through the life course</w:t>
      </w:r>
      <w:r>
        <w:t>. The action</w:t>
      </w:r>
      <w:r w:rsidR="000E3C68">
        <w:t xml:space="preserve"> plan</w:t>
      </w:r>
      <w:r>
        <w:t xml:space="preserve"> proposals for each individual social right/principle should </w:t>
      </w:r>
      <w:r w:rsidR="000E3C68">
        <w:t xml:space="preserve">then </w:t>
      </w:r>
      <w:r w:rsidR="00656F53">
        <w:t xml:space="preserve">indicate how they individually and collectively </w:t>
      </w:r>
      <w:r>
        <w:t>contribute to this goal and strategy, in a coherent</w:t>
      </w:r>
      <w:r w:rsidR="000E3C68">
        <w:t xml:space="preserve">, </w:t>
      </w:r>
      <w:r>
        <w:t>integrated form.</w:t>
      </w:r>
    </w:p>
    <w:p w14:paraId="4D9D1CCA" w14:textId="31981033" w:rsidR="005000AA" w:rsidRDefault="00FA3313" w:rsidP="001615ED">
      <w:pPr>
        <w:pStyle w:val="ListParagraph"/>
        <w:numPr>
          <w:ilvl w:val="0"/>
          <w:numId w:val="8"/>
        </w:numPr>
        <w:jc w:val="both"/>
      </w:pPr>
      <w:r>
        <w:t xml:space="preserve">For EAPN this </w:t>
      </w:r>
      <w:r w:rsidR="001F39EA">
        <w:t xml:space="preserve">anti-poverty </w:t>
      </w:r>
      <w:r>
        <w:t xml:space="preserve">strategy </w:t>
      </w:r>
      <w:r w:rsidR="00960EB6">
        <w:t>needs to learn the lessons of COVID-19 social impact</w:t>
      </w:r>
      <w:r w:rsidR="005000AA">
        <w:t>:</w:t>
      </w:r>
      <w:r>
        <w:t xml:space="preserve"> </w:t>
      </w:r>
    </w:p>
    <w:p w14:paraId="45FD6977" w14:textId="77777777" w:rsidR="000E3C68" w:rsidRDefault="000E3C68" w:rsidP="001615ED">
      <w:pPr>
        <w:pStyle w:val="ListParagraph"/>
        <w:ind w:left="360"/>
        <w:jc w:val="both"/>
      </w:pPr>
    </w:p>
    <w:p w14:paraId="66930FBA" w14:textId="7BD9F39C" w:rsidR="005000AA" w:rsidRDefault="001C634F" w:rsidP="001615ED">
      <w:pPr>
        <w:pStyle w:val="ListParagraph"/>
        <w:numPr>
          <w:ilvl w:val="0"/>
          <w:numId w:val="4"/>
        </w:numPr>
        <w:pBdr>
          <w:top w:val="single" w:sz="4" w:space="1" w:color="auto"/>
          <w:left w:val="single" w:sz="4" w:space="4" w:color="auto"/>
          <w:bottom w:val="single" w:sz="4" w:space="1" w:color="auto"/>
          <w:right w:val="single" w:sz="4" w:space="4" w:color="auto"/>
        </w:pBdr>
        <w:jc w:val="both"/>
      </w:pPr>
      <w:r>
        <w:rPr>
          <w:b/>
          <w:bCs/>
        </w:rPr>
        <w:t>B</w:t>
      </w:r>
      <w:r w:rsidR="00FA3313" w:rsidRPr="005000AA">
        <w:rPr>
          <w:b/>
          <w:bCs/>
        </w:rPr>
        <w:t>uild on the</w:t>
      </w:r>
      <w:r w:rsidR="006D3C01" w:rsidRPr="005000AA">
        <w:rPr>
          <w:b/>
          <w:bCs/>
        </w:rPr>
        <w:t xml:space="preserve"> 3</w:t>
      </w:r>
      <w:r w:rsidR="00EA25DE">
        <w:rPr>
          <w:b/>
          <w:bCs/>
        </w:rPr>
        <w:t>-</w:t>
      </w:r>
      <w:r w:rsidR="006D3C01" w:rsidRPr="005000AA">
        <w:rPr>
          <w:b/>
          <w:bCs/>
        </w:rPr>
        <w:t xml:space="preserve">pillared </w:t>
      </w:r>
      <w:r w:rsidR="005000AA">
        <w:rPr>
          <w:b/>
          <w:bCs/>
        </w:rPr>
        <w:t xml:space="preserve">Active Inclusion </w:t>
      </w:r>
      <w:r w:rsidR="006D3C01" w:rsidRPr="005000AA">
        <w:rPr>
          <w:b/>
          <w:bCs/>
        </w:rPr>
        <w:t>approach</w:t>
      </w:r>
      <w:r w:rsidR="006D3C01">
        <w:t xml:space="preserve"> recommended in the Commission Recommendation on</w:t>
      </w:r>
      <w:r w:rsidR="00FA3313">
        <w:t xml:space="preserve"> </w:t>
      </w:r>
      <w:hyperlink r:id="rId24" w:history="1">
        <w:r w:rsidR="00876939">
          <w:rPr>
            <w:rStyle w:val="Hyperlink"/>
            <w:b/>
            <w:bCs/>
          </w:rPr>
          <w:t>’A</w:t>
        </w:r>
        <w:r w:rsidR="006D3C01" w:rsidRPr="005000AA">
          <w:rPr>
            <w:rStyle w:val="Hyperlink"/>
            <w:b/>
            <w:bCs/>
          </w:rPr>
          <w:t>ctive Inclusion of people excluded from the labour market’</w:t>
        </w:r>
      </w:hyperlink>
      <w:r w:rsidR="00FA3313">
        <w:t xml:space="preserve">, but not </w:t>
      </w:r>
      <w:r w:rsidR="00FA3313">
        <w:lastRenderedPageBreak/>
        <w:t xml:space="preserve">only as a means to get people into </w:t>
      </w:r>
      <w:r w:rsidR="005000AA">
        <w:t>any job</w:t>
      </w:r>
      <w:r w:rsidR="00876939">
        <w:t xml:space="preserve"> and</w:t>
      </w:r>
      <w:r w:rsidR="00FA3313">
        <w:t xml:space="preserve"> as the ‘only route out of poverty’</w:t>
      </w:r>
      <w:r w:rsidR="006D3C01">
        <w:t xml:space="preserve"> </w:t>
      </w:r>
      <w:r w:rsidR="001F39EA">
        <w:t>(</w:t>
      </w:r>
      <w:r w:rsidR="006D3C01">
        <w:t>when in-work poverty continues to rise</w:t>
      </w:r>
      <w:r w:rsidR="001F39EA">
        <w:t xml:space="preserve"> </w:t>
      </w:r>
      <w:r w:rsidR="00876939">
        <w:t xml:space="preserve">to </w:t>
      </w:r>
      <w:r w:rsidR="006D3C01">
        <w:t>currently 9.6%</w:t>
      </w:r>
      <w:r w:rsidR="00876939">
        <w:t xml:space="preserve"> - data for 2018</w:t>
      </w:r>
      <w:r w:rsidR="001F39EA">
        <w:t>)</w:t>
      </w:r>
      <w:r w:rsidR="006D3C01">
        <w:t>,</w:t>
      </w:r>
      <w:r w:rsidR="00FA3313">
        <w:t xml:space="preserve"> but</w:t>
      </w:r>
      <w:r w:rsidR="00720878">
        <w:t xml:space="preserve"> </w:t>
      </w:r>
      <w:r w:rsidR="00656F53">
        <w:t>rooted in the principle of</w:t>
      </w:r>
      <w:r w:rsidR="005000AA">
        <w:t xml:space="preserve"> guaranteeing</w:t>
      </w:r>
      <w:r w:rsidR="00656F53">
        <w:t xml:space="preserve"> </w:t>
      </w:r>
      <w:r w:rsidR="005000AA">
        <w:t>all people</w:t>
      </w:r>
      <w:r w:rsidR="00AF7137">
        <w:t>,</w:t>
      </w:r>
      <w:r w:rsidR="005000AA">
        <w:t xml:space="preserve"> regardless of age and situation</w:t>
      </w:r>
      <w:r w:rsidR="00AF7137">
        <w:t>,</w:t>
      </w:r>
      <w:r w:rsidR="005000AA">
        <w:t xml:space="preserve"> </w:t>
      </w:r>
      <w:r w:rsidR="00656F53">
        <w:t>access to rights, resources and service</w:t>
      </w:r>
      <w:r w:rsidR="006D3C01">
        <w:t>s</w:t>
      </w:r>
      <w:r w:rsidR="003E19B8">
        <w:t xml:space="preserve"> and support for social inclusion and participation in society.</w:t>
      </w:r>
    </w:p>
    <w:p w14:paraId="5B15132B" w14:textId="347D1D75" w:rsidR="00FA3313" w:rsidRDefault="001C634F" w:rsidP="001615ED">
      <w:pPr>
        <w:pStyle w:val="ListParagraph"/>
        <w:numPr>
          <w:ilvl w:val="0"/>
          <w:numId w:val="4"/>
        </w:numPr>
        <w:pBdr>
          <w:top w:val="single" w:sz="4" w:space="1" w:color="auto"/>
          <w:left w:val="single" w:sz="4" w:space="4" w:color="auto"/>
          <w:bottom w:val="single" w:sz="4" w:space="1" w:color="auto"/>
          <w:right w:val="single" w:sz="4" w:space="4" w:color="auto"/>
        </w:pBdr>
        <w:jc w:val="both"/>
      </w:pPr>
      <w:r>
        <w:rPr>
          <w:b/>
          <w:bCs/>
        </w:rPr>
        <w:t>P</w:t>
      </w:r>
      <w:r w:rsidR="00960EB6">
        <w:rPr>
          <w:b/>
          <w:bCs/>
        </w:rPr>
        <w:t>ut first the</w:t>
      </w:r>
      <w:r w:rsidR="001F39EA" w:rsidRPr="00B85E63">
        <w:rPr>
          <w:b/>
          <w:bCs/>
        </w:rPr>
        <w:t xml:space="preserve"> </w:t>
      </w:r>
      <w:r w:rsidR="005000AA" w:rsidRPr="00B85E63">
        <w:rPr>
          <w:b/>
          <w:bCs/>
        </w:rPr>
        <w:t>right to</w:t>
      </w:r>
      <w:r w:rsidR="005000AA">
        <w:t xml:space="preserve"> </w:t>
      </w:r>
      <w:r w:rsidR="00960EB6">
        <w:rPr>
          <w:b/>
          <w:bCs/>
        </w:rPr>
        <w:t xml:space="preserve">adequate income and access to universal services 1) Quality jobs and fair wages 2) </w:t>
      </w:r>
      <w:r w:rsidR="00960EB6" w:rsidRPr="00960EB6">
        <w:rPr>
          <w:b/>
          <w:bCs/>
        </w:rPr>
        <w:t xml:space="preserve">Adequate </w:t>
      </w:r>
      <w:r w:rsidR="00AF7137">
        <w:rPr>
          <w:b/>
          <w:bCs/>
        </w:rPr>
        <w:t xml:space="preserve">Minimum Income </w:t>
      </w:r>
      <w:r w:rsidR="005000AA">
        <w:t xml:space="preserve"> for those who cannot work or access decent jobs: </w:t>
      </w:r>
      <w:r w:rsidR="00960EB6">
        <w:t>- m</w:t>
      </w:r>
      <w:r w:rsidR="00656F53">
        <w:t xml:space="preserve">inimum income and social protection and </w:t>
      </w:r>
      <w:r w:rsidR="005000AA">
        <w:t xml:space="preserve">3) </w:t>
      </w:r>
      <w:r w:rsidR="005000AA" w:rsidRPr="00960EB6">
        <w:rPr>
          <w:b/>
          <w:bCs/>
        </w:rPr>
        <w:t>Q</w:t>
      </w:r>
      <w:r w:rsidR="00656F53" w:rsidRPr="00960EB6">
        <w:rPr>
          <w:b/>
          <w:bCs/>
        </w:rPr>
        <w:t xml:space="preserve">uality </w:t>
      </w:r>
      <w:r w:rsidR="005000AA" w:rsidRPr="00960EB6">
        <w:rPr>
          <w:b/>
          <w:bCs/>
        </w:rPr>
        <w:t xml:space="preserve">universal </w:t>
      </w:r>
      <w:r w:rsidR="00656F53" w:rsidRPr="00960EB6">
        <w:rPr>
          <w:b/>
          <w:bCs/>
        </w:rPr>
        <w:t>services</w:t>
      </w:r>
      <w:r w:rsidR="00EA25DE">
        <w:t xml:space="preserve">. This means </w:t>
      </w:r>
      <w:r w:rsidR="00656F53">
        <w:t xml:space="preserve">not just </w:t>
      </w:r>
      <w:r w:rsidR="001D3113">
        <w:t>services to ‘get people into work’</w:t>
      </w:r>
      <w:r w:rsidR="00656F53">
        <w:t xml:space="preserve">, but </w:t>
      </w:r>
      <w:r w:rsidR="00960EB6">
        <w:t xml:space="preserve">ones </w:t>
      </w:r>
      <w:r w:rsidR="007B3E7B">
        <w:t xml:space="preserve">that support </w:t>
      </w:r>
      <w:r w:rsidR="001F39EA">
        <w:t xml:space="preserve">a dignified life </w:t>
      </w:r>
      <w:r w:rsidR="005000AA">
        <w:t>through their life course</w:t>
      </w:r>
      <w:r w:rsidR="001F39EA">
        <w:t>:</w:t>
      </w:r>
      <w:r w:rsidR="00736A2D">
        <w:t xml:space="preserve"> </w:t>
      </w:r>
      <w:r w:rsidR="00960EB6">
        <w:t>universal health and social care/ education, training and lifelong learning/</w:t>
      </w:r>
      <w:r w:rsidR="00656F53">
        <w:t xml:space="preserve">affordable, quality </w:t>
      </w:r>
      <w:r w:rsidR="00720878">
        <w:t>housing</w:t>
      </w:r>
      <w:r w:rsidR="00960EB6">
        <w:t>/</w:t>
      </w:r>
      <w:r w:rsidR="00720878">
        <w:t xml:space="preserve"> </w:t>
      </w:r>
      <w:r w:rsidR="00A922A6">
        <w:t>childcare</w:t>
      </w:r>
      <w:r w:rsidR="00960EB6">
        <w:t xml:space="preserve"> and early learning/</w:t>
      </w:r>
      <w:r w:rsidR="00A922A6">
        <w:t xml:space="preserve"> </w:t>
      </w:r>
      <w:r w:rsidR="007B3E7B">
        <w:t>affordable energy</w:t>
      </w:r>
      <w:r w:rsidR="001F39EA">
        <w:t>/water and transport</w:t>
      </w:r>
      <w:r w:rsidR="007B3E7B">
        <w:t>,</w:t>
      </w:r>
      <w:r w:rsidR="00656F53">
        <w:t xml:space="preserve"> </w:t>
      </w:r>
      <w:r w:rsidR="00720878">
        <w:t xml:space="preserve">underpinned by </w:t>
      </w:r>
      <w:r w:rsidR="00736A2D">
        <w:t xml:space="preserve">the </w:t>
      </w:r>
      <w:r w:rsidR="00720878">
        <w:t>EPSR and SDG</w:t>
      </w:r>
      <w:r w:rsidR="00656F53">
        <w:t>s.</w:t>
      </w:r>
    </w:p>
    <w:p w14:paraId="7DCC11AE" w14:textId="3B4330DC" w:rsidR="006D3C01" w:rsidRDefault="001C634F" w:rsidP="001615ED">
      <w:pPr>
        <w:pStyle w:val="ListParagraph"/>
        <w:numPr>
          <w:ilvl w:val="0"/>
          <w:numId w:val="4"/>
        </w:numPr>
        <w:pBdr>
          <w:top w:val="single" w:sz="4" w:space="1" w:color="auto"/>
          <w:left w:val="single" w:sz="4" w:space="4" w:color="auto"/>
          <w:bottom w:val="single" w:sz="4" w:space="1" w:color="auto"/>
          <w:right w:val="single" w:sz="4" w:space="4" w:color="auto"/>
        </w:pBdr>
        <w:jc w:val="both"/>
      </w:pPr>
      <w:r w:rsidRPr="00B85E63">
        <w:rPr>
          <w:b/>
          <w:bCs/>
        </w:rPr>
        <w:t>Be</w:t>
      </w:r>
      <w:r w:rsidR="006D3C01" w:rsidRPr="00B85E63">
        <w:rPr>
          <w:b/>
          <w:bCs/>
        </w:rPr>
        <w:t xml:space="preserve"> </w:t>
      </w:r>
      <w:r w:rsidR="006D3C01" w:rsidRPr="005000AA">
        <w:rPr>
          <w:b/>
          <w:bCs/>
        </w:rPr>
        <w:t>comprehensive and integrated</w:t>
      </w:r>
      <w:r w:rsidR="006D3C01">
        <w:t xml:space="preserve">, providing joined-up </w:t>
      </w:r>
      <w:r w:rsidR="007B3E7B">
        <w:t>personali</w:t>
      </w:r>
      <w:r w:rsidR="00EA25DE">
        <w:t>s</w:t>
      </w:r>
      <w:r w:rsidR="007B3E7B">
        <w:t xml:space="preserve">ed </w:t>
      </w:r>
      <w:r w:rsidR="006D3C01">
        <w:t>services</w:t>
      </w:r>
      <w:r w:rsidR="00EA25DE">
        <w:t>,</w:t>
      </w:r>
      <w:r w:rsidR="006D3C01">
        <w:t xml:space="preserve"> including through a case-management approach that</w:t>
      </w:r>
      <w:r w:rsidR="007B3E7B">
        <w:t xml:space="preserve"> responds to the challenges facing each person in gaining their</w:t>
      </w:r>
      <w:r w:rsidR="006D3C01">
        <w:t xml:space="preserve"> rights to services, quality work and income support in a comprehensive manner.</w:t>
      </w:r>
    </w:p>
    <w:p w14:paraId="532EAD0D" w14:textId="5D730178" w:rsidR="006D3C01" w:rsidRDefault="005000AA" w:rsidP="001615ED">
      <w:pPr>
        <w:pStyle w:val="ListParagraph"/>
        <w:numPr>
          <w:ilvl w:val="0"/>
          <w:numId w:val="5"/>
        </w:numPr>
        <w:pBdr>
          <w:top w:val="single" w:sz="4" w:space="1" w:color="auto"/>
          <w:left w:val="single" w:sz="4" w:space="4" w:color="auto"/>
          <w:bottom w:val="single" w:sz="4" w:space="1" w:color="auto"/>
          <w:right w:val="single" w:sz="4" w:space="4" w:color="auto"/>
        </w:pBdr>
        <w:jc w:val="both"/>
      </w:pPr>
      <w:r w:rsidRPr="00B85E63">
        <w:rPr>
          <w:b/>
          <w:bCs/>
        </w:rPr>
        <w:t xml:space="preserve">Put </w:t>
      </w:r>
      <w:r w:rsidR="00B56B9C" w:rsidRPr="00B85E63">
        <w:rPr>
          <w:b/>
          <w:bCs/>
        </w:rPr>
        <w:t>people</w:t>
      </w:r>
      <w:r w:rsidRPr="005000AA">
        <w:rPr>
          <w:b/>
          <w:bCs/>
        </w:rPr>
        <w:t xml:space="preserve"> at</w:t>
      </w:r>
      <w:r w:rsidR="006D3C01" w:rsidRPr="005000AA">
        <w:rPr>
          <w:b/>
          <w:bCs/>
        </w:rPr>
        <w:t xml:space="preserve"> the centre</w:t>
      </w:r>
      <w:r w:rsidR="001F39EA">
        <w:rPr>
          <w:b/>
          <w:bCs/>
        </w:rPr>
        <w:t xml:space="preserve"> at all stages of their lives</w:t>
      </w:r>
      <w:r w:rsidR="006F2468">
        <w:rPr>
          <w:b/>
          <w:bCs/>
        </w:rPr>
        <w:t>, both</w:t>
      </w:r>
      <w:r w:rsidR="001C634F">
        <w:rPr>
          <w:b/>
          <w:bCs/>
        </w:rPr>
        <w:t xml:space="preserve"> as</w:t>
      </w:r>
      <w:r w:rsidR="006F2468">
        <w:rPr>
          <w:b/>
          <w:bCs/>
        </w:rPr>
        <w:t xml:space="preserve"> children and adults</w:t>
      </w:r>
      <w:r w:rsidR="006D3C01">
        <w:t xml:space="preserve"> – </w:t>
      </w:r>
      <w:r w:rsidR="001C634F">
        <w:t>firstly by</w:t>
      </w:r>
      <w:r w:rsidR="006D3C01">
        <w:t xml:space="preserve"> </w:t>
      </w:r>
      <w:r w:rsidR="001D3113">
        <w:t xml:space="preserve">empowering them and supporting their participation </w:t>
      </w:r>
      <w:r w:rsidR="006D3C01">
        <w:t>in the design and ownership of the</w:t>
      </w:r>
      <w:r>
        <w:t>ir own inclusion</w:t>
      </w:r>
      <w:r w:rsidR="006D3C01">
        <w:t xml:space="preserve"> pathway</w:t>
      </w:r>
      <w:r w:rsidR="001C634F">
        <w:t>. Secondly,</w:t>
      </w:r>
      <w:r w:rsidR="006D3C01">
        <w:t xml:space="preserve"> </w:t>
      </w:r>
      <w:r w:rsidR="001D3113">
        <w:t xml:space="preserve">collectively as </w:t>
      </w:r>
      <w:r w:rsidR="006D3C01">
        <w:t>beneficiar</w:t>
      </w:r>
      <w:r w:rsidR="006F2468">
        <w:t>ies</w:t>
      </w:r>
      <w:r w:rsidR="00EA25DE">
        <w:t xml:space="preserve"> and</w:t>
      </w:r>
      <w:r w:rsidR="001C634F">
        <w:t xml:space="preserve"> essential</w:t>
      </w:r>
      <w:r w:rsidR="006F2468">
        <w:t xml:space="preserve"> </w:t>
      </w:r>
      <w:r>
        <w:t>voice</w:t>
      </w:r>
      <w:r w:rsidR="001D3113">
        <w:t>s</w:t>
      </w:r>
      <w:r w:rsidR="006D3C01">
        <w:t xml:space="preserve"> in the design, delivery and monitoring of the services</w:t>
      </w:r>
      <w:r w:rsidR="00B56B9C">
        <w:t xml:space="preserve"> and policies that inform them</w:t>
      </w:r>
      <w:r w:rsidR="001F39EA">
        <w:t>.</w:t>
      </w:r>
    </w:p>
    <w:p w14:paraId="2E164FC4" w14:textId="77777777" w:rsidR="00960EB6" w:rsidRDefault="00960EB6" w:rsidP="001D3113">
      <w:pPr>
        <w:pStyle w:val="ListParagraph"/>
        <w:numPr>
          <w:ilvl w:val="0"/>
          <w:numId w:val="5"/>
        </w:numPr>
        <w:pBdr>
          <w:top w:val="single" w:sz="4" w:space="1" w:color="auto"/>
          <w:left w:val="single" w:sz="4" w:space="4" w:color="auto"/>
          <w:bottom w:val="single" w:sz="4" w:space="1" w:color="auto"/>
          <w:right w:val="single" w:sz="4" w:space="4" w:color="auto"/>
        </w:pBdr>
        <w:jc w:val="both"/>
      </w:pPr>
      <w:r w:rsidRPr="00960EB6">
        <w:rPr>
          <w:b/>
          <w:bCs/>
        </w:rPr>
        <w:t>Support additional tailored</w:t>
      </w:r>
      <w:r w:rsidR="001D3113" w:rsidRPr="005000AA">
        <w:rPr>
          <w:b/>
          <w:bCs/>
        </w:rPr>
        <w:t xml:space="preserve"> strategies for key target groups</w:t>
      </w:r>
      <w:r w:rsidR="001C634F">
        <w:rPr>
          <w:b/>
          <w:bCs/>
        </w:rPr>
        <w:t>, tackling discrimination including socio-economic</w:t>
      </w:r>
      <w:r w:rsidR="001D3113">
        <w:t xml:space="preserve">, </w:t>
      </w:r>
      <w:r>
        <w:t>within</w:t>
      </w:r>
      <w:r w:rsidR="001D3113">
        <w:t xml:space="preserve"> the overarching umbrella of </w:t>
      </w:r>
      <w:r w:rsidR="00EA25DE">
        <w:t>a</w:t>
      </w:r>
      <w:r w:rsidR="006612E4">
        <w:t>n integrated EU</w:t>
      </w:r>
      <w:r w:rsidR="00EA25DE">
        <w:t xml:space="preserve"> anti-poverty </w:t>
      </w:r>
      <w:r w:rsidR="001D3113">
        <w:t xml:space="preserve">strategy: </w:t>
      </w:r>
    </w:p>
    <w:p w14:paraId="2948150D" w14:textId="08D4A0D5" w:rsidR="00960EB6" w:rsidRDefault="00EA25DE" w:rsidP="003E19B8">
      <w:pPr>
        <w:pStyle w:val="ListParagraph"/>
        <w:pBdr>
          <w:top w:val="single" w:sz="4" w:space="1" w:color="auto"/>
          <w:left w:val="single" w:sz="4" w:space="4" w:color="auto"/>
          <w:bottom w:val="single" w:sz="4" w:space="1" w:color="auto"/>
          <w:right w:val="single" w:sz="4" w:space="4" w:color="auto"/>
        </w:pBdr>
        <w:ind w:left="360"/>
        <w:jc w:val="both"/>
      </w:pPr>
      <w:r>
        <w:t xml:space="preserve">1) </w:t>
      </w:r>
      <w:r w:rsidR="001D3113">
        <w:t xml:space="preserve">particularly a </w:t>
      </w:r>
      <w:r w:rsidR="00960EB6" w:rsidRPr="003E19B8">
        <w:rPr>
          <w:b/>
          <w:bCs/>
        </w:rPr>
        <w:t>C</w:t>
      </w:r>
      <w:r w:rsidR="001D3113" w:rsidRPr="003E19B8">
        <w:rPr>
          <w:b/>
          <w:bCs/>
        </w:rPr>
        <w:t xml:space="preserve">hild </w:t>
      </w:r>
      <w:r w:rsidR="00960EB6" w:rsidRPr="003E19B8">
        <w:rPr>
          <w:b/>
          <w:bCs/>
        </w:rPr>
        <w:t>G</w:t>
      </w:r>
      <w:r w:rsidR="001D3113" w:rsidRPr="003E19B8">
        <w:rPr>
          <w:b/>
          <w:bCs/>
        </w:rPr>
        <w:t>uarantee</w:t>
      </w:r>
      <w:r>
        <w:t xml:space="preserve">, </w:t>
      </w:r>
      <w:r w:rsidR="001D3113">
        <w:t>rooted in the comprehensive 3</w:t>
      </w:r>
      <w:r>
        <w:t>-</w:t>
      </w:r>
      <w:r w:rsidR="001D3113">
        <w:t xml:space="preserve">pillar approach of the </w:t>
      </w:r>
      <w:hyperlink r:id="rId25" w:history="1">
        <w:r w:rsidR="001D3113" w:rsidRPr="00680C84">
          <w:rPr>
            <w:rStyle w:val="Hyperlink"/>
          </w:rPr>
          <w:t>Investing in Children Recommendation</w:t>
        </w:r>
      </w:hyperlink>
      <w:r w:rsidR="001D3113">
        <w:t xml:space="preserve">, supporting a Council Recommendation to ensure </w:t>
      </w:r>
      <w:r>
        <w:t xml:space="preserve">its </w:t>
      </w:r>
      <w:r w:rsidR="001D3113">
        <w:t>implementation</w:t>
      </w:r>
      <w:r w:rsidR="00AF7137">
        <w:t>.</w:t>
      </w:r>
    </w:p>
    <w:p w14:paraId="1DE9A688" w14:textId="710A512D" w:rsidR="001D3113" w:rsidRDefault="00EA25DE" w:rsidP="003E19B8">
      <w:pPr>
        <w:pStyle w:val="ListParagraph"/>
        <w:pBdr>
          <w:top w:val="single" w:sz="4" w:space="1" w:color="auto"/>
          <w:left w:val="single" w:sz="4" w:space="4" w:color="auto"/>
          <w:bottom w:val="single" w:sz="4" w:space="1" w:color="auto"/>
          <w:right w:val="single" w:sz="4" w:space="4" w:color="auto"/>
        </w:pBdr>
        <w:ind w:left="360"/>
        <w:jc w:val="both"/>
      </w:pPr>
      <w:r>
        <w:t>2) t</w:t>
      </w:r>
      <w:r w:rsidR="001D3113">
        <w:t>ackling homelessness and housing exclusion – supporting a framework for national strategies</w:t>
      </w:r>
      <w:r w:rsidR="00AF7137">
        <w:t xml:space="preserve">. </w:t>
      </w:r>
      <w:r>
        <w:t xml:space="preserve">3) </w:t>
      </w:r>
      <w:r w:rsidR="001D3113">
        <w:t>targeted strategies for older people, people with disabilities, migrants</w:t>
      </w:r>
      <w:r w:rsidR="00736A2D">
        <w:t xml:space="preserve">, </w:t>
      </w:r>
      <w:proofErr w:type="gramStart"/>
      <w:r w:rsidR="00736A2D">
        <w:t>Roma</w:t>
      </w:r>
      <w:proofErr w:type="gramEnd"/>
      <w:r w:rsidR="001D3113">
        <w:t xml:space="preserve"> and other</w:t>
      </w:r>
      <w:r w:rsidR="00D70FC3">
        <w:t xml:space="preserve"> black and ethnic minorities</w:t>
      </w:r>
      <w:r w:rsidR="001D3113">
        <w:t>.</w:t>
      </w:r>
      <w:r w:rsidR="006F2468">
        <w:t xml:space="preserve"> </w:t>
      </w:r>
    </w:p>
    <w:p w14:paraId="4B73C905" w14:textId="23F72F69" w:rsidR="006F2468" w:rsidRDefault="006F2468" w:rsidP="001D3113">
      <w:pPr>
        <w:pStyle w:val="ListParagraph"/>
        <w:numPr>
          <w:ilvl w:val="0"/>
          <w:numId w:val="5"/>
        </w:numPr>
        <w:pBdr>
          <w:top w:val="single" w:sz="4" w:space="1" w:color="auto"/>
          <w:left w:val="single" w:sz="4" w:space="4" w:color="auto"/>
          <w:bottom w:val="single" w:sz="4" w:space="1" w:color="auto"/>
          <w:right w:val="single" w:sz="4" w:space="4" w:color="auto"/>
        </w:pBdr>
        <w:jc w:val="both"/>
      </w:pPr>
      <w:r w:rsidRPr="00D70FC3">
        <w:rPr>
          <w:b/>
          <w:bCs/>
        </w:rPr>
        <w:t xml:space="preserve">Poverty is </w:t>
      </w:r>
      <w:r w:rsidR="001C634F" w:rsidRPr="00D70FC3">
        <w:rPr>
          <w:b/>
          <w:bCs/>
        </w:rPr>
        <w:t>linked to</w:t>
      </w:r>
      <w:r w:rsidRPr="00D70FC3">
        <w:rPr>
          <w:b/>
          <w:bCs/>
        </w:rPr>
        <w:t xml:space="preserve"> growing inequality. </w:t>
      </w:r>
      <w:r w:rsidR="001C634F" w:rsidRPr="00D70FC3">
        <w:rPr>
          <w:b/>
          <w:bCs/>
        </w:rPr>
        <w:t>Any antipoverty strategy must be underpinned by strong</w:t>
      </w:r>
      <w:r w:rsidRPr="00D70FC3">
        <w:rPr>
          <w:b/>
          <w:bCs/>
        </w:rPr>
        <w:t xml:space="preserve"> redistribution</w:t>
      </w:r>
      <w:r>
        <w:t xml:space="preserve"> mechanisms</w:t>
      </w:r>
      <w:r w:rsidR="001C634F">
        <w:t xml:space="preserve"> to challenge the unequal distribution of income and wealth. </w:t>
      </w:r>
      <w:r w:rsidR="001C634F" w:rsidRPr="00D70FC3">
        <w:rPr>
          <w:b/>
          <w:bCs/>
        </w:rPr>
        <w:t>Tax justice</w:t>
      </w:r>
      <w:r w:rsidR="001C634F">
        <w:t xml:space="preserve"> is an essential instrument for redistribution, and to finance sustainable finance welfare states.</w:t>
      </w:r>
      <w:r>
        <w:t xml:space="preserve"> </w:t>
      </w:r>
      <w:r w:rsidR="001C634F">
        <w:t>This should include: increasing tax collection, tackling tax evasion and avoidance, increasing the progressivity of tax systems – income, corporation, wealth, property and inheritance taxes, avoiding regressive VAT and consumer taxes and mitigating against the potentially regressive impact of environmental taxes, investing in new sources of taxation including a digital tax and effective Financial Transactions Tax.</w:t>
      </w:r>
    </w:p>
    <w:p w14:paraId="76B6AF24" w14:textId="77777777" w:rsidR="00955F21" w:rsidRDefault="00955F21" w:rsidP="001615ED">
      <w:pPr>
        <w:pStyle w:val="ListParagraph"/>
        <w:jc w:val="both"/>
      </w:pPr>
    </w:p>
    <w:p w14:paraId="53C6E86A" w14:textId="406E11E6" w:rsidR="00680C84" w:rsidRDefault="00E47DEA" w:rsidP="000C46B7">
      <w:pPr>
        <w:pStyle w:val="ListParagraph"/>
        <w:ind w:left="360"/>
        <w:jc w:val="both"/>
        <w:rPr>
          <w:b/>
          <w:bCs/>
          <w:sz w:val="24"/>
          <w:szCs w:val="24"/>
        </w:rPr>
      </w:pPr>
      <w:r>
        <w:rPr>
          <w:b/>
          <w:bCs/>
          <w:sz w:val="24"/>
          <w:szCs w:val="24"/>
        </w:rPr>
        <w:t>3</w:t>
      </w:r>
      <w:r w:rsidR="005E2176">
        <w:rPr>
          <w:b/>
          <w:bCs/>
          <w:sz w:val="24"/>
          <w:szCs w:val="24"/>
        </w:rPr>
        <w:t>.4 Adopt an</w:t>
      </w:r>
      <w:r w:rsidR="00B03107">
        <w:rPr>
          <w:b/>
          <w:bCs/>
          <w:sz w:val="24"/>
          <w:szCs w:val="24"/>
        </w:rPr>
        <w:t xml:space="preserve"> a</w:t>
      </w:r>
      <w:r w:rsidR="002D4559">
        <w:rPr>
          <w:b/>
          <w:bCs/>
          <w:sz w:val="24"/>
          <w:szCs w:val="24"/>
        </w:rPr>
        <w:t>mbitious</w:t>
      </w:r>
      <w:r w:rsidR="005E2176">
        <w:rPr>
          <w:b/>
          <w:bCs/>
          <w:sz w:val="24"/>
          <w:szCs w:val="24"/>
        </w:rPr>
        <w:t xml:space="preserve"> EU</w:t>
      </w:r>
      <w:r w:rsidR="002D4559">
        <w:rPr>
          <w:b/>
          <w:bCs/>
          <w:sz w:val="24"/>
          <w:szCs w:val="24"/>
        </w:rPr>
        <w:t xml:space="preserve"> </w:t>
      </w:r>
      <w:r w:rsidR="005E2176">
        <w:rPr>
          <w:b/>
          <w:bCs/>
          <w:sz w:val="24"/>
          <w:szCs w:val="24"/>
        </w:rPr>
        <w:t xml:space="preserve">2030 </w:t>
      </w:r>
      <w:r w:rsidR="002D4559">
        <w:rPr>
          <w:b/>
          <w:bCs/>
          <w:sz w:val="24"/>
          <w:szCs w:val="24"/>
        </w:rPr>
        <w:t>poverty</w:t>
      </w:r>
      <w:r w:rsidR="000B1A8D" w:rsidRPr="000E3C68">
        <w:rPr>
          <w:b/>
          <w:bCs/>
          <w:sz w:val="24"/>
          <w:szCs w:val="24"/>
        </w:rPr>
        <w:t xml:space="preserve"> target</w:t>
      </w:r>
      <w:r w:rsidR="002D4559">
        <w:rPr>
          <w:b/>
          <w:bCs/>
          <w:sz w:val="24"/>
          <w:szCs w:val="24"/>
        </w:rPr>
        <w:t xml:space="preserve"> to support upward convergence!</w:t>
      </w:r>
    </w:p>
    <w:p w14:paraId="73F84C7E" w14:textId="77777777" w:rsidR="00E47DEA" w:rsidRDefault="00E47DEA" w:rsidP="000C46B7">
      <w:pPr>
        <w:pStyle w:val="ListParagraph"/>
        <w:ind w:left="360"/>
        <w:jc w:val="both"/>
        <w:rPr>
          <w:b/>
          <w:bCs/>
          <w:sz w:val="24"/>
          <w:szCs w:val="24"/>
        </w:rPr>
      </w:pPr>
    </w:p>
    <w:p w14:paraId="0930030E" w14:textId="55804ED9" w:rsidR="000B1A8D" w:rsidRPr="001D3113" w:rsidRDefault="00680C84" w:rsidP="001615ED">
      <w:pPr>
        <w:pStyle w:val="ListParagraph"/>
        <w:numPr>
          <w:ilvl w:val="0"/>
          <w:numId w:val="1"/>
        </w:numPr>
        <w:jc w:val="both"/>
      </w:pPr>
      <w:r w:rsidRPr="00955F21">
        <w:t xml:space="preserve">The </w:t>
      </w:r>
      <w:r w:rsidRPr="00276C53">
        <w:rPr>
          <w:b/>
          <w:bCs/>
        </w:rPr>
        <w:t>EPSR aims to provide an essential floor for social rights</w:t>
      </w:r>
      <w:r w:rsidRPr="001D3113">
        <w:t xml:space="preserve"> in the EU. This is an essential balance to</w:t>
      </w:r>
      <w:r w:rsidR="003E19B8">
        <w:t xml:space="preserve"> the</w:t>
      </w:r>
      <w:r w:rsidRPr="001D3113">
        <w:t xml:space="preserve"> </w:t>
      </w:r>
      <w:r w:rsidR="001F39EA">
        <w:t>S</w:t>
      </w:r>
      <w:r w:rsidRPr="001D3113">
        <w:t xml:space="preserve">tability and </w:t>
      </w:r>
      <w:r w:rsidR="001F39EA">
        <w:t>G</w:t>
      </w:r>
      <w:r w:rsidRPr="001D3113">
        <w:t xml:space="preserve">rowth </w:t>
      </w:r>
      <w:r w:rsidR="003E19B8">
        <w:t>Pact. A</w:t>
      </w:r>
      <w:r w:rsidRPr="001D3113">
        <w:t>ll policies should contribute to the implementation</w:t>
      </w:r>
      <w:r w:rsidR="00D70FC3">
        <w:t>.</w:t>
      </w:r>
    </w:p>
    <w:p w14:paraId="34CB56F5" w14:textId="729A768F" w:rsidR="000B1A8D" w:rsidRPr="001D3113" w:rsidRDefault="001F39EA" w:rsidP="001615ED">
      <w:pPr>
        <w:pStyle w:val="ListParagraph"/>
        <w:numPr>
          <w:ilvl w:val="0"/>
          <w:numId w:val="1"/>
        </w:numPr>
        <w:jc w:val="both"/>
      </w:pPr>
      <w:r>
        <w:t xml:space="preserve">The </w:t>
      </w:r>
      <w:r w:rsidRPr="00276C53">
        <w:rPr>
          <w:b/>
          <w:bCs/>
        </w:rPr>
        <w:t>goal to drive</w:t>
      </w:r>
      <w:r w:rsidR="000B1A8D" w:rsidRPr="00276C53">
        <w:rPr>
          <w:b/>
          <w:bCs/>
        </w:rPr>
        <w:t xml:space="preserve"> </w:t>
      </w:r>
      <w:r w:rsidR="00EA25DE" w:rsidRPr="00276C53">
        <w:rPr>
          <w:b/>
          <w:bCs/>
        </w:rPr>
        <w:t xml:space="preserve">economic and social </w:t>
      </w:r>
      <w:r w:rsidR="000B1A8D" w:rsidRPr="00276C53">
        <w:rPr>
          <w:b/>
          <w:bCs/>
        </w:rPr>
        <w:t>upward convergence</w:t>
      </w:r>
      <w:r w:rsidR="00D70FC3">
        <w:t xml:space="preserve"> </w:t>
      </w:r>
      <w:r w:rsidR="000B1A8D" w:rsidRPr="001D3113">
        <w:t>is currently carried out through</w:t>
      </w:r>
      <w:r>
        <w:t xml:space="preserve"> EU coordination mechanism</w:t>
      </w:r>
      <w:r w:rsidR="00736A2D">
        <w:t>:</w:t>
      </w:r>
      <w:r w:rsidR="000B1A8D" w:rsidRPr="001D3113">
        <w:t xml:space="preserve"> the European Semester, </w:t>
      </w:r>
      <w:r w:rsidR="00736A2D">
        <w:t>primarily through</w:t>
      </w:r>
      <w:r w:rsidR="000B1A8D" w:rsidRPr="001D3113">
        <w:t xml:space="preserve"> the </w:t>
      </w:r>
      <w:r w:rsidR="00EA25DE">
        <w:t>S</w:t>
      </w:r>
      <w:r w:rsidR="000B1A8D" w:rsidRPr="001D3113">
        <w:t xml:space="preserve">ocial </w:t>
      </w:r>
      <w:r w:rsidR="00EA25DE">
        <w:t>S</w:t>
      </w:r>
      <w:r w:rsidR="000B1A8D" w:rsidRPr="001D3113">
        <w:t>coreboard</w:t>
      </w:r>
      <w:r w:rsidR="00B40764">
        <w:t>. T</w:t>
      </w:r>
      <w:r w:rsidR="000B1A8D" w:rsidRPr="001D3113">
        <w:t>he focus on EU averages</w:t>
      </w:r>
      <w:r w:rsidR="00736A2D">
        <w:t xml:space="preserve"> in the Scoreboard</w:t>
      </w:r>
      <w:r w:rsidR="000B1A8D" w:rsidRPr="001D3113">
        <w:t xml:space="preserve">, </w:t>
      </w:r>
      <w:r w:rsidR="00B40764" w:rsidRPr="001D3113">
        <w:t>however</w:t>
      </w:r>
      <w:r w:rsidR="00B40764">
        <w:t>,</w:t>
      </w:r>
      <w:r w:rsidR="00B40764" w:rsidRPr="001D3113">
        <w:t xml:space="preserve"> </w:t>
      </w:r>
      <w:r w:rsidR="000B1A8D" w:rsidRPr="001D3113">
        <w:t>is not sufficient to drive positive progress i</w:t>
      </w:r>
      <w:r w:rsidR="00B12BF1">
        <w:t>.</w:t>
      </w:r>
      <w:r w:rsidR="000B1A8D" w:rsidRPr="001D3113">
        <w:t>e</w:t>
      </w:r>
      <w:r w:rsidR="00B12BF1">
        <w:t>.</w:t>
      </w:r>
      <w:r w:rsidR="000B1A8D" w:rsidRPr="001D3113">
        <w:t xml:space="preserve"> upward convergence, particularly in areas where the EU average itself is low. </w:t>
      </w:r>
      <w:r w:rsidR="000B1A8D" w:rsidRPr="00276C53">
        <w:rPr>
          <w:b/>
          <w:bCs/>
        </w:rPr>
        <w:t>There is a clear need for ambitious EU targets</w:t>
      </w:r>
      <w:r w:rsidR="000B1A8D" w:rsidRPr="001D3113">
        <w:t xml:space="preserve"> and common goals that can drive this vision – i</w:t>
      </w:r>
      <w:r w:rsidR="00B12BF1">
        <w:t>.</w:t>
      </w:r>
      <w:r w:rsidR="000B1A8D" w:rsidRPr="001D3113">
        <w:t>e</w:t>
      </w:r>
      <w:r w:rsidR="00B12BF1">
        <w:t>.</w:t>
      </w:r>
      <w:r w:rsidR="000B1A8D" w:rsidRPr="001D3113">
        <w:t xml:space="preserve"> </w:t>
      </w:r>
      <w:r>
        <w:t xml:space="preserve">concrete </w:t>
      </w:r>
      <w:r w:rsidR="000B1A8D" w:rsidRPr="001D3113">
        <w:t xml:space="preserve">poverty and inequality </w:t>
      </w:r>
      <w:r w:rsidR="00B40764">
        <w:t xml:space="preserve">reduction </w:t>
      </w:r>
      <w:r w:rsidR="000B1A8D" w:rsidRPr="001D3113">
        <w:t>targets</w:t>
      </w:r>
      <w:r w:rsidR="007B3E7B">
        <w:t>.</w:t>
      </w:r>
    </w:p>
    <w:p w14:paraId="1AEE59A6" w14:textId="21B8787E" w:rsidR="000B1A8D" w:rsidRPr="001D3113" w:rsidRDefault="000B1A8D" w:rsidP="001615ED">
      <w:pPr>
        <w:pStyle w:val="ListParagraph"/>
        <w:numPr>
          <w:ilvl w:val="0"/>
          <w:numId w:val="1"/>
        </w:numPr>
        <w:jc w:val="both"/>
      </w:pPr>
      <w:r w:rsidRPr="001D3113">
        <w:lastRenderedPageBreak/>
        <w:t xml:space="preserve">Although the </w:t>
      </w:r>
      <w:r w:rsidRPr="003E19B8">
        <w:rPr>
          <w:b/>
          <w:bCs/>
        </w:rPr>
        <w:t xml:space="preserve">Europe 2020 poverty target to reduce poverty by at least 20 million fell short, it was crucial in setting </w:t>
      </w:r>
      <w:r w:rsidR="00B40764" w:rsidRPr="003E19B8">
        <w:rPr>
          <w:b/>
          <w:bCs/>
        </w:rPr>
        <w:t xml:space="preserve">a </w:t>
      </w:r>
      <w:r w:rsidRPr="003E19B8">
        <w:rPr>
          <w:b/>
          <w:bCs/>
        </w:rPr>
        <w:t>common political ambition</w:t>
      </w:r>
      <w:r w:rsidRPr="001D3113">
        <w:t xml:space="preserve"> as well as driving funding </w:t>
      </w:r>
      <w:r w:rsidR="00B40764">
        <w:t xml:space="preserve">in line and support of this target </w:t>
      </w:r>
      <w:r w:rsidRPr="001D3113">
        <w:t>(</w:t>
      </w:r>
      <w:proofErr w:type="spellStart"/>
      <w:r w:rsidRPr="001D3113">
        <w:t>ie</w:t>
      </w:r>
      <w:proofErr w:type="spellEnd"/>
      <w:r w:rsidRPr="001D3113">
        <w:t xml:space="preserve"> the 20% ESF earmarking</w:t>
      </w:r>
      <w:r w:rsidR="001F39EA">
        <w:t xml:space="preserve"> and Horizon 2020</w:t>
      </w:r>
      <w:r w:rsidRPr="001D3113">
        <w:t>)</w:t>
      </w:r>
      <w:r w:rsidR="008111E8" w:rsidRPr="001D3113">
        <w:t>. However, the target was flawed, as it did</w:t>
      </w:r>
      <w:r w:rsidR="00D70FC3">
        <w:t xml:space="preserve"> not </w:t>
      </w:r>
      <w:r w:rsidR="008111E8" w:rsidRPr="001D3113">
        <w:t>refer to a common %, unl</w:t>
      </w:r>
      <w:r w:rsidR="000E3C68" w:rsidRPr="001D3113">
        <w:t>ike</w:t>
      </w:r>
      <w:r w:rsidR="008111E8" w:rsidRPr="001D3113">
        <w:t xml:space="preserve"> other</w:t>
      </w:r>
      <w:r w:rsidR="00736A2D">
        <w:t xml:space="preserve"> Social</w:t>
      </w:r>
      <w:r w:rsidR="008111E8" w:rsidRPr="001D3113">
        <w:t xml:space="preserve"> targets</w:t>
      </w:r>
      <w:r w:rsidR="00736A2D">
        <w:t>.</w:t>
      </w:r>
      <w:r w:rsidR="008111E8" w:rsidRPr="001D3113">
        <w:t xml:space="preserve"> Member States were </w:t>
      </w:r>
      <w:r w:rsidR="00736A2D">
        <w:t xml:space="preserve">also </w:t>
      </w:r>
      <w:r w:rsidR="008111E8" w:rsidRPr="001D3113">
        <w:t>left to set their own targets based on their own choice of indicators</w:t>
      </w:r>
      <w:r w:rsidR="007B3E7B">
        <w:t xml:space="preserve"> (</w:t>
      </w:r>
      <w:r w:rsidR="00B40764">
        <w:t>e.g.</w:t>
      </w:r>
      <w:r w:rsidR="007B3E7B">
        <w:t xml:space="preserve"> in Germany</w:t>
      </w:r>
      <w:r w:rsidR="00B40764">
        <w:t xml:space="preserve"> and Sweden</w:t>
      </w:r>
      <w:r w:rsidR="007B3E7B">
        <w:t>).</w:t>
      </w:r>
    </w:p>
    <w:p w14:paraId="6084D5D1" w14:textId="3D21466B" w:rsidR="008111E8" w:rsidRPr="00955F21" w:rsidRDefault="008111E8" w:rsidP="001615ED">
      <w:pPr>
        <w:pStyle w:val="ListParagraph"/>
        <w:numPr>
          <w:ilvl w:val="0"/>
          <w:numId w:val="1"/>
        </w:numPr>
        <w:jc w:val="both"/>
      </w:pPr>
      <w:r w:rsidRPr="00955F21">
        <w:t xml:space="preserve">For this reason, EAPN would support the </w:t>
      </w:r>
      <w:r w:rsidRPr="00955F21">
        <w:rPr>
          <w:b/>
          <w:bCs/>
        </w:rPr>
        <w:t>SDG 1 target, and propose an ambitious EU target to reduce at risk of poverty and social exclusion (AROPE</w:t>
      </w:r>
      <w:r w:rsidRPr="00B40764">
        <w:rPr>
          <w:b/>
          <w:bCs/>
        </w:rPr>
        <w:t>)</w:t>
      </w:r>
      <w:r w:rsidR="00B40764" w:rsidRPr="00B40764">
        <w:rPr>
          <w:b/>
          <w:bCs/>
        </w:rPr>
        <w:t xml:space="preserve"> </w:t>
      </w:r>
      <w:r w:rsidR="00B40764" w:rsidRPr="00955F21">
        <w:rPr>
          <w:b/>
          <w:bCs/>
        </w:rPr>
        <w:t>by 50%</w:t>
      </w:r>
      <w:r w:rsidRPr="00955F21">
        <w:t xml:space="preserve">, aiming for </w:t>
      </w:r>
      <w:r w:rsidR="00B40764">
        <w:t xml:space="preserve">a </w:t>
      </w:r>
      <w:r w:rsidRPr="00955F21">
        <w:t xml:space="preserve">progressive realisation, with </w:t>
      </w:r>
      <w:r w:rsidR="00B40764">
        <w:t xml:space="preserve">a </w:t>
      </w:r>
      <w:r w:rsidRPr="00955F21">
        <w:t xml:space="preserve">mid-term 5 year review and </w:t>
      </w:r>
      <w:r w:rsidR="00B40764">
        <w:t xml:space="preserve">an </w:t>
      </w:r>
      <w:r w:rsidRPr="00955F21">
        <w:t xml:space="preserve">action plan, developed and monitored with stakeholders at national </w:t>
      </w:r>
      <w:r w:rsidR="00B40764">
        <w:t xml:space="preserve">and European </w:t>
      </w:r>
      <w:r w:rsidRPr="00955F21">
        <w:t>level</w:t>
      </w:r>
      <w:r w:rsidR="00736A2D">
        <w:t xml:space="preserve"> through the European Semester.</w:t>
      </w:r>
    </w:p>
    <w:p w14:paraId="4DBF2884" w14:textId="47053855" w:rsidR="008111E8" w:rsidRDefault="008111E8" w:rsidP="001615ED">
      <w:pPr>
        <w:pStyle w:val="ListParagraph"/>
        <w:numPr>
          <w:ilvl w:val="0"/>
          <w:numId w:val="1"/>
        </w:numPr>
        <w:jc w:val="both"/>
      </w:pPr>
      <w:r w:rsidRPr="00955F21">
        <w:t>This should be combined with</w:t>
      </w:r>
      <w:r w:rsidR="00B40764">
        <w:t xml:space="preserve"> an</w:t>
      </w:r>
      <w:r w:rsidRPr="00955F21">
        <w:t xml:space="preserve"> </w:t>
      </w:r>
      <w:r w:rsidRPr="00955F21">
        <w:rPr>
          <w:b/>
          <w:bCs/>
        </w:rPr>
        <w:t>additional target to eradicate extreme poverty</w:t>
      </w:r>
      <w:r w:rsidRPr="00955F21">
        <w:t xml:space="preserve">, again in line with SDG 1. Robust indicators need to be developed for this area, which can build on the new social and material deprivation indicator developed through the </w:t>
      </w:r>
      <w:r w:rsidR="00D70FC3">
        <w:t>Indicators Sub</w:t>
      </w:r>
      <w:r w:rsidR="003E19B8">
        <w:t>-</w:t>
      </w:r>
      <w:r w:rsidR="00D70FC3">
        <w:t>Group</w:t>
      </w:r>
      <w:r w:rsidR="00B40764">
        <w:t>. They</w:t>
      </w:r>
      <w:r w:rsidRPr="00955F21">
        <w:t xml:space="preserve"> should include a concrete measurement of homelessness</w:t>
      </w:r>
      <w:r w:rsidR="001C634F">
        <w:t>,</w:t>
      </w:r>
      <w:r w:rsidR="0065618D">
        <w:t xml:space="preserve"> covering the widest measure of homelessness covered by</w:t>
      </w:r>
      <w:r w:rsidR="001C634F">
        <w:t xml:space="preserve"> the </w:t>
      </w:r>
      <w:hyperlink r:id="rId26" w:history="1">
        <w:r w:rsidR="001C634F" w:rsidRPr="0065618D">
          <w:rPr>
            <w:rStyle w:val="Hyperlink"/>
          </w:rPr>
          <w:t>ETHOS</w:t>
        </w:r>
      </w:hyperlink>
      <w:r w:rsidR="0065618D">
        <w:rPr>
          <w:rStyle w:val="FootnoteReference"/>
        </w:rPr>
        <w:footnoteReference w:id="17"/>
      </w:r>
      <w:r w:rsidR="001C634F">
        <w:t xml:space="preserve"> </w:t>
      </w:r>
      <w:r w:rsidR="0065618D">
        <w:t>framework</w:t>
      </w:r>
      <w:r w:rsidRPr="00955F21">
        <w:t>.</w:t>
      </w:r>
      <w:r w:rsidR="001F39EA">
        <w:t xml:space="preserve"> Indicators and a target for extreme poverty should be additional to the AROPE indicators/target. It is essential to monitor </w:t>
      </w:r>
      <w:r w:rsidR="00B40764">
        <w:t xml:space="preserve">the multi-dimensional phenomenon of </w:t>
      </w:r>
      <w:r w:rsidR="001F39EA">
        <w:t>poverty in ‘all its forms’. EAPN strongly defends the relative poverty indicator, as well as more absolute indicators, to capture people’s ability to participate on equal terms in each Member State.</w:t>
      </w:r>
    </w:p>
    <w:p w14:paraId="3217104B" w14:textId="77777777" w:rsidR="000C46B7" w:rsidRPr="00955F21" w:rsidRDefault="000C46B7" w:rsidP="000C46B7">
      <w:pPr>
        <w:pStyle w:val="ListParagraph"/>
        <w:jc w:val="both"/>
      </w:pPr>
    </w:p>
    <w:p w14:paraId="22A13F8D" w14:textId="116211F4" w:rsidR="000C46B7" w:rsidRDefault="00E47DEA" w:rsidP="000C46B7">
      <w:pPr>
        <w:pStyle w:val="ListParagraph"/>
        <w:numPr>
          <w:ilvl w:val="0"/>
          <w:numId w:val="12"/>
        </w:numPr>
        <w:rPr>
          <w:b/>
          <w:bCs/>
          <w:sz w:val="24"/>
          <w:szCs w:val="24"/>
        </w:rPr>
      </w:pPr>
      <w:r>
        <w:rPr>
          <w:b/>
          <w:bCs/>
          <w:sz w:val="24"/>
          <w:szCs w:val="24"/>
        </w:rPr>
        <w:t>3</w:t>
      </w:r>
      <w:r w:rsidR="000C46B7">
        <w:rPr>
          <w:b/>
          <w:bCs/>
          <w:sz w:val="24"/>
          <w:szCs w:val="24"/>
        </w:rPr>
        <w:t>.5 Propose EU Legislation to enforce Social Rights for all!</w:t>
      </w:r>
    </w:p>
    <w:p w14:paraId="7A578A4A" w14:textId="77777777" w:rsidR="00E47DEA" w:rsidRDefault="00E47DEA" w:rsidP="00E47DEA">
      <w:pPr>
        <w:pStyle w:val="ListParagraph"/>
        <w:rPr>
          <w:b/>
          <w:bCs/>
          <w:sz w:val="24"/>
          <w:szCs w:val="24"/>
        </w:rPr>
      </w:pPr>
    </w:p>
    <w:p w14:paraId="1F0FD00D" w14:textId="46E1CF74" w:rsidR="000C46B7" w:rsidRPr="00955F21" w:rsidRDefault="000C46B7" w:rsidP="000C46B7">
      <w:pPr>
        <w:pStyle w:val="ListParagraph"/>
        <w:numPr>
          <w:ilvl w:val="0"/>
          <w:numId w:val="1"/>
        </w:numPr>
        <w:jc w:val="both"/>
      </w:pPr>
      <w:r w:rsidRPr="00955F21">
        <w:t xml:space="preserve">Valuable as the EPSR is, it is currently </w:t>
      </w:r>
      <w:r w:rsidRPr="00276C53">
        <w:rPr>
          <w:b/>
          <w:bCs/>
        </w:rPr>
        <w:t>only a framework of principles rather than enforceable rights.</w:t>
      </w:r>
      <w:r w:rsidRPr="00955F21">
        <w:t xml:space="preserve"> The current ‘soft mechanisms’ have clearly fallen short of delivering substantial results on poverty, with still 109 million (2018) at risk of poverty and exclusion</w:t>
      </w:r>
      <w:r>
        <w:rPr>
          <w:rStyle w:val="FootnoteReference"/>
        </w:rPr>
        <w:footnoteReference w:id="18"/>
      </w:r>
      <w:r w:rsidRPr="00955F21">
        <w:t xml:space="preserve"> and growing gaps across Member </w:t>
      </w:r>
      <w:r>
        <w:t>S</w:t>
      </w:r>
      <w:r w:rsidRPr="00955F21">
        <w:t xml:space="preserve">tates and between key groups, with higher risk faced by children, single parents, people with disabilities, </w:t>
      </w:r>
      <w:r>
        <w:t xml:space="preserve">unemployed persons, Travellers and </w:t>
      </w:r>
      <w:r w:rsidRPr="00955F21">
        <w:t>Roma</w:t>
      </w:r>
      <w:r>
        <w:t xml:space="preserve">, </w:t>
      </w:r>
      <w:r w:rsidRPr="00955F21">
        <w:t>migrants</w:t>
      </w:r>
      <w:r>
        <w:t xml:space="preserve"> and</w:t>
      </w:r>
      <w:r w:rsidR="003E19B8">
        <w:t xml:space="preserve"> the</w:t>
      </w:r>
      <w:r>
        <w:t xml:space="preserve"> homeless.</w:t>
      </w:r>
    </w:p>
    <w:p w14:paraId="3CAD55AB" w14:textId="149FCCB0" w:rsidR="000C46B7" w:rsidRPr="00955F21" w:rsidRDefault="000C46B7" w:rsidP="000C46B7">
      <w:pPr>
        <w:pStyle w:val="ListParagraph"/>
        <w:numPr>
          <w:ilvl w:val="0"/>
          <w:numId w:val="1"/>
        </w:numPr>
        <w:jc w:val="both"/>
      </w:pPr>
      <w:r w:rsidRPr="00955F21">
        <w:t xml:space="preserve">A clear goal should be to progress towards an </w:t>
      </w:r>
      <w:r w:rsidRPr="00D70FC3">
        <w:rPr>
          <w:b/>
          <w:bCs/>
        </w:rPr>
        <w:t>enforceable framework</w:t>
      </w:r>
      <w:r>
        <w:rPr>
          <w:b/>
          <w:bCs/>
        </w:rPr>
        <w:t xml:space="preserve"> of rights</w:t>
      </w:r>
      <w:r w:rsidRPr="00955F21">
        <w:t xml:space="preserve"> if implementation is to be effective. In the long-term this may require Treaty changes</w:t>
      </w:r>
      <w:r>
        <w:t>.</w:t>
      </w:r>
      <w:r w:rsidRPr="00955F21">
        <w:t xml:space="preserve"> </w:t>
      </w:r>
      <w:r>
        <w:t>H</w:t>
      </w:r>
      <w:r w:rsidRPr="00955F21">
        <w:t>owever, progress can already be made with</w:t>
      </w:r>
      <w:r>
        <w:t>in</w:t>
      </w:r>
      <w:r w:rsidRPr="00955F21">
        <w:t xml:space="preserve"> existing Treaty </w:t>
      </w:r>
      <w:proofErr w:type="gramStart"/>
      <w:r w:rsidRPr="00955F21">
        <w:t>obligations, if</w:t>
      </w:r>
      <w:proofErr w:type="gramEnd"/>
      <w:r w:rsidRPr="00955F21">
        <w:t xml:space="preserve"> the EU has sufficient political will.</w:t>
      </w:r>
    </w:p>
    <w:p w14:paraId="60BC5DE1" w14:textId="127D5F90" w:rsidR="000C46B7" w:rsidRPr="00C06101" w:rsidRDefault="000C46B7" w:rsidP="000C46B7">
      <w:pPr>
        <w:pStyle w:val="ListParagraph"/>
        <w:numPr>
          <w:ilvl w:val="0"/>
          <w:numId w:val="1"/>
        </w:numPr>
        <w:jc w:val="both"/>
        <w:rPr>
          <w:rFonts w:cstheme="minorHAnsi"/>
        </w:rPr>
      </w:pPr>
      <w:r w:rsidRPr="00955F21">
        <w:rPr>
          <w:rFonts w:cstheme="minorHAnsi"/>
        </w:rPr>
        <w:t xml:space="preserve">Whilst social policy is considered mainly within national competence, the </w:t>
      </w:r>
      <w:r w:rsidRPr="00276C53">
        <w:rPr>
          <w:rFonts w:cstheme="minorHAnsi"/>
          <w:b/>
          <w:bCs/>
        </w:rPr>
        <w:t>EU has a role in Article 3.5 L(TFU), to</w:t>
      </w:r>
      <w:r w:rsidRPr="00276C53">
        <w:rPr>
          <w:rFonts w:cstheme="minorHAnsi"/>
          <w:b/>
          <w:bCs/>
          <w:color w:val="222222"/>
          <w:shd w:val="clear" w:color="auto" w:fill="FFFFFF"/>
        </w:rPr>
        <w:t xml:space="preserve"> contribute to eradicating poverty, observe human rights</w:t>
      </w:r>
      <w:r w:rsidRPr="00955F21">
        <w:rPr>
          <w:rFonts w:cstheme="minorHAnsi"/>
          <w:color w:val="222222"/>
          <w:shd w:val="clear" w:color="auto" w:fill="FFFFFF"/>
        </w:rPr>
        <w:t xml:space="preserve"> and respect the </w:t>
      </w:r>
      <w:hyperlink r:id="rId27" w:history="1">
        <w:r w:rsidRPr="00955F21">
          <w:rPr>
            <w:rFonts w:cstheme="minorHAnsi"/>
            <w:color w:val="0645AD"/>
            <w:u w:val="single"/>
          </w:rPr>
          <w:t>charter of the United Nations</w:t>
        </w:r>
      </w:hyperlink>
      <w:r w:rsidRPr="00955F21">
        <w:rPr>
          <w:rFonts w:cstheme="minorHAnsi"/>
          <w:color w:val="222222"/>
          <w:shd w:val="clear" w:color="auto" w:fill="FFFFFF"/>
        </w:rPr>
        <w:t>”. Progress on enforceable social rights has been recently</w:t>
      </w:r>
      <w:r w:rsidRPr="00C06101">
        <w:rPr>
          <w:rFonts w:cstheme="minorHAnsi"/>
          <w:color w:val="222222"/>
          <w:shd w:val="clear" w:color="auto" w:fill="FFFFFF"/>
        </w:rPr>
        <w:t xml:space="preserve"> made with the adoption of the </w:t>
      </w:r>
      <w:hyperlink r:id="rId28" w:history="1">
        <w:r w:rsidRPr="00C06101">
          <w:rPr>
            <w:rStyle w:val="Hyperlink"/>
            <w:rFonts w:cstheme="minorHAnsi"/>
            <w:shd w:val="clear" w:color="auto" w:fill="FFFFFF"/>
          </w:rPr>
          <w:t>Directive on Work</w:t>
        </w:r>
        <w:r>
          <w:rPr>
            <w:rStyle w:val="Hyperlink"/>
            <w:rFonts w:cstheme="minorHAnsi"/>
            <w:shd w:val="clear" w:color="auto" w:fill="FFFFFF"/>
          </w:rPr>
          <w:t>-L</w:t>
        </w:r>
        <w:r w:rsidRPr="00C06101">
          <w:rPr>
            <w:rStyle w:val="Hyperlink"/>
            <w:rFonts w:cstheme="minorHAnsi"/>
            <w:shd w:val="clear" w:color="auto" w:fill="FFFFFF"/>
          </w:rPr>
          <w:t xml:space="preserve">ife </w:t>
        </w:r>
        <w:r>
          <w:rPr>
            <w:rStyle w:val="Hyperlink"/>
            <w:rFonts w:cstheme="minorHAnsi"/>
            <w:shd w:val="clear" w:color="auto" w:fill="FFFFFF"/>
          </w:rPr>
          <w:t>B</w:t>
        </w:r>
        <w:r w:rsidRPr="00C06101">
          <w:rPr>
            <w:rStyle w:val="Hyperlink"/>
            <w:rFonts w:cstheme="minorHAnsi"/>
            <w:shd w:val="clear" w:color="auto" w:fill="FFFFFF"/>
          </w:rPr>
          <w:t>alance in 2019</w:t>
        </w:r>
      </w:hyperlink>
      <w:r w:rsidRPr="00C06101">
        <w:rPr>
          <w:rFonts w:cstheme="minorHAnsi"/>
          <w:color w:val="222222"/>
          <w:shd w:val="clear" w:color="auto" w:fill="FFFFFF"/>
        </w:rPr>
        <w:t xml:space="preserve"> and with the current </w:t>
      </w:r>
      <w:r>
        <w:rPr>
          <w:rFonts w:cstheme="minorHAnsi"/>
          <w:color w:val="222222"/>
          <w:shd w:val="clear" w:color="auto" w:fill="FFFFFF"/>
        </w:rPr>
        <w:t xml:space="preserve">EC social partner </w:t>
      </w:r>
      <w:r w:rsidRPr="00C06101">
        <w:rPr>
          <w:rFonts w:cstheme="minorHAnsi"/>
          <w:color w:val="222222"/>
          <w:shd w:val="clear" w:color="auto" w:fill="FFFFFF"/>
        </w:rPr>
        <w:t xml:space="preserve">consultation regarding an EU framework on </w:t>
      </w:r>
      <w:r>
        <w:rPr>
          <w:rFonts w:cstheme="minorHAnsi"/>
          <w:color w:val="222222"/>
          <w:shd w:val="clear" w:color="auto" w:fill="FFFFFF"/>
        </w:rPr>
        <w:t>fair m</w:t>
      </w:r>
      <w:r w:rsidRPr="00C06101">
        <w:rPr>
          <w:rFonts w:cstheme="minorHAnsi"/>
          <w:color w:val="222222"/>
          <w:shd w:val="clear" w:color="auto" w:fill="FFFFFF"/>
        </w:rPr>
        <w:t xml:space="preserve">inimum </w:t>
      </w:r>
      <w:r>
        <w:rPr>
          <w:rFonts w:cstheme="minorHAnsi"/>
          <w:color w:val="222222"/>
          <w:shd w:val="clear" w:color="auto" w:fill="FFFFFF"/>
        </w:rPr>
        <w:t>w</w:t>
      </w:r>
      <w:r w:rsidRPr="00C06101">
        <w:rPr>
          <w:rFonts w:cstheme="minorHAnsi"/>
          <w:color w:val="222222"/>
          <w:shd w:val="clear" w:color="auto" w:fill="FFFFFF"/>
        </w:rPr>
        <w:t>age</w:t>
      </w:r>
      <w:r>
        <w:rPr>
          <w:rFonts w:cstheme="minorHAnsi"/>
          <w:color w:val="222222"/>
          <w:shd w:val="clear" w:color="auto" w:fill="FFFFFF"/>
        </w:rPr>
        <w:t>s, as well as the Green Paper on Ageing and the update of the Youth Guarantee.</w:t>
      </w:r>
    </w:p>
    <w:p w14:paraId="356A7BFF" w14:textId="77777777" w:rsidR="000C46B7" w:rsidRPr="004E23B1" w:rsidRDefault="000C46B7" w:rsidP="000C46B7">
      <w:pPr>
        <w:pStyle w:val="ListParagraph"/>
        <w:numPr>
          <w:ilvl w:val="0"/>
          <w:numId w:val="1"/>
        </w:numPr>
        <w:jc w:val="both"/>
        <w:rPr>
          <w:rFonts w:cstheme="minorHAnsi"/>
        </w:rPr>
      </w:pPr>
      <w:r w:rsidRPr="00C06101">
        <w:rPr>
          <w:rFonts w:cstheme="minorHAnsi"/>
          <w:color w:val="222222"/>
          <w:shd w:val="clear" w:color="auto" w:fill="FFFFFF"/>
        </w:rPr>
        <w:t xml:space="preserve">The </w:t>
      </w:r>
      <w:r w:rsidRPr="004E23B1">
        <w:rPr>
          <w:rFonts w:cstheme="minorHAnsi"/>
          <w:b/>
          <w:bCs/>
          <w:color w:val="222222"/>
          <w:shd w:val="clear" w:color="auto" w:fill="FFFFFF"/>
        </w:rPr>
        <w:t>Action Plan for the implementation of the EPSR, should set out a dynamic roadmap of desirable areas for ‘hard law’,</w:t>
      </w:r>
      <w:r w:rsidRPr="00C06101">
        <w:rPr>
          <w:rFonts w:cstheme="minorHAnsi"/>
          <w:color w:val="222222"/>
          <w:shd w:val="clear" w:color="auto" w:fill="FFFFFF"/>
        </w:rPr>
        <w:t xml:space="preserve"> </w:t>
      </w:r>
      <w:r>
        <w:rPr>
          <w:rFonts w:cstheme="minorHAnsi"/>
          <w:color w:val="222222"/>
          <w:shd w:val="clear" w:color="auto" w:fill="FFFFFF"/>
        </w:rPr>
        <w:t xml:space="preserve">quoting the relevant legal base that could be crucial in </w:t>
      </w:r>
      <w:r w:rsidRPr="00C06101">
        <w:rPr>
          <w:rFonts w:cstheme="minorHAnsi"/>
          <w:color w:val="222222"/>
          <w:shd w:val="clear" w:color="auto" w:fill="FFFFFF"/>
        </w:rPr>
        <w:t xml:space="preserve">defending basic social </w:t>
      </w:r>
      <w:r>
        <w:rPr>
          <w:rFonts w:cstheme="minorHAnsi"/>
          <w:color w:val="222222"/>
          <w:shd w:val="clear" w:color="auto" w:fill="FFFFFF"/>
        </w:rPr>
        <w:t xml:space="preserve">rights and </w:t>
      </w:r>
      <w:r w:rsidRPr="00C06101">
        <w:rPr>
          <w:rFonts w:cstheme="minorHAnsi"/>
          <w:color w:val="222222"/>
          <w:shd w:val="clear" w:color="auto" w:fill="FFFFFF"/>
        </w:rPr>
        <w:t xml:space="preserve">standards, </w:t>
      </w:r>
      <w:r>
        <w:rPr>
          <w:rFonts w:cstheme="minorHAnsi"/>
          <w:color w:val="222222"/>
          <w:shd w:val="clear" w:color="auto" w:fill="FFFFFF"/>
        </w:rPr>
        <w:t xml:space="preserve">and then setting out what is needed to achieve these measures - </w:t>
      </w:r>
      <w:r w:rsidRPr="00C06101">
        <w:rPr>
          <w:rFonts w:cstheme="minorHAnsi"/>
          <w:color w:val="222222"/>
          <w:shd w:val="clear" w:color="auto" w:fill="FFFFFF"/>
        </w:rPr>
        <w:t>with the involvement of Parliament,</w:t>
      </w:r>
      <w:r>
        <w:rPr>
          <w:rFonts w:cstheme="minorHAnsi"/>
          <w:color w:val="222222"/>
          <w:shd w:val="clear" w:color="auto" w:fill="FFFFFF"/>
        </w:rPr>
        <w:t xml:space="preserve"> the Council, the Advisory bodies,</w:t>
      </w:r>
      <w:r w:rsidRPr="00C06101">
        <w:rPr>
          <w:rFonts w:cstheme="minorHAnsi"/>
          <w:color w:val="222222"/>
          <w:shd w:val="clear" w:color="auto" w:fill="FFFFFF"/>
        </w:rPr>
        <w:t xml:space="preserve"> national and EU civil society and social partners stakeholders</w:t>
      </w:r>
      <w:r>
        <w:rPr>
          <w:rFonts w:cstheme="minorHAnsi"/>
          <w:color w:val="222222"/>
          <w:shd w:val="clear" w:color="auto" w:fill="FFFFFF"/>
        </w:rPr>
        <w:t xml:space="preserve"> - </w:t>
      </w:r>
      <w:r w:rsidRPr="00C06101">
        <w:rPr>
          <w:rFonts w:cstheme="minorHAnsi"/>
          <w:color w:val="222222"/>
          <w:shd w:val="clear" w:color="auto" w:fill="FFFFFF"/>
        </w:rPr>
        <w:t>to achieve their</w:t>
      </w:r>
      <w:r>
        <w:rPr>
          <w:rFonts w:cstheme="minorHAnsi"/>
          <w:color w:val="222222"/>
          <w:shd w:val="clear" w:color="auto" w:fill="FFFFFF"/>
        </w:rPr>
        <w:t xml:space="preserve"> progressive</w:t>
      </w:r>
      <w:r w:rsidRPr="00C06101">
        <w:rPr>
          <w:rFonts w:cstheme="minorHAnsi"/>
          <w:color w:val="222222"/>
          <w:shd w:val="clear" w:color="auto" w:fill="FFFFFF"/>
        </w:rPr>
        <w:t xml:space="preserve"> adoption, during the coming decade.</w:t>
      </w:r>
    </w:p>
    <w:p w14:paraId="5123B7C2" w14:textId="77777777" w:rsidR="000C46B7" w:rsidRPr="00C06101" w:rsidRDefault="000C46B7" w:rsidP="000C46B7">
      <w:pPr>
        <w:pStyle w:val="ListParagraph"/>
        <w:numPr>
          <w:ilvl w:val="0"/>
          <w:numId w:val="1"/>
        </w:numPr>
        <w:jc w:val="both"/>
        <w:rPr>
          <w:rFonts w:cstheme="minorHAnsi"/>
        </w:rPr>
      </w:pPr>
      <w:r>
        <w:rPr>
          <w:rFonts w:cstheme="minorHAnsi"/>
          <w:color w:val="222222"/>
          <w:shd w:val="clear" w:color="auto" w:fill="FFFFFF"/>
        </w:rPr>
        <w:lastRenderedPageBreak/>
        <w:t xml:space="preserve">For EAPN and its members – an </w:t>
      </w:r>
      <w:r w:rsidRPr="004E23B1">
        <w:rPr>
          <w:rFonts w:cstheme="minorHAnsi"/>
          <w:b/>
          <w:bCs/>
          <w:color w:val="222222"/>
          <w:shd w:val="clear" w:color="auto" w:fill="FFFFFF"/>
        </w:rPr>
        <w:t>EU framework Directive on Minimum Income and EU framework on fair wages/minimum-living wage</w:t>
      </w:r>
      <w:r>
        <w:rPr>
          <w:rFonts w:cstheme="minorHAnsi"/>
          <w:color w:val="222222"/>
          <w:shd w:val="clear" w:color="auto" w:fill="FFFFFF"/>
        </w:rPr>
        <w:t xml:space="preserve"> is an essential first step to guarantee adequate income.</w:t>
      </w:r>
    </w:p>
    <w:p w14:paraId="0D020C5F" w14:textId="77777777" w:rsidR="000C46B7" w:rsidRDefault="000C46B7" w:rsidP="001615ED">
      <w:pPr>
        <w:pStyle w:val="ListParagraph"/>
        <w:jc w:val="both"/>
        <w:rPr>
          <w:sz w:val="24"/>
          <w:szCs w:val="24"/>
        </w:rPr>
      </w:pPr>
    </w:p>
    <w:p w14:paraId="732A3986" w14:textId="0B61321F" w:rsidR="000E3C68" w:rsidRDefault="00276C53" w:rsidP="006A4C8C">
      <w:pPr>
        <w:pStyle w:val="ListParagraph"/>
        <w:jc w:val="both"/>
        <w:rPr>
          <w:b/>
          <w:bCs/>
          <w:sz w:val="24"/>
          <w:szCs w:val="24"/>
        </w:rPr>
      </w:pPr>
      <w:r>
        <w:rPr>
          <w:b/>
          <w:bCs/>
          <w:sz w:val="24"/>
          <w:szCs w:val="24"/>
        </w:rPr>
        <w:t>3</w:t>
      </w:r>
      <w:r w:rsidR="005E2176">
        <w:rPr>
          <w:b/>
          <w:bCs/>
          <w:sz w:val="24"/>
          <w:szCs w:val="24"/>
        </w:rPr>
        <w:t>.</w:t>
      </w:r>
      <w:r w:rsidR="000C46B7">
        <w:rPr>
          <w:b/>
          <w:bCs/>
          <w:sz w:val="24"/>
          <w:szCs w:val="24"/>
        </w:rPr>
        <w:t>6</w:t>
      </w:r>
      <w:r w:rsidR="005E2176">
        <w:rPr>
          <w:b/>
          <w:bCs/>
          <w:sz w:val="24"/>
          <w:szCs w:val="24"/>
        </w:rPr>
        <w:t xml:space="preserve"> Improve </w:t>
      </w:r>
      <w:r w:rsidR="000E3C68" w:rsidRPr="000E3C68">
        <w:rPr>
          <w:b/>
          <w:bCs/>
          <w:sz w:val="24"/>
          <w:szCs w:val="24"/>
        </w:rPr>
        <w:t>monitoring and implementation</w:t>
      </w:r>
      <w:r w:rsidR="00D33E88">
        <w:rPr>
          <w:b/>
          <w:bCs/>
          <w:sz w:val="24"/>
          <w:szCs w:val="24"/>
        </w:rPr>
        <w:t xml:space="preserve"> </w:t>
      </w:r>
      <w:r w:rsidR="005E2176">
        <w:rPr>
          <w:b/>
          <w:bCs/>
          <w:sz w:val="24"/>
          <w:szCs w:val="24"/>
        </w:rPr>
        <w:t xml:space="preserve">of rights </w:t>
      </w:r>
      <w:r w:rsidR="00D33E88">
        <w:rPr>
          <w:b/>
          <w:bCs/>
          <w:sz w:val="24"/>
          <w:szCs w:val="24"/>
        </w:rPr>
        <w:t xml:space="preserve">through </w:t>
      </w:r>
      <w:r w:rsidR="007B3E7B">
        <w:rPr>
          <w:b/>
          <w:bCs/>
          <w:sz w:val="24"/>
          <w:szCs w:val="24"/>
        </w:rPr>
        <w:t xml:space="preserve">EU </w:t>
      </w:r>
      <w:r w:rsidR="00D33E88">
        <w:rPr>
          <w:b/>
          <w:bCs/>
          <w:sz w:val="24"/>
          <w:szCs w:val="24"/>
        </w:rPr>
        <w:t>soft instruments</w:t>
      </w:r>
    </w:p>
    <w:p w14:paraId="2ACC7ED8" w14:textId="77777777" w:rsidR="00E47DEA" w:rsidRDefault="00E47DEA" w:rsidP="006A4C8C">
      <w:pPr>
        <w:pStyle w:val="ListParagraph"/>
        <w:jc w:val="both"/>
        <w:rPr>
          <w:b/>
          <w:bCs/>
          <w:sz w:val="24"/>
          <w:szCs w:val="24"/>
        </w:rPr>
      </w:pPr>
    </w:p>
    <w:p w14:paraId="2F123B12" w14:textId="5F5CDCB7" w:rsidR="00D33E88" w:rsidRDefault="0065618D" w:rsidP="00955F21">
      <w:pPr>
        <w:pStyle w:val="ListParagraph"/>
        <w:jc w:val="both"/>
        <w:rPr>
          <w:sz w:val="24"/>
          <w:szCs w:val="24"/>
        </w:rPr>
      </w:pPr>
      <w:r>
        <w:t>Recognising that competence for implementation lies mainly with Member States, t</w:t>
      </w:r>
      <w:r w:rsidR="00955F21" w:rsidRPr="00955F21">
        <w:t>he main</w:t>
      </w:r>
      <w:r w:rsidR="00C06101" w:rsidRPr="00955F21">
        <w:t xml:space="preserve"> soft </w:t>
      </w:r>
      <w:r w:rsidR="00955F21" w:rsidRPr="00955F21">
        <w:t xml:space="preserve">policy EU </w:t>
      </w:r>
      <w:r w:rsidR="00C06101" w:rsidRPr="00955F21">
        <w:t xml:space="preserve">instruments </w:t>
      </w:r>
      <w:r w:rsidR="00B40764">
        <w:t>to</w:t>
      </w:r>
      <w:r w:rsidR="00C06101" w:rsidRPr="00955F21">
        <w:t xml:space="preserve"> monitor</w:t>
      </w:r>
      <w:r w:rsidR="00B40764">
        <w:t xml:space="preserve"> the </w:t>
      </w:r>
      <w:r w:rsidR="00C06101" w:rsidRPr="00955F21">
        <w:t>deliver</w:t>
      </w:r>
      <w:r w:rsidR="00B40764">
        <w:t>y</w:t>
      </w:r>
      <w:r w:rsidR="00C06101" w:rsidRPr="00955F21">
        <w:t xml:space="preserve"> on the EPSR will be the European Semester and EU funds.</w:t>
      </w:r>
      <w:r w:rsidR="00D33E88" w:rsidRPr="00955F21">
        <w:t xml:space="preserve"> </w:t>
      </w:r>
      <w:r w:rsidR="00955F21" w:rsidRPr="00955F21">
        <w:t xml:space="preserve">Both these will need to work effectively in tandem as key elements </w:t>
      </w:r>
      <w:r w:rsidR="00B40764">
        <w:t xml:space="preserve">and this needs to be clearly spelled out and well anchored </w:t>
      </w:r>
      <w:r w:rsidR="00955F21" w:rsidRPr="00955F21">
        <w:t>in the Action Plan</w:t>
      </w:r>
      <w:r w:rsidR="00955F21">
        <w:rPr>
          <w:sz w:val="24"/>
          <w:szCs w:val="24"/>
        </w:rPr>
        <w:t>.</w:t>
      </w:r>
    </w:p>
    <w:p w14:paraId="05BB49A9" w14:textId="77777777" w:rsidR="00D33E88" w:rsidRDefault="00D33E88" w:rsidP="00D33E88">
      <w:pPr>
        <w:pStyle w:val="ListParagraph"/>
        <w:rPr>
          <w:sz w:val="24"/>
          <w:szCs w:val="24"/>
        </w:rPr>
      </w:pPr>
    </w:p>
    <w:p w14:paraId="2D9B2F02" w14:textId="42A239F4" w:rsidR="00D33E88" w:rsidRPr="005E2176" w:rsidRDefault="00E47DEA" w:rsidP="00D33E88">
      <w:pPr>
        <w:pStyle w:val="ListParagraph"/>
        <w:rPr>
          <w:b/>
          <w:bCs/>
          <w:i/>
          <w:iCs/>
        </w:rPr>
      </w:pPr>
      <w:r>
        <w:rPr>
          <w:b/>
          <w:bCs/>
          <w:i/>
          <w:iCs/>
        </w:rPr>
        <w:t>3</w:t>
      </w:r>
      <w:r w:rsidR="005E2176">
        <w:rPr>
          <w:b/>
          <w:bCs/>
          <w:i/>
          <w:iCs/>
        </w:rPr>
        <w:t>.</w:t>
      </w:r>
      <w:r w:rsidR="000C46B7">
        <w:rPr>
          <w:b/>
          <w:bCs/>
          <w:i/>
          <w:iCs/>
        </w:rPr>
        <w:t>6</w:t>
      </w:r>
      <w:r w:rsidR="005E2176">
        <w:rPr>
          <w:b/>
          <w:bCs/>
          <w:i/>
          <w:iCs/>
        </w:rPr>
        <w:t xml:space="preserve">.1 </w:t>
      </w:r>
      <w:r w:rsidR="001615ED" w:rsidRPr="005E2176">
        <w:rPr>
          <w:b/>
          <w:bCs/>
          <w:i/>
          <w:iCs/>
        </w:rPr>
        <w:t>Socialising the</w:t>
      </w:r>
      <w:r w:rsidR="00D33E88" w:rsidRPr="005E2176">
        <w:rPr>
          <w:b/>
          <w:bCs/>
          <w:i/>
          <w:iCs/>
        </w:rPr>
        <w:t xml:space="preserve"> European Semester</w:t>
      </w:r>
    </w:p>
    <w:p w14:paraId="0B5D64C1" w14:textId="28215518" w:rsidR="00C06101" w:rsidRDefault="00C06101" w:rsidP="00FB5D88">
      <w:pPr>
        <w:pStyle w:val="ListParagraph"/>
        <w:numPr>
          <w:ilvl w:val="0"/>
          <w:numId w:val="1"/>
        </w:numPr>
        <w:jc w:val="both"/>
      </w:pPr>
      <w:r w:rsidRPr="00955F21">
        <w:t xml:space="preserve">Although </w:t>
      </w:r>
      <w:r w:rsidRPr="00276C53">
        <w:rPr>
          <w:b/>
          <w:bCs/>
        </w:rPr>
        <w:t>progress has been made on integrating the EPSR</w:t>
      </w:r>
      <w:r w:rsidRPr="00955F21">
        <w:t>, with the renamed ASGS (Annual Sustainable Growth S</w:t>
      </w:r>
      <w:r w:rsidR="00B40764">
        <w:t>trategy</w:t>
      </w:r>
      <w:r w:rsidRPr="00955F21">
        <w:t xml:space="preserve">) the </w:t>
      </w:r>
      <w:r w:rsidRPr="00276C53">
        <w:rPr>
          <w:b/>
          <w:bCs/>
        </w:rPr>
        <w:t xml:space="preserve">dominant focus continues to be on promoting </w:t>
      </w:r>
      <w:r w:rsidR="001F39EA" w:rsidRPr="00276C53">
        <w:rPr>
          <w:b/>
          <w:bCs/>
        </w:rPr>
        <w:t>macroeconomic goals of S</w:t>
      </w:r>
      <w:r w:rsidRPr="00276C53">
        <w:rPr>
          <w:b/>
          <w:bCs/>
        </w:rPr>
        <w:t>tability and</w:t>
      </w:r>
      <w:r w:rsidR="00D33E88" w:rsidRPr="00276C53">
        <w:rPr>
          <w:b/>
          <w:bCs/>
        </w:rPr>
        <w:t xml:space="preserve"> now </w:t>
      </w:r>
      <w:r w:rsidR="001F39EA" w:rsidRPr="00276C53">
        <w:rPr>
          <w:b/>
          <w:bCs/>
        </w:rPr>
        <w:t>G</w:t>
      </w:r>
      <w:r w:rsidR="00D33E88" w:rsidRPr="00276C53">
        <w:rPr>
          <w:b/>
          <w:bCs/>
        </w:rPr>
        <w:t>reen</w:t>
      </w:r>
      <w:r w:rsidRPr="00276C53">
        <w:rPr>
          <w:b/>
          <w:bCs/>
        </w:rPr>
        <w:t xml:space="preserve"> </w:t>
      </w:r>
      <w:r w:rsidR="001F39EA" w:rsidRPr="00276C53">
        <w:rPr>
          <w:b/>
          <w:bCs/>
        </w:rPr>
        <w:t>G</w:t>
      </w:r>
      <w:r w:rsidRPr="00276C53">
        <w:rPr>
          <w:b/>
          <w:bCs/>
        </w:rPr>
        <w:t>rowth</w:t>
      </w:r>
      <w:r w:rsidRPr="00955F21">
        <w:t xml:space="preserve">, with </w:t>
      </w:r>
      <w:r w:rsidR="003E19B8">
        <w:t>a threat of</w:t>
      </w:r>
      <w:r w:rsidRPr="00955F21">
        <w:t xml:space="preserve"> continued focus on cost-cutting/restructuring </w:t>
      </w:r>
      <w:r w:rsidR="001F39EA">
        <w:t>of</w:t>
      </w:r>
      <w:r w:rsidRPr="00955F21">
        <w:t xml:space="preserve"> public services, particularly health and social protection</w:t>
      </w:r>
      <w:r w:rsidR="003E19B8">
        <w:t xml:space="preserve"> once the COVID-19 crisis is on the wane, in the search to recoup public deficits and debt.</w:t>
      </w:r>
    </w:p>
    <w:p w14:paraId="43FD43EA" w14:textId="397EEFD0" w:rsidR="00FB5D88" w:rsidRPr="00955F21" w:rsidRDefault="00FB5D88" w:rsidP="00FB5D88">
      <w:pPr>
        <w:pStyle w:val="ListParagraph"/>
        <w:numPr>
          <w:ilvl w:val="0"/>
          <w:numId w:val="1"/>
        </w:numPr>
        <w:jc w:val="both"/>
      </w:pPr>
      <w:r>
        <w:t xml:space="preserve">The </w:t>
      </w:r>
      <w:r w:rsidRPr="003E19B8">
        <w:rPr>
          <w:b/>
          <w:bCs/>
        </w:rPr>
        <w:t xml:space="preserve">focus on social rights and the EPSR is </w:t>
      </w:r>
      <w:proofErr w:type="gramStart"/>
      <w:r w:rsidRPr="003E19B8">
        <w:rPr>
          <w:b/>
          <w:bCs/>
        </w:rPr>
        <w:t>very limited</w:t>
      </w:r>
      <w:proofErr w:type="gramEnd"/>
      <w:r w:rsidR="000E2560" w:rsidRPr="003E19B8">
        <w:rPr>
          <w:b/>
          <w:bCs/>
        </w:rPr>
        <w:t xml:space="preserve"> in the Country Reports 2020</w:t>
      </w:r>
      <w:r>
        <w:t>. Only a page or so is dedicated to this, compared to over 50 pages on macroeconomic and environmental</w:t>
      </w:r>
      <w:r w:rsidR="00B40764">
        <w:t xml:space="preserve"> issues and priorities</w:t>
      </w:r>
      <w:r>
        <w:t>. Although mentioned within the chapter on employment, education and social polic</w:t>
      </w:r>
      <w:r w:rsidR="00FD42B5">
        <w:t>i</w:t>
      </w:r>
      <w:r>
        <w:t xml:space="preserve">es, there is no detailed analysis of all the principles, only </w:t>
      </w:r>
      <w:r w:rsidR="00B40764">
        <w:t xml:space="preserve">of </w:t>
      </w:r>
      <w:r>
        <w:t xml:space="preserve">the social scoreboard, which does not cover all principles. The SDGs are monitored in the annex, but </w:t>
      </w:r>
      <w:r w:rsidR="00E619B3">
        <w:t xml:space="preserve">they are </w:t>
      </w:r>
      <w:r>
        <w:t>not consistently mainstreamed</w:t>
      </w:r>
      <w:r w:rsidR="00E619B3">
        <w:t xml:space="preserve"> in the ASGS</w:t>
      </w:r>
      <w:r>
        <w:t>. Poverty is not</w:t>
      </w:r>
      <w:r w:rsidR="00736A2D">
        <w:t xml:space="preserve"> now</w:t>
      </w:r>
      <w:r>
        <w:t xml:space="preserve"> consistently a focus, with the ending of Europe 2020 and the </w:t>
      </w:r>
      <w:r w:rsidR="00E619B3">
        <w:t xml:space="preserve">poverty reduction </w:t>
      </w:r>
      <w:r>
        <w:t>target. There is an overall lack of analysis of the effectiveness of the policies and proposals for solutions.</w:t>
      </w:r>
    </w:p>
    <w:p w14:paraId="73E0392A" w14:textId="047A6AE4" w:rsidR="00C06101" w:rsidRPr="00955F21" w:rsidRDefault="00C06101" w:rsidP="00FB5D88">
      <w:pPr>
        <w:pStyle w:val="ListParagraph"/>
        <w:numPr>
          <w:ilvl w:val="0"/>
          <w:numId w:val="1"/>
        </w:numPr>
        <w:jc w:val="both"/>
      </w:pPr>
      <w:r w:rsidRPr="00955F21">
        <w:t xml:space="preserve">The introduction of </w:t>
      </w:r>
      <w:r w:rsidR="00FB5D88">
        <w:t xml:space="preserve">a </w:t>
      </w:r>
      <w:r w:rsidR="00FB5D88" w:rsidRPr="00276C53">
        <w:rPr>
          <w:b/>
          <w:bCs/>
        </w:rPr>
        <w:t xml:space="preserve">new </w:t>
      </w:r>
      <w:r w:rsidRPr="00276C53">
        <w:rPr>
          <w:b/>
          <w:bCs/>
        </w:rPr>
        <w:t xml:space="preserve">Environmental </w:t>
      </w:r>
      <w:r w:rsidR="006612E4" w:rsidRPr="00276C53">
        <w:rPr>
          <w:b/>
          <w:bCs/>
        </w:rPr>
        <w:t>S</w:t>
      </w:r>
      <w:r w:rsidR="00FB5D88" w:rsidRPr="00276C53">
        <w:rPr>
          <w:b/>
          <w:bCs/>
        </w:rPr>
        <w:t>ustainability chapter</w:t>
      </w:r>
      <w:r w:rsidRPr="00955F21">
        <w:t xml:space="preserve"> </w:t>
      </w:r>
      <w:r w:rsidR="006612E4">
        <w:t xml:space="preserve">focussed on </w:t>
      </w:r>
      <w:r w:rsidRPr="00955F21">
        <w:t>just transition, whilst welcome</w:t>
      </w:r>
      <w:r w:rsidR="00FB5D88">
        <w:t>,</w:t>
      </w:r>
      <w:r w:rsidRPr="00955F21">
        <w:t xml:space="preserve"> worryingly </w:t>
      </w:r>
      <w:r w:rsidR="001D3113">
        <w:t xml:space="preserve">seems </w:t>
      </w:r>
      <w:r w:rsidRPr="00955F21">
        <w:t>to displace the focus on delivery on social rights, for example in the Annex D of the Country Reports</w:t>
      </w:r>
      <w:r w:rsidR="000F4DF7">
        <w:t xml:space="preserve"> (now focusing on </w:t>
      </w:r>
      <w:r w:rsidR="000F4DF7" w:rsidRPr="000F4DF7">
        <w:t xml:space="preserve">priority investment areas and framework conditions for effective delivery </w:t>
      </w:r>
      <w:r w:rsidR="000F4DF7">
        <w:t xml:space="preserve">of the </w:t>
      </w:r>
      <w:r w:rsidR="000F4DF7" w:rsidRPr="000F4DF7">
        <w:t>Just Transition Fund</w:t>
      </w:r>
      <w:r w:rsidR="000F4DF7">
        <w:t>) in the period 2021 to 2027</w:t>
      </w:r>
      <w:r w:rsidRPr="00955F21">
        <w:t xml:space="preserve">, rather than combining a focus on </w:t>
      </w:r>
      <w:r w:rsidR="000F4DF7">
        <w:t>e</w:t>
      </w:r>
      <w:r w:rsidRPr="00955F21">
        <w:t>nvironmental protection/</w:t>
      </w:r>
      <w:r w:rsidR="000F4DF7">
        <w:t xml:space="preserve">just </w:t>
      </w:r>
      <w:r w:rsidRPr="00955F21">
        <w:t>transition and social rights.</w:t>
      </w:r>
    </w:p>
    <w:p w14:paraId="6D85F717" w14:textId="77810588" w:rsidR="00C06101" w:rsidRDefault="00C06101" w:rsidP="00FB5D88">
      <w:pPr>
        <w:pStyle w:val="ListParagraph"/>
        <w:numPr>
          <w:ilvl w:val="0"/>
          <w:numId w:val="1"/>
        </w:numPr>
        <w:jc w:val="both"/>
      </w:pPr>
      <w:r w:rsidRPr="00955F21">
        <w:t xml:space="preserve">A </w:t>
      </w:r>
      <w:r w:rsidRPr="00C71DA7">
        <w:rPr>
          <w:b/>
          <w:bCs/>
        </w:rPr>
        <w:t xml:space="preserve">clearer road map, with </w:t>
      </w:r>
      <w:r w:rsidR="000F4DF7" w:rsidRPr="00C71DA7">
        <w:rPr>
          <w:b/>
          <w:bCs/>
        </w:rPr>
        <w:t xml:space="preserve">a </w:t>
      </w:r>
      <w:r w:rsidRPr="00C71DA7">
        <w:rPr>
          <w:b/>
          <w:bCs/>
        </w:rPr>
        <w:t>transparent monitoring grid</w:t>
      </w:r>
      <w:r w:rsidRPr="00955F21">
        <w:t xml:space="preserve"> (</w:t>
      </w:r>
      <w:proofErr w:type="spellStart"/>
      <w:r w:rsidRPr="00955F21">
        <w:t>ie</w:t>
      </w:r>
      <w:proofErr w:type="spellEnd"/>
      <w:r w:rsidRPr="00955F21">
        <w:t xml:space="preserve"> </w:t>
      </w:r>
      <w:r w:rsidR="00B15A27">
        <w:t xml:space="preserve">Revised </w:t>
      </w:r>
      <w:r w:rsidRPr="00955F21">
        <w:t>Joint Assessment Frame), needs to be launched, which monitors all</w:t>
      </w:r>
      <w:r w:rsidR="006612E4">
        <w:t xml:space="preserve"> 20</w:t>
      </w:r>
      <w:r w:rsidRPr="00955F21">
        <w:t xml:space="preserve"> EPSR principles consistently</w:t>
      </w:r>
      <w:r w:rsidR="007B3E7B">
        <w:t>, not</w:t>
      </w:r>
      <w:r w:rsidR="006612E4">
        <w:t xml:space="preserve"> only the indicators in the</w:t>
      </w:r>
      <w:r w:rsidR="007B3E7B">
        <w:t xml:space="preserve"> </w:t>
      </w:r>
      <w:r w:rsidR="000F4DF7">
        <w:t>Social S</w:t>
      </w:r>
      <w:r w:rsidR="007B3E7B">
        <w:t>coreboard</w:t>
      </w:r>
      <w:r w:rsidR="006612E4">
        <w:t xml:space="preserve">, ensuring that </w:t>
      </w:r>
      <w:r w:rsidR="006612E4" w:rsidRPr="00C71DA7">
        <w:rPr>
          <w:b/>
          <w:bCs/>
        </w:rPr>
        <w:t xml:space="preserve">section on social rights is </w:t>
      </w:r>
      <w:r w:rsidR="00FB5D88" w:rsidRPr="00C71DA7">
        <w:rPr>
          <w:b/>
          <w:bCs/>
        </w:rPr>
        <w:t>dealt with</w:t>
      </w:r>
      <w:r w:rsidRPr="00C71DA7">
        <w:rPr>
          <w:b/>
          <w:bCs/>
        </w:rPr>
        <w:t xml:space="preserve"> on an equal footin</w:t>
      </w:r>
      <w:r w:rsidR="00FB5D88" w:rsidRPr="00C71DA7">
        <w:rPr>
          <w:b/>
          <w:bCs/>
        </w:rPr>
        <w:t>g</w:t>
      </w:r>
      <w:r w:rsidR="006612E4">
        <w:t xml:space="preserve"> to the economic and now environmental objectives </w:t>
      </w:r>
      <w:r w:rsidR="00B15A27">
        <w:t>(</w:t>
      </w:r>
      <w:proofErr w:type="spellStart"/>
      <w:r w:rsidR="006612E4">
        <w:t>ie</w:t>
      </w:r>
      <w:proofErr w:type="spellEnd"/>
      <w:r w:rsidR="006612E4">
        <w:t xml:space="preserve"> with equal length chapters </w:t>
      </w:r>
      <w:r w:rsidR="00FB5D88">
        <w:t>in the Country Reports and NRPs</w:t>
      </w:r>
      <w:r w:rsidR="00B15A27">
        <w:t>,</w:t>
      </w:r>
      <w:r w:rsidR="007B3E7B">
        <w:t xml:space="preserve"> </w:t>
      </w:r>
      <w:r w:rsidRPr="00955F21">
        <w:t>linked to the SDGs</w:t>
      </w:r>
      <w:r w:rsidR="00B15A27">
        <w:t>)</w:t>
      </w:r>
      <w:r w:rsidRPr="00955F21">
        <w:t xml:space="preserve"> showing their contribution to the main social scoreboard indicators - </w:t>
      </w:r>
      <w:proofErr w:type="spellStart"/>
      <w:r w:rsidRPr="00955F21">
        <w:t>ie</w:t>
      </w:r>
      <w:proofErr w:type="spellEnd"/>
      <w:r w:rsidRPr="00955F21">
        <w:t xml:space="preserve"> particularly </w:t>
      </w:r>
      <w:r w:rsidR="00A00401">
        <w:t xml:space="preserve">the </w:t>
      </w:r>
      <w:r w:rsidR="00A00401" w:rsidRPr="00955F21">
        <w:t xml:space="preserve">reduction </w:t>
      </w:r>
      <w:r w:rsidR="00A00401">
        <w:t xml:space="preserve">of </w:t>
      </w:r>
      <w:r w:rsidRPr="00955F21">
        <w:t>poverty and inequality</w:t>
      </w:r>
      <w:r w:rsidR="00D33E88" w:rsidRPr="00955F21">
        <w:t>, for key age and target groups.</w:t>
      </w:r>
    </w:p>
    <w:p w14:paraId="2BBE2679" w14:textId="35CA1EAF" w:rsidR="00FA3B69" w:rsidRPr="00955F21" w:rsidRDefault="00FA3B69" w:rsidP="00FB5D88">
      <w:pPr>
        <w:pStyle w:val="ListParagraph"/>
        <w:numPr>
          <w:ilvl w:val="0"/>
          <w:numId w:val="1"/>
        </w:numPr>
        <w:jc w:val="both"/>
      </w:pPr>
      <w:r>
        <w:t>However, a clear focus should be</w:t>
      </w:r>
      <w:r w:rsidR="00D70FC3">
        <w:t xml:space="preserve"> given to</w:t>
      </w:r>
      <w:r>
        <w:t xml:space="preserve"> the EU rather than the global indicators as th</w:t>
      </w:r>
      <w:r w:rsidR="00107D7E">
        <w:t>e latter</w:t>
      </w:r>
      <w:r>
        <w:t xml:space="preserve"> will tend </w:t>
      </w:r>
      <w:r w:rsidR="000E2560">
        <w:t xml:space="preserve">to </w:t>
      </w:r>
      <w:r>
        <w:t>underplay the real</w:t>
      </w:r>
      <w:r w:rsidR="00107D7E">
        <w:t xml:space="preserve"> </w:t>
      </w:r>
      <w:r>
        <w:t>impact of poverty and risk of poverty in most Member States.</w:t>
      </w:r>
    </w:p>
    <w:p w14:paraId="59343CAE" w14:textId="5FA0A3DC" w:rsidR="00D33E88" w:rsidRPr="00955F21" w:rsidRDefault="00C06101" w:rsidP="006504F3">
      <w:pPr>
        <w:pStyle w:val="ListParagraph"/>
        <w:numPr>
          <w:ilvl w:val="0"/>
          <w:numId w:val="1"/>
        </w:numPr>
        <w:jc w:val="both"/>
      </w:pPr>
      <w:r w:rsidRPr="00955F21">
        <w:t>Th</w:t>
      </w:r>
      <w:r w:rsidR="000E2560">
        <w:t xml:space="preserve">e </w:t>
      </w:r>
      <w:r w:rsidR="000E2560" w:rsidRPr="00C71DA7">
        <w:rPr>
          <w:b/>
          <w:bCs/>
        </w:rPr>
        <w:t>revised Semester</w:t>
      </w:r>
      <w:r w:rsidRPr="00C71DA7">
        <w:rPr>
          <w:b/>
          <w:bCs/>
        </w:rPr>
        <w:t xml:space="preserve"> should ensure at least 1 social rights CSR</w:t>
      </w:r>
      <w:r w:rsidRPr="00955F21">
        <w:t xml:space="preserve">, </w:t>
      </w:r>
      <w:r w:rsidR="000E2560">
        <w:t xml:space="preserve"> (not just social)</w:t>
      </w:r>
      <w:r w:rsidR="000E2560">
        <w:rPr>
          <w:rStyle w:val="FootnoteReference"/>
        </w:rPr>
        <w:footnoteReference w:id="19"/>
      </w:r>
      <w:r w:rsidR="000E2560">
        <w:t xml:space="preserve"> </w:t>
      </w:r>
      <w:r w:rsidRPr="00955F21">
        <w:t>for each country</w:t>
      </w:r>
      <w:r w:rsidR="00D33E88" w:rsidRPr="00955F21">
        <w:t>, underpinned by a full analysis of all social rights</w:t>
      </w:r>
      <w:r w:rsidR="007B3E7B">
        <w:t xml:space="preserve">, </w:t>
      </w:r>
      <w:r w:rsidR="00A00401">
        <w:t xml:space="preserve">key trends and the situation for </w:t>
      </w:r>
      <w:r w:rsidR="007B3E7B">
        <w:t>poverty and social exclusion</w:t>
      </w:r>
      <w:r w:rsidR="00D33E88" w:rsidRPr="00955F21">
        <w:t xml:space="preserve"> in the Country Reports and the NRPs.</w:t>
      </w:r>
      <w:r w:rsidR="00D70FC3">
        <w:t xml:space="preserve"> </w:t>
      </w:r>
      <w:r w:rsidR="00A00401">
        <w:t>A c</w:t>
      </w:r>
      <w:r w:rsidR="00D33E88" w:rsidRPr="00955F21">
        <w:t>lear link should be made with the voluntary reporting mechanisms for the SDGs.</w:t>
      </w:r>
    </w:p>
    <w:p w14:paraId="71F2FCD6" w14:textId="007EDC82" w:rsidR="001615ED" w:rsidRPr="00955F21" w:rsidRDefault="00A00401" w:rsidP="00FB5D88">
      <w:pPr>
        <w:pStyle w:val="ListParagraph"/>
        <w:numPr>
          <w:ilvl w:val="0"/>
          <w:numId w:val="1"/>
        </w:numPr>
        <w:jc w:val="both"/>
      </w:pPr>
      <w:r>
        <w:lastRenderedPageBreak/>
        <w:t xml:space="preserve">The </w:t>
      </w:r>
      <w:r w:rsidR="00D70FC3" w:rsidRPr="00C71DA7">
        <w:rPr>
          <w:b/>
          <w:bCs/>
        </w:rPr>
        <w:t xml:space="preserve">meaningful </w:t>
      </w:r>
      <w:r w:rsidRPr="00C71DA7">
        <w:rPr>
          <w:b/>
          <w:bCs/>
        </w:rPr>
        <w:t>p</w:t>
      </w:r>
      <w:r w:rsidR="001615ED" w:rsidRPr="00C71DA7">
        <w:rPr>
          <w:b/>
          <w:bCs/>
        </w:rPr>
        <w:t>articipation of civil society organi</w:t>
      </w:r>
      <w:r w:rsidRPr="00C71DA7">
        <w:rPr>
          <w:b/>
          <w:bCs/>
        </w:rPr>
        <w:t>s</w:t>
      </w:r>
      <w:r w:rsidR="001615ED" w:rsidRPr="00C71DA7">
        <w:rPr>
          <w:b/>
          <w:bCs/>
        </w:rPr>
        <w:t>ations</w:t>
      </w:r>
      <w:r w:rsidR="00D70FC3">
        <w:t xml:space="preserve"> and </w:t>
      </w:r>
      <w:r w:rsidR="001615ED" w:rsidRPr="00955F21">
        <w:t>people directly facing povert</w:t>
      </w:r>
      <w:r w:rsidR="00D70FC3">
        <w:t xml:space="preserve">y must be actively promoted, and </w:t>
      </w:r>
      <w:r w:rsidR="001615ED" w:rsidRPr="00955F21">
        <w:t>on equal terms</w:t>
      </w:r>
      <w:r w:rsidR="00D70FC3">
        <w:t xml:space="preserve"> to social partners and other stakeholders within the European Semester. Their role is </w:t>
      </w:r>
      <w:r w:rsidR="001615ED" w:rsidRPr="00955F21">
        <w:t xml:space="preserve">key </w:t>
      </w:r>
      <w:r w:rsidR="00D70FC3">
        <w:t>in</w:t>
      </w:r>
      <w:r w:rsidR="001615ED" w:rsidRPr="00955F21">
        <w:t xml:space="preserve"> keeping up pressure on</w:t>
      </w:r>
      <w:r w:rsidR="00D70FC3">
        <w:t xml:space="preserve"> governments to deliver on</w:t>
      </w:r>
      <w:r w:rsidR="001615ED" w:rsidRPr="00955F21">
        <w:t xml:space="preserve"> social rights at the national and EU level. This requires </w:t>
      </w:r>
      <w:r w:rsidR="001615ED" w:rsidRPr="00C71DA7">
        <w:rPr>
          <w:b/>
          <w:bCs/>
        </w:rPr>
        <w:t xml:space="preserve">obligatory guidelines, transparent </w:t>
      </w:r>
      <w:r w:rsidR="00596BF3" w:rsidRPr="00C71DA7">
        <w:rPr>
          <w:b/>
          <w:bCs/>
        </w:rPr>
        <w:t xml:space="preserve">and adequate </w:t>
      </w:r>
      <w:r w:rsidR="001615ED" w:rsidRPr="00C71DA7">
        <w:rPr>
          <w:b/>
          <w:bCs/>
        </w:rPr>
        <w:t>funding</w:t>
      </w:r>
      <w:r w:rsidR="00D70FC3" w:rsidRPr="00C71DA7">
        <w:rPr>
          <w:b/>
          <w:bCs/>
        </w:rPr>
        <w:t xml:space="preserve">, </w:t>
      </w:r>
      <w:r w:rsidR="001615ED" w:rsidRPr="00C71DA7">
        <w:rPr>
          <w:b/>
          <w:bCs/>
        </w:rPr>
        <w:t>monitoring</w:t>
      </w:r>
      <w:r w:rsidR="00D70FC3" w:rsidRPr="00C71DA7">
        <w:rPr>
          <w:b/>
          <w:bCs/>
        </w:rPr>
        <w:t xml:space="preserve"> and mutual learning</w:t>
      </w:r>
      <w:r w:rsidR="001615ED" w:rsidRPr="00955F21">
        <w:t xml:space="preserve"> through the </w:t>
      </w:r>
      <w:r>
        <w:t xml:space="preserve">European </w:t>
      </w:r>
      <w:r w:rsidR="001615ED" w:rsidRPr="00955F21">
        <w:t>Semester.</w:t>
      </w:r>
    </w:p>
    <w:p w14:paraId="40BA6EF5" w14:textId="77777777" w:rsidR="000E3C68" w:rsidRPr="000E3C68" w:rsidRDefault="000E3C68" w:rsidP="00FB5D88">
      <w:pPr>
        <w:pStyle w:val="ListParagraph"/>
        <w:ind w:left="1080"/>
        <w:jc w:val="both"/>
        <w:rPr>
          <w:b/>
          <w:bCs/>
          <w:sz w:val="24"/>
          <w:szCs w:val="24"/>
        </w:rPr>
      </w:pPr>
    </w:p>
    <w:p w14:paraId="4872E786" w14:textId="6F596DD0" w:rsidR="008111E8" w:rsidRPr="005E2176" w:rsidRDefault="00E47DEA" w:rsidP="008111E8">
      <w:pPr>
        <w:pStyle w:val="ListParagraph"/>
        <w:rPr>
          <w:b/>
          <w:bCs/>
          <w:i/>
          <w:iCs/>
        </w:rPr>
      </w:pPr>
      <w:r>
        <w:rPr>
          <w:b/>
          <w:bCs/>
          <w:i/>
          <w:iCs/>
        </w:rPr>
        <w:t>3</w:t>
      </w:r>
      <w:r w:rsidR="005E2176">
        <w:rPr>
          <w:b/>
          <w:bCs/>
          <w:i/>
          <w:iCs/>
        </w:rPr>
        <w:t>.</w:t>
      </w:r>
      <w:r w:rsidR="000C46B7">
        <w:rPr>
          <w:b/>
          <w:bCs/>
          <w:i/>
          <w:iCs/>
        </w:rPr>
        <w:t>6</w:t>
      </w:r>
      <w:r w:rsidR="005E2176">
        <w:rPr>
          <w:b/>
          <w:bCs/>
          <w:i/>
          <w:iCs/>
        </w:rPr>
        <w:t xml:space="preserve">.2 </w:t>
      </w:r>
      <w:r w:rsidR="001615ED" w:rsidRPr="005E2176">
        <w:rPr>
          <w:b/>
          <w:bCs/>
          <w:i/>
          <w:iCs/>
        </w:rPr>
        <w:t>Mobiliz</w:t>
      </w:r>
      <w:r w:rsidR="005E2176">
        <w:rPr>
          <w:b/>
          <w:bCs/>
          <w:i/>
          <w:iCs/>
        </w:rPr>
        <w:t>e</w:t>
      </w:r>
      <w:r w:rsidR="001615ED" w:rsidRPr="005E2176">
        <w:rPr>
          <w:b/>
          <w:bCs/>
          <w:i/>
          <w:iCs/>
        </w:rPr>
        <w:t xml:space="preserve"> </w:t>
      </w:r>
      <w:r w:rsidR="00D33E88" w:rsidRPr="005E2176">
        <w:rPr>
          <w:b/>
          <w:bCs/>
          <w:i/>
          <w:iCs/>
        </w:rPr>
        <w:t>EU funds</w:t>
      </w:r>
      <w:r w:rsidR="001615ED" w:rsidRPr="005E2176">
        <w:rPr>
          <w:b/>
          <w:bCs/>
          <w:i/>
          <w:iCs/>
        </w:rPr>
        <w:t xml:space="preserve"> and link to the Semester</w:t>
      </w:r>
    </w:p>
    <w:p w14:paraId="4EC47D06" w14:textId="30BA4BF3" w:rsidR="00DE16A4" w:rsidRPr="00955F21" w:rsidRDefault="00FB5D88" w:rsidP="00FB5D88">
      <w:pPr>
        <w:pStyle w:val="ListParagraph"/>
        <w:numPr>
          <w:ilvl w:val="0"/>
          <w:numId w:val="1"/>
        </w:numPr>
        <w:jc w:val="both"/>
      </w:pPr>
      <w:r>
        <w:t>Important</w:t>
      </w:r>
      <w:r w:rsidR="00D33E88" w:rsidRPr="00955F21">
        <w:t xml:space="preserve"> steps have been taken to try to ensure that </w:t>
      </w:r>
      <w:hyperlink r:id="rId29" w:history="1">
        <w:r w:rsidR="00D33E88" w:rsidRPr="00955F21">
          <w:rPr>
            <w:rStyle w:val="Hyperlink"/>
          </w:rPr>
          <w:t>EU funds</w:t>
        </w:r>
        <w:r w:rsidR="00955F21" w:rsidRPr="00955F21">
          <w:rPr>
            <w:rStyle w:val="Hyperlink"/>
          </w:rPr>
          <w:t xml:space="preserve"> in the </w:t>
        </w:r>
        <w:r w:rsidR="00A00401">
          <w:rPr>
            <w:rStyle w:val="Hyperlink"/>
          </w:rPr>
          <w:t>Multi Financial Framework (</w:t>
        </w:r>
        <w:r w:rsidR="00955F21" w:rsidRPr="00955F21">
          <w:rPr>
            <w:rStyle w:val="Hyperlink"/>
          </w:rPr>
          <w:t>MFF</w:t>
        </w:r>
        <w:r w:rsidR="00A00401">
          <w:rPr>
            <w:rStyle w:val="Hyperlink"/>
          </w:rPr>
          <w:t>)</w:t>
        </w:r>
        <w:r w:rsidR="00955F21" w:rsidRPr="00955F21">
          <w:rPr>
            <w:rStyle w:val="Hyperlink"/>
          </w:rPr>
          <w:t xml:space="preserve"> 2021-</w:t>
        </w:r>
        <w:r w:rsidR="00A00401">
          <w:rPr>
            <w:rStyle w:val="Hyperlink"/>
          </w:rPr>
          <w:t>20</w:t>
        </w:r>
        <w:r w:rsidR="00955F21" w:rsidRPr="00955F21">
          <w:rPr>
            <w:rStyle w:val="Hyperlink"/>
          </w:rPr>
          <w:t>2</w:t>
        </w:r>
        <w:r w:rsidR="00A00401">
          <w:rPr>
            <w:rStyle w:val="Hyperlink"/>
          </w:rPr>
          <w:t>7</w:t>
        </w:r>
      </w:hyperlink>
      <w:r w:rsidR="00D33E88" w:rsidRPr="00955F21">
        <w:t xml:space="preserve"> are </w:t>
      </w:r>
      <w:r w:rsidR="00D33E88" w:rsidRPr="00C71DA7">
        <w:rPr>
          <w:b/>
          <w:bCs/>
        </w:rPr>
        <w:t>mobilised</w:t>
      </w:r>
      <w:r w:rsidR="00DE16A4" w:rsidRPr="00C71DA7">
        <w:rPr>
          <w:b/>
          <w:bCs/>
        </w:rPr>
        <w:t xml:space="preserve"> more effectively</w:t>
      </w:r>
      <w:r w:rsidR="00D33E88" w:rsidRPr="00C71DA7">
        <w:rPr>
          <w:b/>
          <w:bCs/>
        </w:rPr>
        <w:t xml:space="preserve"> in support of the EPSR</w:t>
      </w:r>
      <w:r w:rsidR="00DE16A4" w:rsidRPr="00955F21">
        <w:t>, and deliver on poverty and social exclusion: with</w:t>
      </w:r>
      <w:r w:rsidR="006612E4">
        <w:t xml:space="preserve"> the new</w:t>
      </w:r>
      <w:r w:rsidR="00DE16A4" w:rsidRPr="00955F21">
        <w:t xml:space="preserve"> priority 4</w:t>
      </w:r>
      <w:r>
        <w:t xml:space="preserve">: </w:t>
      </w:r>
      <w:r w:rsidR="00DE16A4" w:rsidRPr="00955F21">
        <w:t>“</w:t>
      </w:r>
      <w:r w:rsidR="00D33E88" w:rsidRPr="00955F21">
        <w:t xml:space="preserve">A more social Europe implementing the Pillar of Social </w:t>
      </w:r>
      <w:r>
        <w:t>R</w:t>
      </w:r>
      <w:r w:rsidR="00D33E88" w:rsidRPr="00955F21">
        <w:t>ights</w:t>
      </w:r>
      <w:r w:rsidR="00DE16A4" w:rsidRPr="00955F21">
        <w:t>“</w:t>
      </w:r>
      <w:r w:rsidR="00407462" w:rsidRPr="00955F21">
        <w:t xml:space="preserve"> </w:t>
      </w:r>
      <w:r w:rsidR="006612E4">
        <w:t xml:space="preserve"> and </w:t>
      </w:r>
      <w:r w:rsidR="00407462" w:rsidRPr="00955F21">
        <w:t xml:space="preserve">the specific objective of </w:t>
      </w:r>
      <w:r w:rsidR="00407462" w:rsidRPr="00FB5D88">
        <w:rPr>
          <w:i/>
          <w:iCs/>
        </w:rPr>
        <w:t>people at the risk of poverty, including most deprived and children</w:t>
      </w:r>
      <w:r w:rsidR="00DE16A4" w:rsidRPr="00955F21">
        <w:rPr>
          <w:b/>
          <w:bCs/>
        </w:rPr>
        <w:t xml:space="preserve">, </w:t>
      </w:r>
      <w:r w:rsidR="00DE16A4" w:rsidRPr="00955F21">
        <w:t>underpinned by strengthened</w:t>
      </w:r>
      <w:r w:rsidR="00B15A27">
        <w:t>,</w:t>
      </w:r>
      <w:r w:rsidR="00DE16A4" w:rsidRPr="00955F21">
        <w:t xml:space="preserve"> obligatory </w:t>
      </w:r>
      <w:r w:rsidR="00DE16A4" w:rsidRPr="00FB5D88">
        <w:rPr>
          <w:i/>
          <w:iCs/>
        </w:rPr>
        <w:t>enabling conditions</w:t>
      </w:r>
      <w:r w:rsidR="00DE16A4" w:rsidRPr="00955F21">
        <w:t>, to ensure effective delivery of</w:t>
      </w:r>
      <w:r w:rsidR="00DE16A4" w:rsidRPr="00A00401">
        <w:t xml:space="preserve"> National strategic policy framework for social inclusion and poverty reduction.</w:t>
      </w:r>
    </w:p>
    <w:p w14:paraId="31DECAAD" w14:textId="4DB1473F" w:rsidR="00D33E88" w:rsidRPr="00955F21" w:rsidRDefault="00DE16A4" w:rsidP="001615ED">
      <w:pPr>
        <w:pStyle w:val="ListParagraph"/>
        <w:numPr>
          <w:ilvl w:val="0"/>
          <w:numId w:val="1"/>
        </w:numPr>
        <w:jc w:val="both"/>
      </w:pPr>
      <w:r w:rsidRPr="00955F21">
        <w:t>However,</w:t>
      </w:r>
      <w:r w:rsidR="00FB5D88">
        <w:t xml:space="preserve"> the overall budget for </w:t>
      </w:r>
      <w:r w:rsidR="00A00401">
        <w:t xml:space="preserve">the </w:t>
      </w:r>
      <w:r w:rsidR="00FB5D88">
        <w:t>MFF and particularly Cohesion Funds are facing grave threats. Even if the full amount is agree</w:t>
      </w:r>
      <w:r w:rsidR="00FD42B5">
        <w:t>d</w:t>
      </w:r>
      <w:r w:rsidR="00FB5D88">
        <w:t xml:space="preserve">, the </w:t>
      </w:r>
      <w:r w:rsidRPr="00C71DA7">
        <w:rPr>
          <w:b/>
          <w:bCs/>
        </w:rPr>
        <w:t>funding of 25%, including FEAD funds, is not sufficiently ambitious</w:t>
      </w:r>
      <w:r w:rsidRPr="00955F21">
        <w:t xml:space="preserve">. There needs to be clear guidance to ensure that such integrated strategies go beyond </w:t>
      </w:r>
      <w:r w:rsidR="001615ED" w:rsidRPr="00955F21">
        <w:t xml:space="preserve">narrow </w:t>
      </w:r>
      <w:r w:rsidRPr="00955F21">
        <w:t>active labour market measures,</w:t>
      </w:r>
      <w:r w:rsidR="001615ED" w:rsidRPr="00955F21">
        <w:t xml:space="preserve"> avoid conditionality, and effectively</w:t>
      </w:r>
      <w:r w:rsidRPr="00955F21">
        <w:t xml:space="preserve"> support inclusion</w:t>
      </w:r>
      <w:r w:rsidR="001615ED" w:rsidRPr="00955F21">
        <w:t xml:space="preserve"> for key target groups. This means co-development together with</w:t>
      </w:r>
      <w:r w:rsidRPr="00955F21">
        <w:t xml:space="preserve"> </w:t>
      </w:r>
      <w:r w:rsidR="001615ED" w:rsidRPr="00955F21">
        <w:t>community organisations/NGOs</w:t>
      </w:r>
      <w:r w:rsidRPr="00955F21">
        <w:t xml:space="preserve">, and strict </w:t>
      </w:r>
      <w:r w:rsidR="006612E4">
        <w:t xml:space="preserve">enforcement </w:t>
      </w:r>
      <w:r w:rsidR="003A3990">
        <w:t>of the enabling conditions</w:t>
      </w:r>
      <w:r w:rsidRPr="00955F21">
        <w:t xml:space="preserve"> ensuring meaningful engagement of civil society organi</w:t>
      </w:r>
      <w:r w:rsidR="00A00401">
        <w:t>s</w:t>
      </w:r>
      <w:r w:rsidRPr="00955F21">
        <w:t xml:space="preserve">ations in the monitoring committees under the Code </w:t>
      </w:r>
      <w:r w:rsidR="00D70FC3">
        <w:t xml:space="preserve">of </w:t>
      </w:r>
      <w:r w:rsidRPr="00955F21">
        <w:t>Conduct</w:t>
      </w:r>
      <w:r w:rsidR="006612E4">
        <w:t xml:space="preserve"> on Partnership</w:t>
      </w:r>
      <w:r w:rsidR="004B6011">
        <w:t xml:space="preserve"> on ESF</w:t>
      </w:r>
      <w:r w:rsidRPr="00955F21">
        <w:t>.</w:t>
      </w:r>
    </w:p>
    <w:p w14:paraId="5C7BAA61" w14:textId="2E0F4EEF" w:rsidR="00DE16A4" w:rsidRPr="00955F21" w:rsidRDefault="00DE16A4" w:rsidP="001615ED">
      <w:pPr>
        <w:pStyle w:val="ListParagraph"/>
        <w:numPr>
          <w:ilvl w:val="0"/>
          <w:numId w:val="1"/>
        </w:numPr>
        <w:jc w:val="both"/>
      </w:pPr>
      <w:r w:rsidRPr="00955F21">
        <w:t xml:space="preserve">The </w:t>
      </w:r>
      <w:r w:rsidRPr="00C71DA7">
        <w:t>stronger connection to the European Semester, both in requiring delivery on</w:t>
      </w:r>
      <w:r w:rsidR="004B6011" w:rsidRPr="00C71DA7">
        <w:t xml:space="preserve"> the</w:t>
      </w:r>
      <w:r w:rsidRPr="00C71DA7">
        <w:t xml:space="preserve"> CSRs and monitoring investment to the objectives in Annex D, are useful</w:t>
      </w:r>
      <w:r w:rsidR="004B6011">
        <w:t>. However,</w:t>
      </w:r>
      <w:r w:rsidR="001615ED" w:rsidRPr="00955F21">
        <w:t xml:space="preserve"> the </w:t>
      </w:r>
      <w:r w:rsidR="001615ED" w:rsidRPr="00C71DA7">
        <w:rPr>
          <w:b/>
          <w:bCs/>
        </w:rPr>
        <w:t>CSRs</w:t>
      </w:r>
      <w:r w:rsidR="004B6011" w:rsidRPr="00C71DA7">
        <w:rPr>
          <w:b/>
          <w:bCs/>
        </w:rPr>
        <w:t xml:space="preserve"> must</w:t>
      </w:r>
      <w:r w:rsidR="001615ED" w:rsidRPr="00C71DA7">
        <w:rPr>
          <w:b/>
          <w:bCs/>
        </w:rPr>
        <w:t xml:space="preserve"> prioriti</w:t>
      </w:r>
      <w:r w:rsidR="00BD5D16" w:rsidRPr="00C71DA7">
        <w:rPr>
          <w:b/>
          <w:bCs/>
        </w:rPr>
        <w:t>s</w:t>
      </w:r>
      <w:r w:rsidR="001615ED" w:rsidRPr="00C71DA7">
        <w:rPr>
          <w:b/>
          <w:bCs/>
        </w:rPr>
        <w:t xml:space="preserve">e social rights, </w:t>
      </w:r>
      <w:r w:rsidR="003A3990" w:rsidRPr="00C71DA7">
        <w:rPr>
          <w:b/>
          <w:bCs/>
        </w:rPr>
        <w:t>and not just ‘social issues</w:t>
      </w:r>
      <w:r w:rsidR="004B6011" w:rsidRPr="00C71DA7">
        <w:rPr>
          <w:b/>
          <w:bCs/>
        </w:rPr>
        <w:t>’</w:t>
      </w:r>
      <w:r w:rsidR="003A3990" w:rsidRPr="00C71DA7">
        <w:rPr>
          <w:b/>
          <w:bCs/>
        </w:rPr>
        <w:t xml:space="preserve">, </w:t>
      </w:r>
      <w:r w:rsidR="004B6011">
        <w:t xml:space="preserve">where the </w:t>
      </w:r>
      <w:proofErr w:type="gramStart"/>
      <w:r w:rsidR="004B6011">
        <w:t>main focus</w:t>
      </w:r>
      <w:proofErr w:type="gramEnd"/>
      <w:r w:rsidR="004B6011">
        <w:t xml:space="preserve"> is</w:t>
      </w:r>
      <w:r w:rsidR="001615ED" w:rsidRPr="00955F21">
        <w:t xml:space="preserve"> </w:t>
      </w:r>
      <w:r w:rsidR="00B15A27">
        <w:t xml:space="preserve">often </w:t>
      </w:r>
      <w:r w:rsidR="001615ED" w:rsidRPr="00955F21">
        <w:t>‘restructuring</w:t>
      </w:r>
      <w:r w:rsidR="003A3990">
        <w:t>/reducing</w:t>
      </w:r>
      <w:r w:rsidR="00B15A27">
        <w:t>’</w:t>
      </w:r>
      <w:r w:rsidR="003A3990">
        <w:t xml:space="preserve"> the funding for</w:t>
      </w:r>
      <w:r w:rsidR="001615ED" w:rsidRPr="00955F21">
        <w:t xml:space="preserve"> social </w:t>
      </w:r>
      <w:r w:rsidR="00B15A27">
        <w:t>provisions (particularly health/care/pensions/social protection)</w:t>
      </w:r>
      <w:r w:rsidR="004B6011">
        <w:t xml:space="preserve"> which undermine social rights</w:t>
      </w:r>
      <w:r w:rsidR="001615ED" w:rsidRPr="00955F21">
        <w:t>. Annex D needs to</w:t>
      </w:r>
      <w:r w:rsidR="003A3990">
        <w:t xml:space="preserve"> include a stron</w:t>
      </w:r>
      <w:r w:rsidR="00FD42B5">
        <w:t>g</w:t>
      </w:r>
      <w:r w:rsidR="001615ED" w:rsidRPr="00955F21">
        <w:t xml:space="preserve"> focus on the delivery of the 4</w:t>
      </w:r>
      <w:r w:rsidR="001615ED" w:rsidRPr="00955F21">
        <w:rPr>
          <w:vertAlign w:val="superscript"/>
        </w:rPr>
        <w:t>th</w:t>
      </w:r>
      <w:r w:rsidR="001615ED" w:rsidRPr="00955F21">
        <w:t xml:space="preserve"> </w:t>
      </w:r>
      <w:r w:rsidR="004B6011">
        <w:t>Priority on the Social Pillar</w:t>
      </w:r>
      <w:r w:rsidR="00B15A27">
        <w:t>,</w:t>
      </w:r>
      <w:r w:rsidR="001615ED" w:rsidRPr="00955F21">
        <w:t xml:space="preserve"> the specific priorit</w:t>
      </w:r>
      <w:r w:rsidR="004B6011">
        <w:t>y</w:t>
      </w:r>
      <w:r w:rsidR="001615ED" w:rsidRPr="00955F21">
        <w:t xml:space="preserve">, </w:t>
      </w:r>
      <w:proofErr w:type="spellStart"/>
      <w:r w:rsidR="001615ED" w:rsidRPr="00955F21">
        <w:t>ie</w:t>
      </w:r>
      <w:proofErr w:type="spellEnd"/>
      <w:r w:rsidR="004B6011" w:rsidRPr="004B6011">
        <w:rPr>
          <w:i/>
          <w:iCs/>
        </w:rPr>
        <w:t xml:space="preserve"> </w:t>
      </w:r>
      <w:r w:rsidR="004B6011" w:rsidRPr="00FB5D88">
        <w:rPr>
          <w:i/>
          <w:iCs/>
        </w:rPr>
        <w:t>people at the risk of poverty, including most deprived and children</w:t>
      </w:r>
      <w:r w:rsidR="004B6011" w:rsidRPr="00955F21">
        <w:rPr>
          <w:b/>
          <w:bCs/>
        </w:rPr>
        <w:t xml:space="preserve">, </w:t>
      </w:r>
      <w:r w:rsidR="001615ED" w:rsidRPr="00955F21">
        <w:t xml:space="preserve"> and the enabling condition</w:t>
      </w:r>
      <w:r w:rsidR="004B6011">
        <w:t xml:space="preserve"> on antipoverty strategies</w:t>
      </w:r>
      <w:r w:rsidR="00955F21">
        <w:t>, not as at the moment on</w:t>
      </w:r>
      <w:r w:rsidR="007B3E7B">
        <w:t>l</w:t>
      </w:r>
      <w:r w:rsidR="00955F21">
        <w:t xml:space="preserve">y </w:t>
      </w:r>
      <w:r w:rsidR="003A3990">
        <w:t xml:space="preserve">on </w:t>
      </w:r>
      <w:r w:rsidR="00955F21">
        <w:t>green investment.</w:t>
      </w:r>
    </w:p>
    <w:p w14:paraId="074AE732" w14:textId="3C4B3C8C" w:rsidR="00DE16A4" w:rsidRPr="00955F21" w:rsidRDefault="00DE16A4" w:rsidP="001615ED">
      <w:pPr>
        <w:pStyle w:val="ListParagraph"/>
        <w:numPr>
          <w:ilvl w:val="0"/>
          <w:numId w:val="1"/>
        </w:numPr>
        <w:jc w:val="both"/>
      </w:pPr>
      <w:r w:rsidRPr="00955F21">
        <w:t xml:space="preserve">Steps need to be taken to ensure that </w:t>
      </w:r>
      <w:r w:rsidRPr="00C71DA7">
        <w:rPr>
          <w:b/>
          <w:bCs/>
        </w:rPr>
        <w:t>ESF is not instrumentali</w:t>
      </w:r>
      <w:r w:rsidR="00BD5D16" w:rsidRPr="00C71DA7">
        <w:rPr>
          <w:b/>
          <w:bCs/>
        </w:rPr>
        <w:t>s</w:t>
      </w:r>
      <w:r w:rsidRPr="00C71DA7">
        <w:rPr>
          <w:b/>
          <w:bCs/>
        </w:rPr>
        <w:t>ed by national governments</w:t>
      </w:r>
      <w:r w:rsidRPr="00955F21">
        <w:t xml:space="preserve"> to finance mainstream public programmes and implement effective sanctions when EU funds are misused.</w:t>
      </w:r>
    </w:p>
    <w:p w14:paraId="4BC62FCD" w14:textId="225B959E" w:rsidR="00DE16A4" w:rsidRPr="00955F21" w:rsidRDefault="00DE16A4" w:rsidP="001615ED">
      <w:pPr>
        <w:pStyle w:val="ListParagraph"/>
        <w:numPr>
          <w:ilvl w:val="0"/>
          <w:numId w:val="1"/>
        </w:numPr>
        <w:jc w:val="both"/>
      </w:pPr>
      <w:r w:rsidRPr="00955F21">
        <w:t xml:space="preserve">It will be crucial to </w:t>
      </w:r>
      <w:r w:rsidR="00955F21">
        <w:t xml:space="preserve">pro-actively </w:t>
      </w:r>
      <w:r w:rsidRPr="00955F21">
        <w:t xml:space="preserve">support </w:t>
      </w:r>
      <w:r w:rsidRPr="00C71DA7">
        <w:rPr>
          <w:b/>
          <w:bCs/>
        </w:rPr>
        <w:t>innovative, grass-roots community/NGO projects</w:t>
      </w:r>
      <w:r w:rsidRPr="00955F21">
        <w:t xml:space="preserve"> with upfront funding, global grants, avoiding the 20% co-financing requirement.</w:t>
      </w:r>
    </w:p>
    <w:p w14:paraId="615A8A34" w14:textId="77777777" w:rsidR="00D33E88" w:rsidRPr="000B1A8D" w:rsidRDefault="00D33E88" w:rsidP="001615ED">
      <w:pPr>
        <w:pStyle w:val="ListParagraph"/>
        <w:jc w:val="both"/>
        <w:rPr>
          <w:sz w:val="24"/>
          <w:szCs w:val="24"/>
        </w:rPr>
      </w:pPr>
    </w:p>
    <w:p w14:paraId="553C7AC3" w14:textId="2507271C" w:rsidR="0067058C" w:rsidRDefault="005E2176" w:rsidP="005E2176">
      <w:pPr>
        <w:pStyle w:val="ListParagraph"/>
        <w:rPr>
          <w:b/>
          <w:bCs/>
          <w:sz w:val="24"/>
          <w:szCs w:val="24"/>
        </w:rPr>
      </w:pPr>
      <w:r>
        <w:rPr>
          <w:b/>
          <w:bCs/>
          <w:sz w:val="24"/>
          <w:szCs w:val="24"/>
        </w:rPr>
        <w:t xml:space="preserve">2.7 </w:t>
      </w:r>
      <w:r w:rsidR="0067058C">
        <w:rPr>
          <w:b/>
          <w:bCs/>
          <w:sz w:val="24"/>
          <w:szCs w:val="24"/>
        </w:rPr>
        <w:t>Put people at the heart</w:t>
      </w:r>
      <w:r w:rsidR="00485A8B">
        <w:rPr>
          <w:b/>
          <w:bCs/>
          <w:sz w:val="24"/>
          <w:szCs w:val="24"/>
        </w:rPr>
        <w:t xml:space="preserve"> – empow</w:t>
      </w:r>
      <w:r>
        <w:rPr>
          <w:b/>
          <w:bCs/>
          <w:sz w:val="24"/>
          <w:szCs w:val="24"/>
        </w:rPr>
        <w:t>ering</w:t>
      </w:r>
      <w:r w:rsidR="00485A8B">
        <w:rPr>
          <w:b/>
          <w:bCs/>
          <w:sz w:val="24"/>
          <w:szCs w:val="24"/>
        </w:rPr>
        <w:t xml:space="preserve"> people</w:t>
      </w:r>
      <w:r w:rsidR="004B6616">
        <w:rPr>
          <w:b/>
          <w:bCs/>
          <w:sz w:val="24"/>
          <w:szCs w:val="24"/>
        </w:rPr>
        <w:t xml:space="preserve"> to contribute to solutions,</w:t>
      </w:r>
      <w:r w:rsidR="00485A8B">
        <w:rPr>
          <w:b/>
          <w:bCs/>
          <w:sz w:val="24"/>
          <w:szCs w:val="24"/>
        </w:rPr>
        <w:t xml:space="preserve"> hold</w:t>
      </w:r>
      <w:r w:rsidR="004B6616">
        <w:rPr>
          <w:b/>
          <w:bCs/>
          <w:sz w:val="24"/>
          <w:szCs w:val="24"/>
        </w:rPr>
        <w:t xml:space="preserve">ing </w:t>
      </w:r>
      <w:r w:rsidR="00485A8B">
        <w:rPr>
          <w:b/>
          <w:bCs/>
          <w:sz w:val="24"/>
          <w:szCs w:val="24"/>
        </w:rPr>
        <w:t>governments to account</w:t>
      </w:r>
    </w:p>
    <w:p w14:paraId="1E74343E" w14:textId="77777777" w:rsidR="00E47DEA" w:rsidRDefault="00E47DEA" w:rsidP="005E2176">
      <w:pPr>
        <w:pStyle w:val="ListParagraph"/>
        <w:rPr>
          <w:b/>
          <w:bCs/>
          <w:sz w:val="24"/>
          <w:szCs w:val="24"/>
        </w:rPr>
      </w:pPr>
    </w:p>
    <w:p w14:paraId="7FF902DC" w14:textId="2942FAE3" w:rsidR="00551DA0" w:rsidRPr="007B3E7B" w:rsidRDefault="00955F21" w:rsidP="004B6011">
      <w:pPr>
        <w:pStyle w:val="ListParagraph"/>
        <w:numPr>
          <w:ilvl w:val="0"/>
          <w:numId w:val="1"/>
        </w:numPr>
        <w:jc w:val="both"/>
      </w:pPr>
      <w:r w:rsidRPr="007B3E7B">
        <w:t xml:space="preserve">The </w:t>
      </w:r>
      <w:r w:rsidR="009171AD" w:rsidRPr="00C71DA7">
        <w:rPr>
          <w:b/>
          <w:bCs/>
        </w:rPr>
        <w:t xml:space="preserve">role </w:t>
      </w:r>
      <w:r w:rsidRPr="00C71DA7">
        <w:rPr>
          <w:b/>
          <w:bCs/>
        </w:rPr>
        <w:t>of civil society organi</w:t>
      </w:r>
      <w:r w:rsidR="004A2F9A" w:rsidRPr="00C71DA7">
        <w:rPr>
          <w:b/>
          <w:bCs/>
        </w:rPr>
        <w:t>s</w:t>
      </w:r>
      <w:r w:rsidRPr="00C71DA7">
        <w:rPr>
          <w:b/>
          <w:bCs/>
        </w:rPr>
        <w:t xml:space="preserve">ations is </w:t>
      </w:r>
      <w:r w:rsidR="00B15A27" w:rsidRPr="00C71DA7">
        <w:rPr>
          <w:b/>
          <w:bCs/>
        </w:rPr>
        <w:t xml:space="preserve">still regrettably </w:t>
      </w:r>
      <w:r w:rsidR="009171AD" w:rsidRPr="00C71DA7">
        <w:rPr>
          <w:b/>
          <w:bCs/>
        </w:rPr>
        <w:t>weak and i</w:t>
      </w:r>
      <w:r w:rsidRPr="00C71DA7">
        <w:rPr>
          <w:b/>
          <w:bCs/>
        </w:rPr>
        <w:t>nsufficiently clear in the delivery of the EPSR,</w:t>
      </w:r>
      <w:r w:rsidRPr="007B3E7B">
        <w:t xml:space="preserve"> </w:t>
      </w:r>
      <w:r w:rsidR="009171AD" w:rsidRPr="007B3E7B">
        <w:t xml:space="preserve">nor </w:t>
      </w:r>
      <w:r w:rsidR="004B6011">
        <w:t xml:space="preserve">is there </w:t>
      </w:r>
      <w:r w:rsidR="009171AD" w:rsidRPr="007B3E7B">
        <w:t>sufficient implementation of existing requirements in</w:t>
      </w:r>
      <w:r w:rsidRPr="007B3E7B">
        <w:t xml:space="preserve"> the main coordination mechanisms</w:t>
      </w:r>
      <w:r w:rsidR="009171AD" w:rsidRPr="007B3E7B">
        <w:t xml:space="preserve"> e</w:t>
      </w:r>
      <w:r w:rsidR="0026120D">
        <w:t>.</w:t>
      </w:r>
      <w:r w:rsidR="009171AD" w:rsidRPr="007B3E7B">
        <w:t>g</w:t>
      </w:r>
      <w:r w:rsidR="0026120D">
        <w:t>.</w:t>
      </w:r>
      <w:r w:rsidR="009171AD" w:rsidRPr="007B3E7B">
        <w:t xml:space="preserve"> the Semester and EU funds.</w:t>
      </w:r>
      <w:r w:rsidR="004B6011">
        <w:t xml:space="preserve"> </w:t>
      </w:r>
      <w:r w:rsidRPr="007B3E7B">
        <w:t xml:space="preserve">Whilst </w:t>
      </w:r>
      <w:r w:rsidR="00B15A27">
        <w:t>C</w:t>
      </w:r>
      <w:r w:rsidRPr="007B3E7B">
        <w:t xml:space="preserve">ivil </w:t>
      </w:r>
      <w:r w:rsidR="00B15A27">
        <w:t>S</w:t>
      </w:r>
      <w:r w:rsidRPr="007B3E7B">
        <w:t xml:space="preserve">ociety </w:t>
      </w:r>
      <w:r w:rsidR="00B15A27">
        <w:t>O</w:t>
      </w:r>
      <w:r w:rsidRPr="007B3E7B">
        <w:t>rgani</w:t>
      </w:r>
      <w:r w:rsidR="004A2F9A">
        <w:t>s</w:t>
      </w:r>
      <w:r w:rsidRPr="007B3E7B">
        <w:t>ations are highlighted in the Commission</w:t>
      </w:r>
      <w:r w:rsidR="004A2F9A">
        <w:t>’s</w:t>
      </w:r>
      <w:r w:rsidRPr="007B3E7B">
        <w:t xml:space="preserve"> </w:t>
      </w:r>
      <w:r w:rsidR="009171AD" w:rsidRPr="007B3E7B">
        <w:t xml:space="preserve">recent </w:t>
      </w:r>
      <w:r w:rsidRPr="007B3E7B">
        <w:t>Communication,</w:t>
      </w:r>
      <w:r w:rsidR="00551DA0" w:rsidRPr="007B3E7B">
        <w:t xml:space="preserve"> and</w:t>
      </w:r>
      <w:r w:rsidRPr="007B3E7B">
        <w:t xml:space="preserve"> within the </w:t>
      </w:r>
      <w:r w:rsidR="004A2F9A">
        <w:t xml:space="preserve">European </w:t>
      </w:r>
      <w:r w:rsidRPr="007B3E7B">
        <w:t>Semester</w:t>
      </w:r>
      <w:r w:rsidR="00B15A27">
        <w:t xml:space="preserve"> (</w:t>
      </w:r>
      <w:r w:rsidRPr="007B3E7B">
        <w:t>Recital 11 of the revised Employment Guidelines (2018)</w:t>
      </w:r>
      <w:r w:rsidR="009171AD" w:rsidRPr="007B3E7B">
        <w:t xml:space="preserve">, in reality NGOs struggle to be engaged consistently and meaningfully at all stages of the </w:t>
      </w:r>
      <w:r w:rsidR="004A2F9A">
        <w:t xml:space="preserve">European </w:t>
      </w:r>
      <w:r w:rsidR="009171AD" w:rsidRPr="007B3E7B">
        <w:t>Semester process</w:t>
      </w:r>
      <w:r w:rsidR="00B15A27">
        <w:t xml:space="preserve"> and to achieve impact</w:t>
      </w:r>
      <w:r w:rsidR="009171AD" w:rsidRPr="007B3E7B">
        <w:t xml:space="preserve">. Big disparities </w:t>
      </w:r>
      <w:r w:rsidR="0065618D">
        <w:t xml:space="preserve">in relation to engagement of CSOs </w:t>
      </w:r>
      <w:r w:rsidR="009171AD" w:rsidRPr="007B3E7B">
        <w:t xml:space="preserve">exist between </w:t>
      </w:r>
      <w:r w:rsidR="009171AD" w:rsidRPr="007B3E7B">
        <w:lastRenderedPageBreak/>
        <w:t xml:space="preserve">Member States, </w:t>
      </w:r>
      <w:r w:rsidR="003A3990">
        <w:t>the</w:t>
      </w:r>
      <w:r w:rsidR="009171AD" w:rsidRPr="007B3E7B">
        <w:t xml:space="preserve"> different DGs</w:t>
      </w:r>
      <w:r w:rsidR="003A3990">
        <w:t xml:space="preserve"> and </w:t>
      </w:r>
      <w:r w:rsidR="0065618D">
        <w:t xml:space="preserve">the </w:t>
      </w:r>
      <w:r w:rsidR="003A3990">
        <w:t>Commission Representations</w:t>
      </w:r>
      <w:r w:rsidR="004B6011">
        <w:t xml:space="preserve"> at national level</w:t>
      </w:r>
      <w:r w:rsidR="004A2F9A">
        <w:t>,</w:t>
      </w:r>
      <w:r w:rsidR="003A3990">
        <w:t xml:space="preserve"> </w:t>
      </w:r>
      <w:r w:rsidR="004A2F9A">
        <w:t>i.e.</w:t>
      </w:r>
      <w:r w:rsidR="003A3990">
        <w:t xml:space="preserve"> </w:t>
      </w:r>
      <w:r w:rsidR="004A2F9A">
        <w:t xml:space="preserve">the </w:t>
      </w:r>
      <w:r w:rsidR="003A3990">
        <w:t>European Semester Officers</w:t>
      </w:r>
      <w:r w:rsidR="009171AD" w:rsidRPr="007B3E7B">
        <w:t>.</w:t>
      </w:r>
      <w:r w:rsidR="00551DA0" w:rsidRPr="007B3E7B">
        <w:rPr>
          <w:rStyle w:val="FootnoteReference"/>
        </w:rPr>
        <w:footnoteReference w:id="20"/>
      </w:r>
    </w:p>
    <w:p w14:paraId="0DD4E6FD" w14:textId="23CF5A6D" w:rsidR="00955F21" w:rsidRPr="007B3E7B" w:rsidRDefault="009171AD" w:rsidP="003A3990">
      <w:pPr>
        <w:pStyle w:val="ListParagraph"/>
        <w:numPr>
          <w:ilvl w:val="0"/>
          <w:numId w:val="1"/>
        </w:numPr>
        <w:jc w:val="both"/>
      </w:pPr>
      <w:r w:rsidRPr="007B3E7B">
        <w:t xml:space="preserve">Whilst </w:t>
      </w:r>
      <w:r w:rsidRPr="00C71DA7">
        <w:rPr>
          <w:b/>
          <w:bCs/>
        </w:rPr>
        <w:t>major efforts have been made by DG Employment to engage NGOs</w:t>
      </w:r>
      <w:r w:rsidR="00C71DA7">
        <w:t xml:space="preserve"> in regular dialogue</w:t>
      </w:r>
      <w:r w:rsidRPr="007B3E7B">
        <w:t xml:space="preserve">, this has not translated into engagement by </w:t>
      </w:r>
      <w:r w:rsidR="004B6011">
        <w:t>sufficient</w:t>
      </w:r>
      <w:r w:rsidR="004A2F9A">
        <w:t xml:space="preserve"> </w:t>
      </w:r>
      <w:r w:rsidRPr="007B3E7B">
        <w:t>MS</w:t>
      </w:r>
      <w:r w:rsidR="004A2F9A">
        <w:t xml:space="preserve">, </w:t>
      </w:r>
      <w:r w:rsidR="004B6011">
        <w:t>neither is such</w:t>
      </w:r>
      <w:r w:rsidRPr="007B3E7B">
        <w:t xml:space="preserve"> guidance apparent in the </w:t>
      </w:r>
      <w:r w:rsidR="003A3990">
        <w:t>E</w:t>
      </w:r>
      <w:r w:rsidRPr="007B3E7B">
        <w:t xml:space="preserve">conomic </w:t>
      </w:r>
      <w:r w:rsidR="003A3990">
        <w:t>G</w:t>
      </w:r>
      <w:r w:rsidRPr="007B3E7B">
        <w:t>uidelines, despite the crucial role macroeconomic policy</w:t>
      </w:r>
      <w:r w:rsidR="004B6011">
        <w:t xml:space="preserve"> plays </w:t>
      </w:r>
      <w:r w:rsidR="00107D7E">
        <w:t>in the fight against poverty:</w:t>
      </w:r>
      <w:r w:rsidR="004B6011">
        <w:t xml:space="preserve"> support</w:t>
      </w:r>
      <w:r w:rsidR="00107D7E">
        <w:t>ing</w:t>
      </w:r>
      <w:r w:rsidRPr="007B3E7B">
        <w:t xml:space="preserve"> investment in public services</w:t>
      </w:r>
      <w:r w:rsidR="00B15A27">
        <w:t>,</w:t>
      </w:r>
      <w:r w:rsidRPr="007B3E7B">
        <w:t xml:space="preserve"> social protection</w:t>
      </w:r>
      <w:r w:rsidR="00B15A27">
        <w:t xml:space="preserve"> and social rights</w:t>
      </w:r>
      <w:r w:rsidR="00107D7E">
        <w:t>.</w:t>
      </w:r>
    </w:p>
    <w:p w14:paraId="2273DD7C" w14:textId="480A381F" w:rsidR="003A3990" w:rsidRPr="007B3E7B" w:rsidRDefault="009171AD" w:rsidP="006504F3">
      <w:pPr>
        <w:pStyle w:val="ListParagraph"/>
        <w:numPr>
          <w:ilvl w:val="0"/>
          <w:numId w:val="1"/>
        </w:numPr>
        <w:jc w:val="both"/>
      </w:pPr>
      <w:r w:rsidRPr="00C71DA7">
        <w:rPr>
          <w:b/>
          <w:bCs/>
        </w:rPr>
        <w:t xml:space="preserve">Civil Society </w:t>
      </w:r>
      <w:r w:rsidR="004B6011" w:rsidRPr="00C71DA7">
        <w:rPr>
          <w:b/>
          <w:bCs/>
        </w:rPr>
        <w:t>O</w:t>
      </w:r>
      <w:r w:rsidRPr="00C71DA7">
        <w:rPr>
          <w:b/>
          <w:bCs/>
        </w:rPr>
        <w:t>rgan</w:t>
      </w:r>
      <w:r w:rsidR="004A2F9A" w:rsidRPr="00C71DA7">
        <w:rPr>
          <w:b/>
          <w:bCs/>
        </w:rPr>
        <w:t>is</w:t>
      </w:r>
      <w:r w:rsidRPr="00C71DA7">
        <w:rPr>
          <w:b/>
          <w:bCs/>
        </w:rPr>
        <w:t xml:space="preserve">ations should be put on a par with social partners, </w:t>
      </w:r>
      <w:r w:rsidR="004B6011">
        <w:t>at</w:t>
      </w:r>
      <w:r w:rsidRPr="007B3E7B">
        <w:t xml:space="preserve"> all stages of the consultation process</w:t>
      </w:r>
      <w:r w:rsidR="00107D7E">
        <w:t xml:space="preserve">: </w:t>
      </w:r>
      <w:r w:rsidRPr="007B3E7B">
        <w:t xml:space="preserve">at EU, national and regional level. This means </w:t>
      </w:r>
      <w:r w:rsidR="004A2F9A">
        <w:t xml:space="preserve">1) </w:t>
      </w:r>
      <w:r w:rsidRPr="007B3E7B">
        <w:t>changes to the economic guidelines</w:t>
      </w:r>
      <w:r w:rsidR="005B3C3A">
        <w:t xml:space="preserve"> </w:t>
      </w:r>
      <w:r w:rsidRPr="007B3E7B">
        <w:t xml:space="preserve">and stricter implementation of the employment guidelines, with obligatory guidelines, </w:t>
      </w:r>
      <w:r w:rsidR="004A2F9A">
        <w:t xml:space="preserve">2) a </w:t>
      </w:r>
      <w:r w:rsidRPr="007B3E7B">
        <w:t xml:space="preserve">practical handbook </w:t>
      </w:r>
      <w:r w:rsidR="004A2F9A">
        <w:t xml:space="preserve">3) </w:t>
      </w:r>
      <w:r w:rsidRPr="007B3E7B">
        <w:t>effective monitoring through the Semester, including quality standards/benchmarks</w:t>
      </w:r>
      <w:r w:rsidR="00B15A27">
        <w:t>/peer review</w:t>
      </w:r>
      <w:r w:rsidRPr="007B3E7B">
        <w:t xml:space="preserve"> for quality engagement.</w:t>
      </w:r>
      <w:r w:rsidR="00B86B7E">
        <w:t xml:space="preserve"> 4) </w:t>
      </w:r>
      <w:r w:rsidR="003A3990">
        <w:t xml:space="preserve">The direct voice of people experiencing poverty and social exclusion is crucial. The Commission must build on the current </w:t>
      </w:r>
      <w:r w:rsidR="004A2F9A">
        <w:t xml:space="preserve">annual </w:t>
      </w:r>
      <w:hyperlink r:id="rId30" w:history="1">
        <w:r w:rsidR="003A3990" w:rsidRPr="004B6011">
          <w:rPr>
            <w:rStyle w:val="Hyperlink"/>
          </w:rPr>
          <w:t xml:space="preserve">EU meetings of people </w:t>
        </w:r>
        <w:r w:rsidR="004A2F9A" w:rsidRPr="004B6011">
          <w:rPr>
            <w:rStyle w:val="Hyperlink"/>
          </w:rPr>
          <w:t xml:space="preserve">experiencing </w:t>
        </w:r>
        <w:r w:rsidR="003A3990" w:rsidRPr="004B6011">
          <w:rPr>
            <w:rStyle w:val="Hyperlink"/>
          </w:rPr>
          <w:t>poverty</w:t>
        </w:r>
      </w:hyperlink>
      <w:r w:rsidR="003A3990">
        <w:t>, to mainstream</w:t>
      </w:r>
      <w:r w:rsidR="00B15A27">
        <w:t xml:space="preserve"> them</w:t>
      </w:r>
      <w:r w:rsidR="003A3990">
        <w:t xml:space="preserve"> directly into the policy-making processes</w:t>
      </w:r>
      <w:r w:rsidR="004B6011">
        <w:t>,</w:t>
      </w:r>
      <w:r w:rsidR="003A3990">
        <w:t xml:space="preserve"> as a crucial voice contributing to meaningful solutions.</w:t>
      </w:r>
    </w:p>
    <w:p w14:paraId="493141A6" w14:textId="0BA214E1" w:rsidR="009171AD" w:rsidRPr="007B3E7B" w:rsidRDefault="00B86B7E" w:rsidP="00D42668">
      <w:pPr>
        <w:pStyle w:val="ListParagraph"/>
        <w:numPr>
          <w:ilvl w:val="0"/>
          <w:numId w:val="1"/>
        </w:numPr>
        <w:jc w:val="both"/>
      </w:pPr>
      <w:r w:rsidRPr="00C71DA7">
        <w:rPr>
          <w:b/>
          <w:bCs/>
        </w:rPr>
        <w:t xml:space="preserve">Financial support </w:t>
      </w:r>
      <w:r w:rsidR="009171AD" w:rsidRPr="00C71DA7">
        <w:rPr>
          <w:b/>
          <w:bCs/>
        </w:rPr>
        <w:t>should be made available</w:t>
      </w:r>
      <w:r w:rsidRPr="00C71DA7">
        <w:rPr>
          <w:b/>
          <w:bCs/>
        </w:rPr>
        <w:t xml:space="preserve"> to civil society organizations</w:t>
      </w:r>
      <w:r>
        <w:t>, on an equal basis</w:t>
      </w:r>
      <w:r w:rsidR="004E23B1">
        <w:t xml:space="preserve"> </w:t>
      </w:r>
      <w:r w:rsidR="005B3C3A">
        <w:t xml:space="preserve">as </w:t>
      </w:r>
      <w:r w:rsidR="004E23B1">
        <w:t>to</w:t>
      </w:r>
      <w:r>
        <w:t xml:space="preserve"> social partners, to provide timely information and build their capacity to engage meaningfully in these processes. Specific support should be given to facilitate the</w:t>
      </w:r>
      <w:r w:rsidR="003A3990">
        <w:t xml:space="preserve"> direct engagement of people experiencing poverty and social exclusion</w:t>
      </w:r>
      <w:r w:rsidR="009171AD" w:rsidRPr="007B3E7B">
        <w:t xml:space="preserve"> </w:t>
      </w:r>
      <w:r>
        <w:t>at national level</w:t>
      </w:r>
      <w:r w:rsidR="009171AD" w:rsidRPr="007B3E7B">
        <w:t>, to</w:t>
      </w:r>
      <w:r>
        <w:t xml:space="preserve"> provide feedback on policy proposals</w:t>
      </w:r>
      <w:r w:rsidR="00596BF3">
        <w:t>, the effectiveness of</w:t>
      </w:r>
      <w:r>
        <w:t xml:space="preserve"> implementation as well as crucial input on policy design. This also helps to </w:t>
      </w:r>
      <w:r w:rsidR="009171AD" w:rsidRPr="007B3E7B">
        <w:t>ensure accountability, monitor delivery on social rights and poverty reduction, contributing pro-actively to</w:t>
      </w:r>
      <w:r>
        <w:t xml:space="preserve"> sustainable solutions and</w:t>
      </w:r>
      <w:r w:rsidR="009171AD" w:rsidRPr="007B3E7B">
        <w:t xml:space="preserve"> implementation.</w:t>
      </w:r>
    </w:p>
    <w:p w14:paraId="71A9C164" w14:textId="54D6AB23" w:rsidR="002567F8" w:rsidRDefault="002567F8" w:rsidP="00AC55CC">
      <w:pPr>
        <w:rPr>
          <w:b/>
          <w:bCs/>
          <w:sz w:val="28"/>
          <w:szCs w:val="28"/>
        </w:rPr>
      </w:pPr>
    </w:p>
    <w:p w14:paraId="4A70512E" w14:textId="51E72807" w:rsidR="00E47DEA" w:rsidRDefault="00E47DEA" w:rsidP="00AC55CC">
      <w:pPr>
        <w:rPr>
          <w:b/>
          <w:bCs/>
          <w:sz w:val="28"/>
          <w:szCs w:val="28"/>
        </w:rPr>
      </w:pPr>
    </w:p>
    <w:p w14:paraId="2BF777F9" w14:textId="4FC266B8" w:rsidR="00E47DEA" w:rsidRDefault="00E47DEA" w:rsidP="00AC55CC">
      <w:pPr>
        <w:rPr>
          <w:b/>
          <w:bCs/>
          <w:sz w:val="28"/>
          <w:szCs w:val="28"/>
        </w:rPr>
      </w:pPr>
    </w:p>
    <w:p w14:paraId="6FEB83D2" w14:textId="392D0D78" w:rsidR="00E47DEA" w:rsidRDefault="00E47DEA" w:rsidP="00AC55CC">
      <w:pPr>
        <w:rPr>
          <w:b/>
          <w:bCs/>
          <w:sz w:val="28"/>
          <w:szCs w:val="28"/>
        </w:rPr>
      </w:pPr>
    </w:p>
    <w:p w14:paraId="106A89F1" w14:textId="623A91C1" w:rsidR="00E47DEA" w:rsidRDefault="00E47DEA" w:rsidP="00AC55CC">
      <w:pPr>
        <w:rPr>
          <w:b/>
          <w:bCs/>
          <w:sz w:val="28"/>
          <w:szCs w:val="28"/>
        </w:rPr>
      </w:pPr>
    </w:p>
    <w:p w14:paraId="7BF68395" w14:textId="3B22EF9A" w:rsidR="00E47DEA" w:rsidRDefault="00E47DEA" w:rsidP="00AC55CC">
      <w:pPr>
        <w:rPr>
          <w:b/>
          <w:bCs/>
          <w:sz w:val="28"/>
          <w:szCs w:val="28"/>
        </w:rPr>
      </w:pPr>
    </w:p>
    <w:p w14:paraId="464EC62E" w14:textId="5715A761" w:rsidR="00E47DEA" w:rsidRDefault="00E47DEA" w:rsidP="00AC55CC">
      <w:pPr>
        <w:rPr>
          <w:b/>
          <w:bCs/>
          <w:sz w:val="28"/>
          <w:szCs w:val="28"/>
        </w:rPr>
      </w:pPr>
    </w:p>
    <w:p w14:paraId="74C317D1" w14:textId="7B75961F" w:rsidR="00E47DEA" w:rsidRDefault="00E47DEA" w:rsidP="00AC55CC">
      <w:pPr>
        <w:rPr>
          <w:b/>
          <w:bCs/>
          <w:sz w:val="28"/>
          <w:szCs w:val="28"/>
        </w:rPr>
      </w:pPr>
    </w:p>
    <w:p w14:paraId="690D245C" w14:textId="3838DC6D" w:rsidR="00E47DEA" w:rsidRDefault="00E47DEA" w:rsidP="00AC55CC">
      <w:pPr>
        <w:rPr>
          <w:b/>
          <w:bCs/>
          <w:sz w:val="28"/>
          <w:szCs w:val="28"/>
        </w:rPr>
      </w:pPr>
    </w:p>
    <w:p w14:paraId="786D16DD" w14:textId="0C131140" w:rsidR="00E47DEA" w:rsidRDefault="00E47DEA" w:rsidP="00AC55CC">
      <w:pPr>
        <w:rPr>
          <w:b/>
          <w:bCs/>
          <w:sz w:val="28"/>
          <w:szCs w:val="28"/>
        </w:rPr>
      </w:pPr>
    </w:p>
    <w:p w14:paraId="52898C8E" w14:textId="01E2084B" w:rsidR="00E47DEA" w:rsidRDefault="00E47DEA" w:rsidP="00AC55CC">
      <w:pPr>
        <w:rPr>
          <w:b/>
          <w:bCs/>
          <w:sz w:val="28"/>
          <w:szCs w:val="28"/>
        </w:rPr>
      </w:pPr>
    </w:p>
    <w:p w14:paraId="5764DD84" w14:textId="77777777" w:rsidR="00E47DEA" w:rsidRDefault="00E47DEA" w:rsidP="00AC55CC">
      <w:pPr>
        <w:rPr>
          <w:b/>
          <w:bCs/>
          <w:sz w:val="28"/>
          <w:szCs w:val="28"/>
        </w:rPr>
      </w:pPr>
    </w:p>
    <w:p w14:paraId="665A8F74" w14:textId="57ABB774" w:rsidR="004B6011" w:rsidRPr="001B58D1" w:rsidRDefault="00C71DA7" w:rsidP="00AC55CC">
      <w:pPr>
        <w:rPr>
          <w:b/>
          <w:bCs/>
          <w:sz w:val="28"/>
          <w:szCs w:val="28"/>
        </w:rPr>
      </w:pPr>
      <w:r>
        <w:rPr>
          <w:b/>
          <w:bCs/>
          <w:sz w:val="28"/>
          <w:szCs w:val="28"/>
        </w:rPr>
        <w:lastRenderedPageBreak/>
        <w:t>4</w:t>
      </w:r>
      <w:r w:rsidR="005E2176">
        <w:rPr>
          <w:b/>
          <w:bCs/>
          <w:sz w:val="28"/>
          <w:szCs w:val="28"/>
        </w:rPr>
        <w:t xml:space="preserve">. </w:t>
      </w:r>
      <w:r w:rsidR="001B58D1" w:rsidRPr="001B58D1">
        <w:rPr>
          <w:b/>
          <w:bCs/>
          <w:sz w:val="28"/>
          <w:szCs w:val="28"/>
        </w:rPr>
        <w:t>Specific recommendations on Key EPSR Principles</w:t>
      </w:r>
    </w:p>
    <w:p w14:paraId="2E673AD4" w14:textId="63C11EC9" w:rsidR="00E13B23" w:rsidRPr="005E2176" w:rsidRDefault="00BA3DA1" w:rsidP="00AC55CC">
      <w:pPr>
        <w:rPr>
          <w:b/>
          <w:bCs/>
          <w:sz w:val="24"/>
          <w:szCs w:val="24"/>
        </w:rPr>
      </w:pPr>
      <w:r w:rsidRPr="005E2176">
        <w:rPr>
          <w:b/>
          <w:bCs/>
          <w:sz w:val="24"/>
          <w:szCs w:val="24"/>
        </w:rPr>
        <w:t>PRI</w:t>
      </w:r>
      <w:r w:rsidR="00D21A0D" w:rsidRPr="005E2176">
        <w:rPr>
          <w:b/>
          <w:bCs/>
          <w:sz w:val="24"/>
          <w:szCs w:val="24"/>
        </w:rPr>
        <w:t>NCIPLE 14: MINIMUM INCOME</w:t>
      </w:r>
    </w:p>
    <w:p w14:paraId="122756E9" w14:textId="551CADC9" w:rsidR="00C44002" w:rsidRDefault="00C44002" w:rsidP="00B03107">
      <w:pPr>
        <w:pBdr>
          <w:top w:val="single" w:sz="4" w:space="1" w:color="auto"/>
          <w:left w:val="single" w:sz="4" w:space="4" w:color="auto"/>
          <w:bottom w:val="single" w:sz="4" w:space="1" w:color="auto"/>
          <w:right w:val="single" w:sz="4" w:space="4" w:color="auto"/>
        </w:pBdr>
        <w:jc w:val="both"/>
        <w:rPr>
          <w:rFonts w:cstheme="minorHAnsi"/>
        </w:rPr>
      </w:pPr>
      <w:r>
        <w:rPr>
          <w:b/>
          <w:bCs/>
        </w:rPr>
        <w:t>Goal 1: SDGs – End Poverty in all its forms – “</w:t>
      </w:r>
      <w:r w:rsidRPr="00BD3F03">
        <w:rPr>
          <w:rFonts w:cstheme="minorHAnsi"/>
        </w:rPr>
        <w:t xml:space="preserve">affirms that all people, everywhere, should </w:t>
      </w:r>
      <w:r w:rsidRPr="00BD3F03">
        <w:rPr>
          <w:rFonts w:cstheme="minorHAnsi"/>
          <w:b/>
        </w:rPr>
        <w:t>enjoy a basic standard of living</w:t>
      </w:r>
      <w:r w:rsidRPr="00BD3F03">
        <w:rPr>
          <w:rFonts w:cstheme="minorHAnsi"/>
        </w:rPr>
        <w:t xml:space="preserve">. This includes </w:t>
      </w:r>
      <w:r w:rsidRPr="00BD3F03">
        <w:rPr>
          <w:rFonts w:cstheme="minorHAnsi"/>
          <w:b/>
        </w:rPr>
        <w:t>social protection benefits</w:t>
      </w:r>
      <w:r w:rsidRPr="00BD3F03">
        <w:rPr>
          <w:rFonts w:cstheme="minorHAnsi"/>
        </w:rPr>
        <w:t xml:space="preserve"> for the poor and most vulnerable</w:t>
      </w:r>
      <w:r>
        <w:rPr>
          <w:rFonts w:cstheme="minorHAnsi"/>
        </w:rPr>
        <w:t>”.</w:t>
      </w:r>
    </w:p>
    <w:p w14:paraId="2630F68F" w14:textId="06CF2541" w:rsidR="0075222D" w:rsidRDefault="000E383C" w:rsidP="00AC55CC">
      <w:pPr>
        <w:jc w:val="both"/>
        <w:rPr>
          <w:b/>
          <w:bCs/>
        </w:rPr>
      </w:pPr>
      <w:r w:rsidRPr="00C71DA7">
        <w:rPr>
          <w:b/>
          <w:bCs/>
        </w:rPr>
        <w:t>EAPN has campaigned on the right to an adequate minimum income since 2000, most recently through coordinating the European Minimum</w:t>
      </w:r>
      <w:r w:rsidR="0058703C" w:rsidRPr="00C71DA7">
        <w:rPr>
          <w:b/>
          <w:bCs/>
        </w:rPr>
        <w:t xml:space="preserve"> Network Project</w:t>
      </w:r>
      <w:r w:rsidRPr="00C71DA7">
        <w:rPr>
          <w:rStyle w:val="FootnoteReference"/>
          <w:b/>
          <w:bCs/>
        </w:rPr>
        <w:footnoteReference w:id="21"/>
      </w:r>
      <w:r w:rsidR="0058703C" w:rsidRPr="003A3990">
        <w:t xml:space="preserve"> </w:t>
      </w:r>
      <w:r w:rsidRPr="003A3990">
        <w:t>based on the following definition</w:t>
      </w:r>
      <w:r w:rsidR="0075222D" w:rsidRPr="003A3990">
        <w:t>:</w:t>
      </w:r>
      <w:r w:rsidR="0075222D">
        <w:rPr>
          <w:b/>
          <w:bCs/>
        </w:rPr>
        <w:t xml:space="preserve"> </w:t>
      </w:r>
      <w:r w:rsidR="0058703C">
        <w:rPr>
          <w:b/>
          <w:bCs/>
        </w:rPr>
        <w:t>“</w:t>
      </w:r>
      <w:r w:rsidR="0058703C" w:rsidRPr="0058703C">
        <w:rPr>
          <w:i/>
          <w:iCs/>
        </w:rPr>
        <w:t>Minimum income schemes are income support schemes which provide a safety net for those who cannot work or access a decent job and are not eligible for social insurance payments or those whose entitlements to these have expired. They are last resort schemes which are intended to ensure a minimum standard of living for individuals and their dependents when they have no other means of financial support</w:t>
      </w:r>
      <w:r w:rsidR="0058703C">
        <w:rPr>
          <w:b/>
          <w:bCs/>
        </w:rPr>
        <w:t>”</w:t>
      </w:r>
      <w:r w:rsidR="009C11DF">
        <w:rPr>
          <w:b/>
          <w:bCs/>
        </w:rPr>
        <w:t>.</w:t>
      </w:r>
    </w:p>
    <w:p w14:paraId="3AFDBCBD" w14:textId="48A4DB22" w:rsidR="000E383C" w:rsidRPr="0075222D" w:rsidRDefault="000E383C" w:rsidP="00AC55CC">
      <w:pPr>
        <w:jc w:val="both"/>
        <w:rPr>
          <w:rFonts w:ascii="Calibri" w:eastAsiaTheme="minorEastAsia" w:hAnsi="Calibri" w:cs="Calibri"/>
          <w:kern w:val="24"/>
          <w:lang w:val="en-US" w:eastAsia="en-GB"/>
        </w:rPr>
      </w:pPr>
      <w:r w:rsidRPr="000E383C">
        <w:t>As such</w:t>
      </w:r>
      <w:r w:rsidR="0075222D">
        <w:t xml:space="preserve">, adequate </w:t>
      </w:r>
      <w:r w:rsidR="0075222D" w:rsidRPr="00C71DA7">
        <w:rPr>
          <w:b/>
          <w:bCs/>
        </w:rPr>
        <w:t xml:space="preserve">minimum income schemes are a </w:t>
      </w:r>
      <w:r w:rsidRPr="00C71DA7">
        <w:rPr>
          <w:b/>
          <w:bCs/>
        </w:rPr>
        <w:t>priority</w:t>
      </w:r>
      <w:r w:rsidR="0075222D" w:rsidRPr="00C71DA7">
        <w:rPr>
          <w:b/>
          <w:bCs/>
        </w:rPr>
        <w:t xml:space="preserve"> instrument </w:t>
      </w:r>
      <w:r w:rsidRPr="00C71DA7">
        <w:rPr>
          <w:b/>
          <w:bCs/>
        </w:rPr>
        <w:t>to prevent and tackle poverty</w:t>
      </w:r>
      <w:r w:rsidRPr="000E383C">
        <w:t xml:space="preserve"> for all groups</w:t>
      </w:r>
      <w:r w:rsidR="0075222D">
        <w:t xml:space="preserve">. They are a key </w:t>
      </w:r>
      <w:r w:rsidRPr="0075222D">
        <w:rPr>
          <w:rFonts w:ascii="Calibri" w:eastAsiaTheme="minorEastAsia" w:hAnsi="Calibri" w:cs="Calibri"/>
          <w:kern w:val="24"/>
          <w:lang w:val="en-US" w:eastAsia="en-GB"/>
        </w:rPr>
        <w:t xml:space="preserve">social right </w:t>
      </w:r>
      <w:r w:rsidR="0075222D">
        <w:rPr>
          <w:rFonts w:ascii="Calibri" w:eastAsiaTheme="minorEastAsia" w:hAnsi="Calibri" w:cs="Calibri"/>
          <w:kern w:val="24"/>
          <w:lang w:val="en-US" w:eastAsia="en-GB"/>
        </w:rPr>
        <w:t xml:space="preserve">and </w:t>
      </w:r>
      <w:r w:rsidRPr="0075222D">
        <w:rPr>
          <w:rFonts w:ascii="Calibri" w:eastAsiaTheme="minorEastAsia" w:hAnsi="Calibri" w:cs="Calibri"/>
          <w:kern w:val="24"/>
          <w:lang w:val="en-US" w:eastAsia="en-GB"/>
        </w:rPr>
        <w:t xml:space="preserve">are good for people </w:t>
      </w:r>
      <w:r w:rsidR="0075222D">
        <w:rPr>
          <w:rFonts w:ascii="Calibri" w:eastAsiaTheme="minorEastAsia" w:hAnsi="Calibri" w:cs="Calibri"/>
          <w:kern w:val="24"/>
          <w:lang w:val="en-US" w:eastAsia="en-GB"/>
        </w:rPr>
        <w:t>who</w:t>
      </w:r>
      <w:r w:rsidRPr="0075222D">
        <w:rPr>
          <w:rFonts w:ascii="Calibri" w:eastAsiaTheme="minorEastAsia" w:hAnsi="Calibri" w:cs="Calibri"/>
          <w:kern w:val="24"/>
          <w:lang w:val="en-US" w:eastAsia="en-GB"/>
        </w:rPr>
        <w:t xml:space="preserve"> need them and for the whole society. They allow people to live in dignity and ensure they can remain active in society, helping them reconnect to the world of work.</w:t>
      </w:r>
      <w:r w:rsidR="0075222D" w:rsidRPr="0075222D">
        <w:rPr>
          <w:rFonts w:ascii="Calibri" w:eastAsiaTheme="minorEastAsia" w:hAnsi="Calibri" w:cs="Calibri"/>
          <w:kern w:val="24"/>
          <w:lang w:val="en-US" w:eastAsia="en-GB"/>
        </w:rPr>
        <w:t xml:space="preserve"> They also</w:t>
      </w:r>
      <w:r w:rsidRPr="0075222D">
        <w:rPr>
          <w:rFonts w:ascii="Calibri" w:eastAsiaTheme="minorEastAsia" w:hAnsi="Calibri" w:cs="Calibri"/>
          <w:kern w:val="24"/>
          <w:lang w:eastAsia="en-GB"/>
        </w:rPr>
        <w:t xml:space="preserve"> set minimum floor for income level and help to ensure decent wages</w:t>
      </w:r>
      <w:r w:rsidR="0075222D" w:rsidRPr="0075222D">
        <w:rPr>
          <w:rFonts w:ascii="Calibri" w:eastAsiaTheme="minorEastAsia" w:hAnsi="Calibri" w:cs="Calibri"/>
          <w:kern w:val="24"/>
          <w:lang w:eastAsia="en-GB"/>
        </w:rPr>
        <w:t xml:space="preserve">. </w:t>
      </w:r>
      <w:r w:rsidRPr="0075222D">
        <w:rPr>
          <w:rFonts w:ascii="Calibri" w:eastAsiaTheme="minorEastAsia" w:hAnsi="Calibri" w:cs="Calibri"/>
          <w:kern w:val="24"/>
          <w:lang w:val="en-US" w:eastAsia="en-GB"/>
        </w:rPr>
        <w:t xml:space="preserve">Adequate Minimum Income is indispensable for more equal societies and to ensure social cohesion, which is beneficial for the whole of society. </w:t>
      </w:r>
      <w:r w:rsidR="0075222D" w:rsidRPr="0075222D">
        <w:rPr>
          <w:rFonts w:ascii="Calibri" w:eastAsiaTheme="minorEastAsia" w:hAnsi="Calibri" w:cs="Calibri"/>
          <w:kern w:val="24"/>
          <w:lang w:val="en-US" w:eastAsia="en-GB"/>
        </w:rPr>
        <w:t xml:space="preserve">They are also good for the economy: providing a high return </w:t>
      </w:r>
      <w:r w:rsidRPr="0075222D">
        <w:rPr>
          <w:rFonts w:ascii="Calibri" w:eastAsiaTheme="minorEastAsia" w:hAnsi="Calibri" w:cs="Calibri"/>
          <w:kern w:val="24"/>
          <w:lang w:val="en-US" w:eastAsia="en-GB"/>
        </w:rPr>
        <w:t>on investment and work as automatic stabili</w:t>
      </w:r>
      <w:r w:rsidR="00E47DEA">
        <w:rPr>
          <w:rFonts w:ascii="Calibri" w:eastAsiaTheme="minorEastAsia" w:hAnsi="Calibri" w:cs="Calibri"/>
          <w:kern w:val="24"/>
          <w:lang w:val="en-US" w:eastAsia="en-GB"/>
        </w:rPr>
        <w:t>z</w:t>
      </w:r>
      <w:r w:rsidRPr="0075222D">
        <w:rPr>
          <w:rFonts w:ascii="Calibri" w:eastAsiaTheme="minorEastAsia" w:hAnsi="Calibri" w:cs="Calibri"/>
          <w:kern w:val="24"/>
          <w:lang w:val="en-US" w:eastAsia="en-GB"/>
        </w:rPr>
        <w:t>ers</w:t>
      </w:r>
      <w:r w:rsidR="0075222D" w:rsidRPr="0075222D">
        <w:rPr>
          <w:rFonts w:ascii="Calibri" w:eastAsiaTheme="minorEastAsia" w:hAnsi="Calibri" w:cs="Calibri"/>
          <w:kern w:val="24"/>
          <w:lang w:val="en-US" w:eastAsia="en-GB"/>
        </w:rPr>
        <w:t>.</w:t>
      </w:r>
    </w:p>
    <w:p w14:paraId="02BFB0F3" w14:textId="00418830" w:rsidR="0075222D" w:rsidRDefault="0075222D" w:rsidP="00AC55CC">
      <w:pPr>
        <w:jc w:val="both"/>
        <w:rPr>
          <w:rFonts w:ascii="Calibri" w:eastAsiaTheme="minorEastAsia" w:hAnsi="Calibri" w:cs="Calibri"/>
          <w:kern w:val="24"/>
          <w:lang w:eastAsia="en-GB"/>
        </w:rPr>
      </w:pPr>
      <w:r>
        <w:rPr>
          <w:rFonts w:ascii="Calibri" w:eastAsiaTheme="minorEastAsia" w:hAnsi="Calibri" w:cs="Calibri"/>
          <w:kern w:val="24"/>
          <w:lang w:val="en-US" w:eastAsia="en-GB"/>
        </w:rPr>
        <w:t>To be effective, they need to be</w:t>
      </w:r>
      <w:r w:rsidR="009C11DF">
        <w:rPr>
          <w:rFonts w:ascii="Calibri" w:eastAsiaTheme="minorEastAsia" w:hAnsi="Calibri" w:cs="Calibri"/>
          <w:kern w:val="24"/>
          <w:lang w:val="en-US" w:eastAsia="en-GB"/>
        </w:rPr>
        <w:t xml:space="preserve"> designed </w:t>
      </w:r>
      <w:proofErr w:type="gramStart"/>
      <w:r w:rsidR="009C11DF">
        <w:rPr>
          <w:rFonts w:ascii="Calibri" w:eastAsiaTheme="minorEastAsia" w:hAnsi="Calibri" w:cs="Calibri"/>
          <w:kern w:val="24"/>
          <w:lang w:val="en-US" w:eastAsia="en-GB"/>
        </w:rPr>
        <w:t>on the basis of</w:t>
      </w:r>
      <w:proofErr w:type="gramEnd"/>
      <w:r w:rsidR="009C11DF">
        <w:rPr>
          <w:rFonts w:ascii="Calibri" w:eastAsiaTheme="minorEastAsia" w:hAnsi="Calibri" w:cs="Calibri"/>
          <w:kern w:val="24"/>
          <w:lang w:val="en-US" w:eastAsia="en-GB"/>
        </w:rPr>
        <w:t xml:space="preserve"> </w:t>
      </w:r>
      <w:r w:rsidR="009C11DF" w:rsidRPr="00C71DA7">
        <w:rPr>
          <w:rFonts w:ascii="Calibri" w:eastAsiaTheme="minorEastAsia" w:hAnsi="Calibri" w:cs="Calibri"/>
          <w:b/>
          <w:bCs/>
          <w:kern w:val="24"/>
          <w:lang w:val="en-US" w:eastAsia="en-GB"/>
        </w:rPr>
        <w:t>three key criteria</w:t>
      </w:r>
      <w:r>
        <w:rPr>
          <w:rFonts w:ascii="Calibri" w:eastAsiaTheme="minorEastAsia" w:hAnsi="Calibri" w:cs="Calibri"/>
          <w:kern w:val="24"/>
          <w:lang w:val="en-US" w:eastAsia="en-GB"/>
        </w:rPr>
        <w:t>:</w:t>
      </w:r>
      <w:r w:rsidR="009C11DF">
        <w:rPr>
          <w:rFonts w:ascii="Calibri" w:eastAsiaTheme="minorEastAsia" w:hAnsi="Calibri" w:cs="Calibri"/>
          <w:kern w:val="24"/>
          <w:lang w:val="en-US" w:eastAsia="en-GB"/>
        </w:rPr>
        <w:t xml:space="preserve"> 1)</w:t>
      </w:r>
      <w:r>
        <w:rPr>
          <w:rFonts w:ascii="Calibri" w:eastAsiaTheme="minorEastAsia" w:hAnsi="Calibri" w:cs="Calibri"/>
          <w:kern w:val="24"/>
          <w:lang w:val="en-US" w:eastAsia="en-GB"/>
        </w:rPr>
        <w:t xml:space="preserve"> </w:t>
      </w:r>
      <w:r w:rsidR="00261626">
        <w:rPr>
          <w:rFonts w:ascii="Calibri" w:eastAsiaTheme="minorEastAsia" w:hAnsi="Calibri" w:cs="Calibri"/>
          <w:b/>
          <w:bCs/>
          <w:kern w:val="24"/>
          <w:lang w:val="en-US" w:eastAsia="en-GB"/>
        </w:rPr>
        <w:t>A</w:t>
      </w:r>
      <w:proofErr w:type="spellStart"/>
      <w:r w:rsidRPr="0075222D">
        <w:rPr>
          <w:rFonts w:ascii="Calibri" w:eastAsiaTheme="minorEastAsia" w:hAnsi="Calibri" w:cs="Calibri"/>
          <w:b/>
          <w:bCs/>
          <w:kern w:val="24"/>
          <w:lang w:eastAsia="en-GB"/>
        </w:rPr>
        <w:t>dequate</w:t>
      </w:r>
      <w:proofErr w:type="spellEnd"/>
      <w:r w:rsidRPr="0075222D">
        <w:rPr>
          <w:rFonts w:ascii="Calibri" w:eastAsiaTheme="minorEastAsia" w:hAnsi="Calibri" w:cs="Calibri"/>
          <w:b/>
          <w:bCs/>
          <w:kern w:val="24"/>
          <w:lang w:eastAsia="en-GB"/>
        </w:rPr>
        <w:t xml:space="preserve">: </w:t>
      </w:r>
      <w:r w:rsidRPr="0075222D">
        <w:rPr>
          <w:rFonts w:ascii="Calibri" w:eastAsiaTheme="minorEastAsia" w:hAnsi="Calibri" w:cs="Calibri"/>
          <w:kern w:val="24"/>
          <w:lang w:eastAsia="en-GB"/>
        </w:rPr>
        <w:t>a level of income that is indispensable to live a life in dignity and to fully participate in society.</w:t>
      </w:r>
      <w:r w:rsidR="009C11DF">
        <w:rPr>
          <w:rFonts w:ascii="Calibri" w:eastAsiaTheme="minorEastAsia" w:hAnsi="Calibri" w:cs="Calibri"/>
          <w:kern w:val="24"/>
          <w:lang w:eastAsia="en-GB"/>
        </w:rPr>
        <w:t xml:space="preserve"> 2)</w:t>
      </w:r>
      <w:r w:rsidRPr="0075222D">
        <w:rPr>
          <w:rFonts w:ascii="Calibri" w:eastAsiaTheme="minorEastAsia" w:hAnsi="Calibri" w:cs="Calibri"/>
          <w:kern w:val="24"/>
          <w:lang w:eastAsia="en-GB"/>
        </w:rPr>
        <w:t xml:space="preserve"> </w:t>
      </w:r>
      <w:r w:rsidRPr="0075222D">
        <w:rPr>
          <w:rFonts w:ascii="Calibri" w:eastAsiaTheme="minorEastAsia" w:hAnsi="Calibri" w:cs="Calibri"/>
          <w:b/>
          <w:bCs/>
          <w:kern w:val="24"/>
          <w:lang w:eastAsia="en-GB"/>
        </w:rPr>
        <w:t xml:space="preserve">Accessible: </w:t>
      </w:r>
      <w:r w:rsidRPr="0075222D">
        <w:rPr>
          <w:rFonts w:ascii="Calibri" w:eastAsiaTheme="minorEastAsia" w:hAnsi="Calibri" w:cs="Calibri"/>
          <w:kern w:val="24"/>
          <w:lang w:eastAsia="en-GB"/>
        </w:rPr>
        <w:t>providing comprehensive coverage for all people who need the schemes for as long as they need the support</w:t>
      </w:r>
      <w:r>
        <w:rPr>
          <w:rFonts w:ascii="Calibri" w:eastAsiaTheme="minorEastAsia" w:hAnsi="Calibri" w:cs="Calibri"/>
          <w:kern w:val="24"/>
          <w:lang w:eastAsia="en-GB"/>
        </w:rPr>
        <w:t>.</w:t>
      </w:r>
      <w:r w:rsidR="009C11DF">
        <w:rPr>
          <w:rFonts w:ascii="Calibri" w:eastAsiaTheme="minorEastAsia" w:hAnsi="Calibri" w:cs="Calibri"/>
          <w:kern w:val="24"/>
          <w:lang w:eastAsia="en-GB"/>
        </w:rPr>
        <w:t xml:space="preserve"> 3)</w:t>
      </w:r>
      <w:r>
        <w:rPr>
          <w:rFonts w:ascii="Calibri" w:eastAsiaTheme="minorEastAsia" w:hAnsi="Calibri" w:cs="Calibri"/>
          <w:kern w:val="24"/>
          <w:lang w:eastAsia="en-GB"/>
        </w:rPr>
        <w:t xml:space="preserve"> </w:t>
      </w:r>
      <w:r w:rsidRPr="0075222D">
        <w:rPr>
          <w:rFonts w:ascii="Calibri" w:eastAsiaTheme="minorEastAsia" w:hAnsi="Calibri" w:cs="Calibri"/>
          <w:b/>
          <w:bCs/>
          <w:kern w:val="24"/>
          <w:lang w:eastAsia="en-GB"/>
        </w:rPr>
        <w:t xml:space="preserve">Enabling: </w:t>
      </w:r>
      <w:r w:rsidRPr="0075222D">
        <w:rPr>
          <w:rFonts w:ascii="Calibri" w:eastAsiaTheme="minorEastAsia" w:hAnsi="Calibri" w:cs="Calibri"/>
          <w:kern w:val="24"/>
          <w:lang w:eastAsia="en-GB"/>
        </w:rPr>
        <w:t>schemes that promote people's empowerment and participation in society and facilitate their access to quality services and inclusive labour markets.</w:t>
      </w:r>
    </w:p>
    <w:p w14:paraId="1ABF87B0" w14:textId="5B9F14CA" w:rsidR="0075222D" w:rsidRDefault="0075222D" w:rsidP="00AC55CC">
      <w:pPr>
        <w:jc w:val="both"/>
        <w:rPr>
          <w:rFonts w:ascii="Calibri" w:eastAsiaTheme="minorEastAsia" w:hAnsi="Calibri" w:cs="Calibri"/>
          <w:kern w:val="24"/>
          <w:lang w:eastAsia="en-GB"/>
        </w:rPr>
      </w:pPr>
      <w:r>
        <w:rPr>
          <w:rFonts w:ascii="Calibri" w:eastAsiaTheme="minorEastAsia" w:hAnsi="Calibri" w:cs="Calibri"/>
          <w:kern w:val="24"/>
          <w:lang w:eastAsia="en-GB"/>
        </w:rPr>
        <w:t xml:space="preserve">However, according to the Commission’s own </w:t>
      </w:r>
      <w:r w:rsidR="00261626">
        <w:rPr>
          <w:rFonts w:ascii="Calibri" w:eastAsiaTheme="minorEastAsia" w:hAnsi="Calibri" w:cs="Calibri"/>
          <w:kern w:val="24"/>
          <w:lang w:eastAsia="en-GB"/>
        </w:rPr>
        <w:t>yearly assessments</w:t>
      </w:r>
      <w:r w:rsidR="00261626">
        <w:rPr>
          <w:rStyle w:val="FootnoteReference"/>
          <w:rFonts w:ascii="Calibri" w:eastAsiaTheme="minorEastAsia" w:hAnsi="Calibri" w:cs="Calibri"/>
          <w:kern w:val="24"/>
          <w:lang w:eastAsia="en-GB"/>
        </w:rPr>
        <w:footnoteReference w:id="22"/>
      </w:r>
      <w:r>
        <w:rPr>
          <w:rFonts w:ascii="Calibri" w:eastAsiaTheme="minorEastAsia" w:hAnsi="Calibri" w:cs="Calibri"/>
          <w:kern w:val="24"/>
          <w:lang w:eastAsia="en-GB"/>
        </w:rPr>
        <w:t xml:space="preserve">, although all MS now have MIS of some type, they </w:t>
      </w:r>
      <w:r w:rsidR="00261626">
        <w:rPr>
          <w:rFonts w:ascii="Calibri" w:eastAsiaTheme="minorEastAsia" w:hAnsi="Calibri" w:cs="Calibri"/>
          <w:kern w:val="24"/>
          <w:lang w:eastAsia="en-GB"/>
        </w:rPr>
        <w:t xml:space="preserve">still </w:t>
      </w:r>
      <w:r>
        <w:rPr>
          <w:rFonts w:ascii="Calibri" w:eastAsiaTheme="minorEastAsia" w:hAnsi="Calibri" w:cs="Calibri"/>
          <w:kern w:val="24"/>
          <w:lang w:eastAsia="en-GB"/>
        </w:rPr>
        <w:t xml:space="preserve">fall </w:t>
      </w:r>
      <w:r w:rsidRPr="00C71DA7">
        <w:rPr>
          <w:rFonts w:ascii="Calibri" w:eastAsiaTheme="minorEastAsia" w:hAnsi="Calibri" w:cs="Calibri"/>
          <w:b/>
          <w:bCs/>
          <w:kern w:val="24"/>
          <w:lang w:eastAsia="en-GB"/>
        </w:rPr>
        <w:t xml:space="preserve">far short </w:t>
      </w:r>
      <w:r w:rsidR="00C5019D" w:rsidRPr="00C71DA7">
        <w:rPr>
          <w:rFonts w:ascii="Calibri" w:eastAsiaTheme="minorEastAsia" w:hAnsi="Calibri" w:cs="Calibri"/>
          <w:b/>
          <w:bCs/>
          <w:kern w:val="24"/>
          <w:lang w:eastAsia="en-GB"/>
        </w:rPr>
        <w:t>in terms of</w:t>
      </w:r>
      <w:r w:rsidRPr="00C71DA7">
        <w:rPr>
          <w:rFonts w:ascii="Calibri" w:eastAsiaTheme="minorEastAsia" w:hAnsi="Calibri" w:cs="Calibri"/>
          <w:b/>
          <w:bCs/>
          <w:kern w:val="24"/>
          <w:lang w:eastAsia="en-GB"/>
        </w:rPr>
        <w:t xml:space="preserve"> adequacy, coverage and</w:t>
      </w:r>
      <w:r w:rsidR="00261626" w:rsidRPr="00C71DA7">
        <w:rPr>
          <w:rFonts w:ascii="Calibri" w:eastAsiaTheme="minorEastAsia" w:hAnsi="Calibri" w:cs="Calibri"/>
          <w:b/>
          <w:bCs/>
          <w:kern w:val="24"/>
          <w:lang w:eastAsia="en-GB"/>
        </w:rPr>
        <w:t xml:space="preserve"> providing</w:t>
      </w:r>
      <w:r w:rsidRPr="00C71DA7">
        <w:rPr>
          <w:rFonts w:ascii="Calibri" w:eastAsiaTheme="minorEastAsia" w:hAnsi="Calibri" w:cs="Calibri"/>
          <w:b/>
          <w:bCs/>
          <w:kern w:val="24"/>
          <w:lang w:eastAsia="en-GB"/>
        </w:rPr>
        <w:t xml:space="preserve"> positive, enabling support for beneficiaries</w:t>
      </w:r>
      <w:r>
        <w:rPr>
          <w:rFonts w:ascii="Calibri" w:eastAsiaTheme="minorEastAsia" w:hAnsi="Calibri" w:cs="Calibri"/>
          <w:kern w:val="24"/>
          <w:lang w:eastAsia="en-GB"/>
        </w:rPr>
        <w:t xml:space="preserve">. Only 2 countries have MI </w:t>
      </w:r>
      <w:r w:rsidR="0065618D">
        <w:rPr>
          <w:rFonts w:ascii="Calibri" w:eastAsiaTheme="minorEastAsia" w:hAnsi="Calibri" w:cs="Calibri"/>
          <w:kern w:val="24"/>
          <w:lang w:eastAsia="en-GB"/>
        </w:rPr>
        <w:t xml:space="preserve">levels </w:t>
      </w:r>
      <w:r w:rsidR="008E2A91">
        <w:rPr>
          <w:rFonts w:ascii="Calibri" w:eastAsiaTheme="minorEastAsia" w:hAnsi="Calibri" w:cs="Calibri"/>
          <w:kern w:val="24"/>
          <w:lang w:eastAsia="en-GB"/>
        </w:rPr>
        <w:t>near</w:t>
      </w:r>
      <w:r>
        <w:rPr>
          <w:rFonts w:ascii="Calibri" w:eastAsiaTheme="minorEastAsia" w:hAnsi="Calibri" w:cs="Calibri"/>
          <w:kern w:val="24"/>
          <w:lang w:eastAsia="en-GB"/>
        </w:rPr>
        <w:t xml:space="preserve"> the poverty threshold</w:t>
      </w:r>
      <w:r w:rsidR="00C5019D">
        <w:rPr>
          <w:rFonts w:ascii="Calibri" w:eastAsiaTheme="minorEastAsia" w:hAnsi="Calibri" w:cs="Calibri"/>
          <w:kern w:val="24"/>
          <w:lang w:eastAsia="en-GB"/>
        </w:rPr>
        <w:t xml:space="preserve">: </w:t>
      </w:r>
      <w:r w:rsidR="00D536B5">
        <w:rPr>
          <w:rFonts w:ascii="Calibri" w:eastAsiaTheme="minorEastAsia" w:hAnsi="Calibri" w:cs="Calibri"/>
          <w:kern w:val="24"/>
          <w:lang w:eastAsia="en-GB"/>
        </w:rPr>
        <w:t>NL and IE</w:t>
      </w:r>
      <w:r w:rsidR="00261626">
        <w:rPr>
          <w:rFonts w:ascii="Calibri" w:eastAsiaTheme="minorEastAsia" w:hAnsi="Calibri" w:cs="Calibri"/>
          <w:kern w:val="24"/>
          <w:lang w:eastAsia="en-GB"/>
        </w:rPr>
        <w:t xml:space="preserve"> </w:t>
      </w:r>
      <w:r w:rsidR="0065618D">
        <w:rPr>
          <w:rFonts w:ascii="Calibri" w:eastAsiaTheme="minorEastAsia" w:hAnsi="Calibri" w:cs="Calibri"/>
          <w:kern w:val="24"/>
          <w:lang w:eastAsia="en-GB"/>
        </w:rPr>
        <w:t xml:space="preserve">and this not for all groups. However, EAPN IE points out that the Reference </w:t>
      </w:r>
      <w:r w:rsidR="008E2A91">
        <w:rPr>
          <w:rFonts w:ascii="Calibri" w:eastAsiaTheme="minorEastAsia" w:hAnsi="Calibri" w:cs="Calibri"/>
          <w:kern w:val="24"/>
          <w:lang w:eastAsia="en-GB"/>
        </w:rPr>
        <w:t>B</w:t>
      </w:r>
      <w:r w:rsidR="0065618D">
        <w:rPr>
          <w:rFonts w:ascii="Calibri" w:eastAsiaTheme="minorEastAsia" w:hAnsi="Calibri" w:cs="Calibri"/>
          <w:kern w:val="24"/>
          <w:lang w:eastAsia="en-GB"/>
        </w:rPr>
        <w:t xml:space="preserve">udgets developed </w:t>
      </w:r>
      <w:r w:rsidR="008E2A91">
        <w:rPr>
          <w:rFonts w:ascii="Calibri" w:eastAsiaTheme="minorEastAsia" w:hAnsi="Calibri" w:cs="Calibri"/>
          <w:kern w:val="24"/>
          <w:lang w:eastAsia="en-GB"/>
        </w:rPr>
        <w:t xml:space="preserve">by </w:t>
      </w:r>
      <w:r w:rsidR="0065618D">
        <w:rPr>
          <w:rFonts w:ascii="Calibri" w:eastAsiaTheme="minorEastAsia" w:hAnsi="Calibri" w:cs="Calibri"/>
          <w:kern w:val="24"/>
          <w:lang w:eastAsia="en-GB"/>
        </w:rPr>
        <w:t xml:space="preserve">the </w:t>
      </w:r>
      <w:hyperlink r:id="rId31" w:history="1">
        <w:r w:rsidR="0065618D" w:rsidRPr="008E2A91">
          <w:rPr>
            <w:rStyle w:val="Hyperlink"/>
            <w:rFonts w:ascii="Calibri" w:eastAsiaTheme="minorEastAsia" w:hAnsi="Calibri" w:cs="Calibri"/>
            <w:kern w:val="24"/>
            <w:lang w:eastAsia="en-GB"/>
          </w:rPr>
          <w:t>Vincentian Partnership for Social Justice</w:t>
        </w:r>
      </w:hyperlink>
      <w:r w:rsidR="008E2A91">
        <w:rPr>
          <w:rStyle w:val="FootnoteReference"/>
          <w:rFonts w:ascii="Calibri" w:eastAsiaTheme="minorEastAsia" w:hAnsi="Calibri" w:cs="Calibri"/>
          <w:kern w:val="24"/>
          <w:lang w:eastAsia="en-GB"/>
        </w:rPr>
        <w:footnoteReference w:id="23"/>
      </w:r>
      <w:r w:rsidR="0065618D">
        <w:rPr>
          <w:rFonts w:ascii="Calibri" w:eastAsiaTheme="minorEastAsia" w:hAnsi="Calibri" w:cs="Calibri"/>
          <w:kern w:val="24"/>
          <w:lang w:eastAsia="en-GB"/>
        </w:rPr>
        <w:t xml:space="preserve"> </w:t>
      </w:r>
      <w:r w:rsidR="00E47DEA">
        <w:rPr>
          <w:rFonts w:ascii="Calibri" w:eastAsiaTheme="minorEastAsia" w:hAnsi="Calibri" w:cs="Calibri"/>
          <w:kern w:val="24"/>
          <w:lang w:eastAsia="en-GB"/>
        </w:rPr>
        <w:t>show</w:t>
      </w:r>
      <w:r w:rsidR="0065618D">
        <w:rPr>
          <w:rFonts w:ascii="Calibri" w:eastAsiaTheme="minorEastAsia" w:hAnsi="Calibri" w:cs="Calibri"/>
          <w:kern w:val="24"/>
          <w:lang w:eastAsia="en-GB"/>
        </w:rPr>
        <w:t xml:space="preserve"> that the MI levels fall far short of adequacy for real household needs</w:t>
      </w:r>
      <w:r w:rsidR="00E47DEA">
        <w:rPr>
          <w:rFonts w:ascii="Calibri" w:eastAsiaTheme="minorEastAsia" w:hAnsi="Calibri" w:cs="Calibri"/>
          <w:kern w:val="24"/>
          <w:lang w:eastAsia="en-GB"/>
        </w:rPr>
        <w:t>,</w:t>
      </w:r>
      <w:r w:rsidR="008E2A91">
        <w:rPr>
          <w:rFonts w:ascii="Calibri" w:eastAsiaTheme="minorEastAsia" w:hAnsi="Calibri" w:cs="Calibri"/>
          <w:kern w:val="24"/>
          <w:lang w:eastAsia="en-GB"/>
        </w:rPr>
        <w:t xml:space="preserve"> based on a</w:t>
      </w:r>
      <w:r w:rsidR="00E47DEA">
        <w:rPr>
          <w:rFonts w:ascii="Calibri" w:eastAsiaTheme="minorEastAsia" w:hAnsi="Calibri" w:cs="Calibri"/>
          <w:kern w:val="24"/>
          <w:lang w:eastAsia="en-GB"/>
        </w:rPr>
        <w:t xml:space="preserve"> real</w:t>
      </w:r>
      <w:r w:rsidR="008E2A91">
        <w:rPr>
          <w:rFonts w:ascii="Calibri" w:eastAsiaTheme="minorEastAsia" w:hAnsi="Calibri" w:cs="Calibri"/>
          <w:kern w:val="24"/>
          <w:lang w:eastAsia="en-GB"/>
        </w:rPr>
        <w:t xml:space="preserve"> basket of goods and services</w:t>
      </w:r>
      <w:r w:rsidR="0065618D">
        <w:rPr>
          <w:rFonts w:ascii="Calibri" w:eastAsiaTheme="minorEastAsia" w:hAnsi="Calibri" w:cs="Calibri"/>
          <w:kern w:val="24"/>
          <w:lang w:eastAsia="en-GB"/>
        </w:rPr>
        <w:t xml:space="preserve">. </w:t>
      </w:r>
      <w:r w:rsidR="00261626">
        <w:rPr>
          <w:rFonts w:ascii="Calibri" w:eastAsiaTheme="minorEastAsia" w:hAnsi="Calibri" w:cs="Calibri"/>
          <w:kern w:val="24"/>
          <w:lang w:eastAsia="en-GB"/>
        </w:rPr>
        <w:t>In BG, RO, LT, HU, EL, PT and SK, the MI is below 40% for a single person</w:t>
      </w:r>
      <w:r w:rsidR="00261626">
        <w:rPr>
          <w:rStyle w:val="FootnoteReference"/>
          <w:rFonts w:ascii="Calibri" w:eastAsiaTheme="minorEastAsia" w:hAnsi="Calibri" w:cs="Calibri"/>
          <w:kern w:val="24"/>
          <w:lang w:eastAsia="en-GB"/>
        </w:rPr>
        <w:footnoteReference w:id="24"/>
      </w:r>
      <w:r w:rsidR="00261626">
        <w:rPr>
          <w:rFonts w:ascii="Calibri" w:eastAsiaTheme="minorEastAsia" w:hAnsi="Calibri" w:cs="Calibri"/>
          <w:kern w:val="24"/>
          <w:lang w:eastAsia="en-GB"/>
        </w:rPr>
        <w:t xml:space="preserve">. </w:t>
      </w:r>
      <w:r>
        <w:rPr>
          <w:rFonts w:ascii="Calibri" w:eastAsiaTheme="minorEastAsia" w:hAnsi="Calibri" w:cs="Calibri"/>
          <w:kern w:val="24"/>
          <w:lang w:eastAsia="en-GB"/>
        </w:rPr>
        <w:t xml:space="preserve">Narrowing of eligibility criteria, and </w:t>
      </w:r>
      <w:r w:rsidR="00261626">
        <w:rPr>
          <w:rFonts w:ascii="Calibri" w:eastAsiaTheme="minorEastAsia" w:hAnsi="Calibri" w:cs="Calibri"/>
          <w:kern w:val="24"/>
          <w:lang w:eastAsia="en-GB"/>
        </w:rPr>
        <w:t>major problems of low take up (between 20-70%</w:t>
      </w:r>
      <w:r w:rsidR="00261626">
        <w:rPr>
          <w:rStyle w:val="FootnoteReference"/>
          <w:rFonts w:ascii="Calibri" w:eastAsiaTheme="minorEastAsia" w:hAnsi="Calibri" w:cs="Calibri"/>
          <w:kern w:val="24"/>
          <w:lang w:eastAsia="en-GB"/>
        </w:rPr>
        <w:footnoteReference w:id="25"/>
      </w:r>
      <w:r w:rsidR="00261626">
        <w:rPr>
          <w:rFonts w:ascii="Calibri" w:eastAsiaTheme="minorEastAsia" w:hAnsi="Calibri" w:cs="Calibri"/>
          <w:kern w:val="24"/>
          <w:lang w:eastAsia="en-GB"/>
        </w:rPr>
        <w:t>) is undermining rights. The requirement in the EPSR, that ‘minimum income benefits’ should be combined with incentives to (re)integrate into the labour market’ has too often been interpreted as punitive conditionality, with threats of sanctions</w:t>
      </w:r>
      <w:r w:rsidR="00DC73DE">
        <w:rPr>
          <w:rFonts w:ascii="Calibri" w:eastAsiaTheme="minorEastAsia" w:hAnsi="Calibri" w:cs="Calibri"/>
          <w:kern w:val="24"/>
          <w:lang w:eastAsia="en-GB"/>
        </w:rPr>
        <w:t xml:space="preserve"> and even withdrawal of benefits,</w:t>
      </w:r>
      <w:r w:rsidR="003A3990">
        <w:rPr>
          <w:rFonts w:ascii="Calibri" w:eastAsiaTheme="minorEastAsia" w:hAnsi="Calibri" w:cs="Calibri"/>
          <w:kern w:val="24"/>
          <w:lang w:eastAsia="en-GB"/>
        </w:rPr>
        <w:t xml:space="preserve"> attacking rights,</w:t>
      </w:r>
      <w:r w:rsidR="00DC73DE">
        <w:rPr>
          <w:rFonts w:ascii="Calibri" w:eastAsiaTheme="minorEastAsia" w:hAnsi="Calibri" w:cs="Calibri"/>
          <w:kern w:val="24"/>
          <w:lang w:eastAsia="en-GB"/>
        </w:rPr>
        <w:t xml:space="preserve"> increasing hardship and undermining the link</w:t>
      </w:r>
      <w:r w:rsidR="003A3990">
        <w:rPr>
          <w:rFonts w:ascii="Calibri" w:eastAsiaTheme="minorEastAsia" w:hAnsi="Calibri" w:cs="Calibri"/>
          <w:kern w:val="24"/>
          <w:lang w:eastAsia="en-GB"/>
        </w:rPr>
        <w:t xml:space="preserve"> with the labour market.</w:t>
      </w:r>
      <w:r w:rsidR="00DC73DE">
        <w:rPr>
          <w:rFonts w:ascii="Calibri" w:eastAsiaTheme="minorEastAsia" w:hAnsi="Calibri" w:cs="Calibri"/>
          <w:kern w:val="24"/>
          <w:lang w:eastAsia="en-GB"/>
        </w:rPr>
        <w:t xml:space="preserve"> </w:t>
      </w:r>
    </w:p>
    <w:p w14:paraId="4535C833" w14:textId="77777777" w:rsidR="00CD7DBE" w:rsidRDefault="00CD7DBE" w:rsidP="00CD7DBE">
      <w:pPr>
        <w:pBdr>
          <w:top w:val="single" w:sz="4" w:space="1" w:color="auto"/>
          <w:left w:val="single" w:sz="4" w:space="4" w:color="auto"/>
          <w:bottom w:val="single" w:sz="4" w:space="1" w:color="auto"/>
          <w:right w:val="single" w:sz="4" w:space="4" w:color="auto"/>
        </w:pBdr>
        <w:spacing w:after="0"/>
        <w:jc w:val="both"/>
        <w:rPr>
          <w:rFonts w:cstheme="minorHAnsi"/>
        </w:rPr>
      </w:pPr>
      <w:r w:rsidRPr="00B265BA">
        <w:rPr>
          <w:rFonts w:cstheme="minorHAnsi"/>
          <w:b/>
          <w:bCs/>
        </w:rPr>
        <w:lastRenderedPageBreak/>
        <w:t xml:space="preserve">EAPN’s key demand </w:t>
      </w:r>
      <w:r>
        <w:rPr>
          <w:rFonts w:cstheme="minorHAnsi"/>
          <w:b/>
          <w:bCs/>
        </w:rPr>
        <w:t>is</w:t>
      </w:r>
      <w:r w:rsidRPr="00B265BA">
        <w:rPr>
          <w:rFonts w:cstheme="minorHAnsi"/>
          <w:b/>
          <w:bCs/>
        </w:rPr>
        <w:t xml:space="preserve"> </w:t>
      </w:r>
      <w:r>
        <w:rPr>
          <w:rFonts w:cstheme="minorHAnsi"/>
          <w:b/>
          <w:bCs/>
        </w:rPr>
        <w:t xml:space="preserve">for the EU to adopt </w:t>
      </w:r>
      <w:r w:rsidRPr="00B265BA">
        <w:rPr>
          <w:rFonts w:cstheme="minorHAnsi"/>
          <w:b/>
          <w:bCs/>
        </w:rPr>
        <w:t>a Framework Directive on Adequate Minimum Income</w:t>
      </w:r>
      <w:r>
        <w:rPr>
          <w:rFonts w:cstheme="minorHAnsi"/>
        </w:rPr>
        <w:t xml:space="preserve">. Such an instrument is essential </w:t>
      </w:r>
      <w:r w:rsidRPr="00B265BA">
        <w:rPr>
          <w:rFonts w:cstheme="minorHAnsi"/>
        </w:rPr>
        <w:t xml:space="preserve">to translate </w:t>
      </w:r>
      <w:r w:rsidRPr="00B265BA">
        <w:rPr>
          <w:rFonts w:eastAsia="Times New Roman" w:cstheme="minorHAnsi"/>
          <w:color w:val="000000"/>
        </w:rPr>
        <w:t>the right to an adequate minimum income for all</w:t>
      </w:r>
      <w:r>
        <w:rPr>
          <w:rFonts w:eastAsia="Times New Roman" w:cstheme="minorHAnsi"/>
          <w:color w:val="000000"/>
        </w:rPr>
        <w:t>,</w:t>
      </w:r>
      <w:r w:rsidRPr="00B265BA">
        <w:rPr>
          <w:rFonts w:eastAsia="Times New Roman" w:cstheme="minorHAnsi"/>
          <w:color w:val="000000"/>
        </w:rPr>
        <w:t xml:space="preserve"> over the life-course</w:t>
      </w:r>
      <w:r>
        <w:rPr>
          <w:rFonts w:eastAsia="Times New Roman" w:cstheme="minorHAnsi"/>
          <w:color w:val="000000"/>
        </w:rPr>
        <w:t>,</w:t>
      </w:r>
      <w:r w:rsidRPr="00B265BA">
        <w:rPr>
          <w:rFonts w:eastAsia="Times New Roman" w:cstheme="minorHAnsi"/>
          <w:color w:val="000000"/>
        </w:rPr>
        <w:t xml:space="preserve"> into a legally binding commitment</w:t>
      </w:r>
      <w:r>
        <w:rPr>
          <w:rFonts w:eastAsia="Times New Roman" w:cstheme="minorHAnsi"/>
          <w:color w:val="000000"/>
        </w:rPr>
        <w:t xml:space="preserve"> for all EU MS.</w:t>
      </w:r>
    </w:p>
    <w:p w14:paraId="3B4E33C7" w14:textId="77777777" w:rsidR="00CD7DBE" w:rsidRPr="00B265BA" w:rsidRDefault="00CD7DBE" w:rsidP="00CD7DBE">
      <w:pPr>
        <w:spacing w:after="0"/>
        <w:jc w:val="both"/>
        <w:rPr>
          <w:rFonts w:cstheme="minorHAnsi"/>
        </w:rPr>
      </w:pPr>
    </w:p>
    <w:p w14:paraId="42253EAC" w14:textId="77777777" w:rsidR="00CD7DBE" w:rsidRPr="00B265BA" w:rsidRDefault="00CD7DBE" w:rsidP="00CD7DBE">
      <w:pPr>
        <w:spacing w:after="0"/>
        <w:jc w:val="both"/>
        <w:rPr>
          <w:rFonts w:eastAsia="Times New Roman" w:cstheme="minorHAnsi"/>
          <w:lang w:eastAsia="en-GB"/>
        </w:rPr>
      </w:pPr>
      <w:r w:rsidRPr="00B265BA">
        <w:rPr>
          <w:rFonts w:eastAsia="Times New Roman" w:cstheme="minorHAnsi"/>
          <w:lang w:eastAsia="en-GB"/>
        </w:rPr>
        <w:t xml:space="preserve">EAPN believes that an adequate </w:t>
      </w:r>
      <w:r w:rsidRPr="00B265BA">
        <w:rPr>
          <w:rFonts w:eastAsia="Times New Roman" w:cstheme="minorHAnsi"/>
          <w:b/>
          <w:bCs/>
          <w:lang w:eastAsia="en-GB"/>
        </w:rPr>
        <w:t xml:space="preserve">guaranteed minimum income is a </w:t>
      </w:r>
      <w:r>
        <w:rPr>
          <w:rFonts w:eastAsia="Times New Roman" w:cstheme="minorHAnsi"/>
          <w:b/>
          <w:bCs/>
          <w:lang w:eastAsia="en-GB"/>
        </w:rPr>
        <w:t xml:space="preserve">social and human </w:t>
      </w:r>
      <w:r w:rsidRPr="00B265BA">
        <w:rPr>
          <w:rFonts w:eastAsia="Times New Roman" w:cstheme="minorHAnsi"/>
          <w:b/>
          <w:bCs/>
          <w:lang w:eastAsia="en-GB"/>
        </w:rPr>
        <w:t>right for all people throughout their entire lives.</w:t>
      </w:r>
      <w:r w:rsidRPr="00B265BA">
        <w:rPr>
          <w:rFonts w:eastAsia="Times New Roman" w:cstheme="minorHAnsi"/>
          <w:lang w:eastAsia="en-GB"/>
        </w:rPr>
        <w:t xml:space="preserve"> This should be achieved by:</w:t>
      </w:r>
    </w:p>
    <w:p w14:paraId="29E21D1C" w14:textId="77777777" w:rsidR="00CD7DBE" w:rsidRPr="00B265BA" w:rsidRDefault="00CD7DBE" w:rsidP="00CD7DBE">
      <w:pPr>
        <w:pStyle w:val="ListParagraph"/>
        <w:numPr>
          <w:ilvl w:val="0"/>
          <w:numId w:val="27"/>
        </w:numPr>
        <w:spacing w:after="0"/>
        <w:jc w:val="both"/>
        <w:rPr>
          <w:rFonts w:eastAsia="Times New Roman" w:cstheme="minorHAnsi"/>
          <w:lang w:eastAsia="en-GB"/>
        </w:rPr>
      </w:pPr>
      <w:r w:rsidRPr="00B265BA">
        <w:rPr>
          <w:rFonts w:eastAsia="Times New Roman" w:cstheme="minorHAnsi"/>
          <w:lang w:eastAsia="en-GB"/>
        </w:rPr>
        <w:t xml:space="preserve">Ensuring that </w:t>
      </w:r>
      <w:r w:rsidRPr="00B265BA">
        <w:rPr>
          <w:rFonts w:eastAsia="Times New Roman" w:cstheme="minorHAnsi"/>
          <w:b/>
          <w:bCs/>
          <w:lang w:eastAsia="en-GB"/>
        </w:rPr>
        <w:t>minimum income schemes take people out of poverty and above the 60% median disposable household income poverty threshold (AROP), underpinned by national reference budgets</w:t>
      </w:r>
      <w:r>
        <w:rPr>
          <w:rFonts w:eastAsia="Times New Roman" w:cstheme="minorHAnsi"/>
          <w:lang w:eastAsia="en-GB"/>
        </w:rPr>
        <w:t xml:space="preserve">. These schemes </w:t>
      </w:r>
      <w:r w:rsidRPr="00B265BA">
        <w:rPr>
          <w:rFonts w:eastAsia="Times New Roman" w:cstheme="minorHAnsi"/>
          <w:lang w:eastAsia="en-GB"/>
        </w:rPr>
        <w:t xml:space="preserve">capture </w:t>
      </w:r>
      <w:r>
        <w:rPr>
          <w:rFonts w:eastAsia="Times New Roman" w:cstheme="minorHAnsi"/>
          <w:lang w:eastAsia="en-GB"/>
        </w:rPr>
        <w:t xml:space="preserve">the </w:t>
      </w:r>
      <w:r w:rsidRPr="00B265BA">
        <w:rPr>
          <w:rFonts w:eastAsia="Times New Roman" w:cstheme="minorHAnsi"/>
          <w:lang w:eastAsia="en-GB"/>
        </w:rPr>
        <w:t xml:space="preserve">real costs of essential goods and services and contextualise the </w:t>
      </w:r>
      <w:r>
        <w:rPr>
          <w:rFonts w:eastAsia="Times New Roman" w:cstheme="minorHAnsi"/>
          <w:lang w:eastAsia="en-GB"/>
        </w:rPr>
        <w:t xml:space="preserve">EU-level </w:t>
      </w:r>
      <w:r w:rsidRPr="00B265BA">
        <w:rPr>
          <w:rFonts w:eastAsia="Times New Roman" w:cstheme="minorHAnsi"/>
          <w:lang w:eastAsia="en-GB"/>
        </w:rPr>
        <w:t>AROP threshold by a reflecting the living standard which can be afforded in a country with an income corresponding to this threshold and the real price levels for the goods and service</w:t>
      </w:r>
      <w:r>
        <w:rPr>
          <w:rFonts w:eastAsia="Times New Roman" w:cstheme="minorHAnsi"/>
          <w:lang w:eastAsia="en-GB"/>
        </w:rPr>
        <w:t>s taken into account</w:t>
      </w:r>
      <w:r w:rsidRPr="00B265BA">
        <w:rPr>
          <w:rFonts w:eastAsia="Times New Roman" w:cstheme="minorHAnsi"/>
          <w:lang w:eastAsia="en-GB"/>
        </w:rPr>
        <w:t>.</w:t>
      </w:r>
    </w:p>
    <w:p w14:paraId="62837FBB" w14:textId="77777777" w:rsidR="00CD7DBE" w:rsidRPr="00B265BA" w:rsidRDefault="00CD7DBE" w:rsidP="00CD7DBE">
      <w:pPr>
        <w:pStyle w:val="ListParagraph"/>
        <w:numPr>
          <w:ilvl w:val="0"/>
          <w:numId w:val="27"/>
        </w:numPr>
        <w:spacing w:after="0"/>
        <w:jc w:val="both"/>
        <w:rPr>
          <w:rFonts w:eastAsia="Times New Roman" w:cstheme="minorHAnsi"/>
          <w:lang w:eastAsia="en-GB"/>
        </w:rPr>
      </w:pPr>
      <w:r w:rsidRPr="00B265BA">
        <w:rPr>
          <w:rFonts w:eastAsia="Times New Roman" w:cstheme="minorHAnsi"/>
          <w:b/>
          <w:bCs/>
          <w:lang w:eastAsia="en-GB"/>
        </w:rPr>
        <w:t>Providing comprehensive coverage</w:t>
      </w:r>
      <w:r w:rsidRPr="00B265BA">
        <w:rPr>
          <w:rFonts w:eastAsia="Times New Roman" w:cstheme="minorHAnsi"/>
          <w:lang w:eastAsia="en-GB"/>
        </w:rPr>
        <w:t xml:space="preserve"> and </w:t>
      </w:r>
      <w:r w:rsidRPr="00B265BA">
        <w:rPr>
          <w:rFonts w:eastAsia="Times New Roman" w:cstheme="minorHAnsi"/>
          <w:b/>
          <w:bCs/>
          <w:lang w:eastAsia="en-GB"/>
        </w:rPr>
        <w:t>seamless transitions to other benefits</w:t>
      </w:r>
      <w:r w:rsidRPr="00B265BA">
        <w:rPr>
          <w:rFonts w:eastAsia="Times New Roman" w:cstheme="minorHAnsi"/>
          <w:lang w:eastAsia="en-GB"/>
        </w:rPr>
        <w:t xml:space="preserve"> at all stages.</w:t>
      </w:r>
    </w:p>
    <w:p w14:paraId="69C80A7D" w14:textId="77777777" w:rsidR="00CD7DBE" w:rsidRPr="00B265BA" w:rsidRDefault="00CD7DBE" w:rsidP="00CD7DBE">
      <w:pPr>
        <w:pStyle w:val="ListParagraph"/>
        <w:numPr>
          <w:ilvl w:val="0"/>
          <w:numId w:val="27"/>
        </w:numPr>
        <w:spacing w:after="0"/>
        <w:jc w:val="both"/>
        <w:rPr>
          <w:rFonts w:eastAsia="Times New Roman" w:cstheme="minorHAnsi"/>
          <w:lang w:eastAsia="en-GB"/>
        </w:rPr>
      </w:pPr>
      <w:r w:rsidRPr="00B265BA">
        <w:rPr>
          <w:rFonts w:eastAsia="Times New Roman" w:cstheme="minorHAnsi"/>
          <w:b/>
          <w:bCs/>
          <w:lang w:eastAsia="en-GB"/>
        </w:rPr>
        <w:t>Supporting person-centred, integrated support as part of a</w:t>
      </w:r>
      <w:r>
        <w:rPr>
          <w:rFonts w:eastAsia="Times New Roman" w:cstheme="minorHAnsi"/>
          <w:b/>
          <w:bCs/>
          <w:lang w:eastAsia="en-GB"/>
        </w:rPr>
        <w:t>n</w:t>
      </w:r>
      <w:r w:rsidRPr="00B265BA">
        <w:rPr>
          <w:rFonts w:eastAsia="Times New Roman" w:cstheme="minorHAnsi"/>
          <w:b/>
          <w:bCs/>
          <w:lang w:eastAsia="en-GB"/>
        </w:rPr>
        <w:t xml:space="preserve"> “active inclusion approach”</w:t>
      </w:r>
      <w:r w:rsidRPr="00B265BA">
        <w:rPr>
          <w:rFonts w:eastAsia="Times New Roman" w:cstheme="minorHAnsi"/>
          <w:lang w:eastAsia="en-GB"/>
        </w:rPr>
        <w:t xml:space="preserve"> which is based on case-management approaches and personalised planning.</w:t>
      </w:r>
    </w:p>
    <w:p w14:paraId="3A474A48" w14:textId="77777777" w:rsidR="00CD7DBE" w:rsidRPr="00B265BA" w:rsidRDefault="00CD7DBE" w:rsidP="00CD7DBE">
      <w:pPr>
        <w:pStyle w:val="ListParagraph"/>
        <w:numPr>
          <w:ilvl w:val="0"/>
          <w:numId w:val="27"/>
        </w:numPr>
        <w:spacing w:after="0"/>
        <w:jc w:val="both"/>
        <w:rPr>
          <w:rFonts w:eastAsia="Times New Roman" w:cstheme="minorHAnsi"/>
          <w:lang w:eastAsia="en-GB"/>
        </w:rPr>
      </w:pPr>
      <w:r w:rsidRPr="00B265BA">
        <w:rPr>
          <w:rFonts w:eastAsia="Times New Roman" w:cstheme="minorHAnsi"/>
          <w:b/>
          <w:bCs/>
          <w:lang w:eastAsia="en-GB"/>
        </w:rPr>
        <w:t>Ensuring access to other key social rights for minimum income beneficiaries</w:t>
      </w:r>
      <w:r w:rsidRPr="00B265BA">
        <w:rPr>
          <w:rFonts w:eastAsia="Times New Roman" w:cstheme="minorHAnsi"/>
          <w:lang w:eastAsia="en-GB"/>
        </w:rPr>
        <w:t xml:space="preserve">, e.g. decent housing, education, affordable health, and not just as a “condition” or an “instrument” to get them into work. </w:t>
      </w:r>
      <w:r w:rsidRPr="00B166C4">
        <w:rPr>
          <w:rFonts w:eastAsia="Times New Roman" w:cstheme="minorHAnsi"/>
          <w:b/>
          <w:bCs/>
          <w:lang w:eastAsia="en-GB"/>
        </w:rPr>
        <w:t>For EAPN, EU social standards must be rights, should never be conditional or treated as a disincentive to work</w:t>
      </w:r>
      <w:r w:rsidRPr="00B265BA">
        <w:rPr>
          <w:rFonts w:eastAsia="Times New Roman" w:cstheme="minorHAnsi"/>
          <w:lang w:eastAsia="en-GB"/>
        </w:rPr>
        <w:t xml:space="preserve">. </w:t>
      </w:r>
      <w:r>
        <w:rPr>
          <w:rFonts w:eastAsia="Times New Roman" w:cstheme="minorHAnsi"/>
          <w:lang w:eastAsia="en-GB"/>
        </w:rPr>
        <w:t>C</w:t>
      </w:r>
      <w:r w:rsidRPr="00B265BA">
        <w:rPr>
          <w:rFonts w:eastAsia="Times New Roman" w:cstheme="minorHAnsi"/>
          <w:lang w:eastAsia="en-GB"/>
        </w:rPr>
        <w:t>onditionality of this type is a contradiction to the rights-based approach that the EU has signed up to.</w:t>
      </w:r>
    </w:p>
    <w:p w14:paraId="5BF98312" w14:textId="53243EDD" w:rsidR="00CD7DBE" w:rsidRDefault="00CD7DBE" w:rsidP="00CD7DBE">
      <w:pPr>
        <w:pStyle w:val="ListParagraph"/>
        <w:numPr>
          <w:ilvl w:val="0"/>
          <w:numId w:val="27"/>
        </w:numPr>
        <w:spacing w:after="0"/>
        <w:jc w:val="both"/>
        <w:rPr>
          <w:rFonts w:eastAsia="Times New Roman" w:cstheme="minorHAnsi"/>
          <w:lang w:eastAsia="en-GB"/>
        </w:rPr>
      </w:pPr>
      <w:r w:rsidRPr="00B265BA">
        <w:rPr>
          <w:rFonts w:eastAsia="Times New Roman" w:cstheme="minorHAnsi"/>
          <w:b/>
          <w:bCs/>
          <w:lang w:eastAsia="en-GB"/>
        </w:rPr>
        <w:t>Offering a positive hierarchy to minimum wages</w:t>
      </w:r>
      <w:r w:rsidRPr="00B265BA">
        <w:rPr>
          <w:rFonts w:eastAsia="Times New Roman" w:cstheme="minorHAnsi"/>
          <w:lang w:eastAsia="en-GB"/>
        </w:rPr>
        <w:t xml:space="preserve">, </w:t>
      </w:r>
      <w:proofErr w:type="gramStart"/>
      <w:r w:rsidRPr="00B265BA">
        <w:rPr>
          <w:rFonts w:eastAsia="Times New Roman" w:cstheme="minorHAnsi"/>
          <w:lang w:eastAsia="en-GB"/>
        </w:rPr>
        <w:t>in order to</w:t>
      </w:r>
      <w:proofErr w:type="gramEnd"/>
      <w:r w:rsidRPr="00B265BA">
        <w:rPr>
          <w:rFonts w:eastAsia="Times New Roman" w:cstheme="minorHAnsi"/>
          <w:lang w:eastAsia="en-GB"/>
        </w:rPr>
        <w:t xml:space="preserve"> provide positive incentives to work. This </w:t>
      </w:r>
      <w:r>
        <w:rPr>
          <w:rFonts w:eastAsia="Times New Roman" w:cstheme="minorHAnsi"/>
          <w:lang w:eastAsia="en-GB"/>
        </w:rPr>
        <w:t xml:space="preserve">also </w:t>
      </w:r>
      <w:r w:rsidRPr="00B265BA">
        <w:rPr>
          <w:rFonts w:eastAsia="Times New Roman" w:cstheme="minorHAnsi"/>
          <w:lang w:eastAsia="en-GB"/>
        </w:rPr>
        <w:t>means minimum income should be set higher than minimum income, rather than reducing minimum income.</w:t>
      </w:r>
    </w:p>
    <w:p w14:paraId="308C8E9C" w14:textId="77777777" w:rsidR="00CD7DBE" w:rsidRPr="00B265BA" w:rsidRDefault="00CD7DBE" w:rsidP="00CD7DBE">
      <w:pPr>
        <w:pStyle w:val="ListParagraph"/>
        <w:spacing w:after="0"/>
        <w:jc w:val="both"/>
        <w:rPr>
          <w:rFonts w:eastAsia="Times New Roman" w:cstheme="minorHAnsi"/>
          <w:lang w:eastAsia="en-GB"/>
        </w:rPr>
      </w:pPr>
    </w:p>
    <w:p w14:paraId="3511072E" w14:textId="3F717CA3" w:rsidR="00CD7DBE" w:rsidRPr="00CD7DBE" w:rsidRDefault="00CD7DBE" w:rsidP="00CD7DBE">
      <w:pPr>
        <w:jc w:val="both"/>
        <w:rPr>
          <w:i/>
          <w:iCs/>
        </w:rPr>
      </w:pPr>
      <w:r w:rsidRPr="00CD7DBE">
        <w:rPr>
          <w:b/>
          <w:bCs/>
          <w:i/>
          <w:iCs/>
        </w:rPr>
        <w:t xml:space="preserve">To make progress at EU level, EAPN proposes both soft and hard law actions outlined below. </w:t>
      </w:r>
      <w:r w:rsidRPr="00CD7DBE">
        <w:rPr>
          <w:i/>
          <w:iCs/>
        </w:rPr>
        <w:t xml:space="preserve">For a more detailed updated discussion please see </w:t>
      </w:r>
      <w:hyperlink r:id="rId32" w:history="1">
        <w:r w:rsidRPr="00CD7DBE">
          <w:rPr>
            <w:rStyle w:val="Hyperlink"/>
            <w:i/>
            <w:iCs/>
          </w:rPr>
          <w:t>EAPN’s Position Paper on adequate income</w:t>
        </w:r>
      </w:hyperlink>
      <w:r w:rsidRPr="00CD7DBE">
        <w:rPr>
          <w:i/>
          <w:iCs/>
        </w:rPr>
        <w:t xml:space="preserve"> (</w:t>
      </w:r>
      <w:r w:rsidR="00107D7E">
        <w:rPr>
          <w:i/>
          <w:iCs/>
        </w:rPr>
        <w:t xml:space="preserve">May </w:t>
      </w:r>
      <w:r w:rsidRPr="00CD7DBE">
        <w:rPr>
          <w:i/>
          <w:iCs/>
        </w:rPr>
        <w:t>2020)</w:t>
      </w:r>
      <w:r>
        <w:rPr>
          <w:rStyle w:val="FootnoteReference"/>
          <w:i/>
          <w:iCs/>
        </w:rPr>
        <w:footnoteReference w:id="26"/>
      </w:r>
    </w:p>
    <w:p w14:paraId="6C32E35A" w14:textId="3D603C0B" w:rsidR="00CD7DBE" w:rsidRPr="00CD7DBE" w:rsidRDefault="00CD7DBE" w:rsidP="00CD7DBE">
      <w:pPr>
        <w:spacing w:after="0"/>
        <w:jc w:val="both"/>
        <w:rPr>
          <w:rFonts w:cstheme="minorHAnsi"/>
          <w:b/>
          <w:bCs/>
          <w:u w:val="single"/>
        </w:rPr>
      </w:pPr>
      <w:r w:rsidRPr="00CD7DBE">
        <w:rPr>
          <w:rFonts w:cstheme="minorHAnsi"/>
          <w:b/>
          <w:bCs/>
          <w:u w:val="single"/>
        </w:rPr>
        <w:t>Soft instruments to support upward convergence</w:t>
      </w:r>
    </w:p>
    <w:p w14:paraId="7748D9AB" w14:textId="77777777" w:rsidR="00CD7DBE" w:rsidRPr="00B265BA" w:rsidRDefault="00CD7DBE" w:rsidP="00CD7DBE">
      <w:pPr>
        <w:spacing w:after="0"/>
        <w:jc w:val="both"/>
        <w:rPr>
          <w:rFonts w:cstheme="minorHAnsi"/>
        </w:rPr>
      </w:pPr>
    </w:p>
    <w:p w14:paraId="40D37D91" w14:textId="77777777" w:rsidR="00CD7DBE" w:rsidRPr="00B265BA" w:rsidRDefault="00CD7DBE" w:rsidP="00CD7DBE">
      <w:pPr>
        <w:spacing w:after="0"/>
        <w:jc w:val="both"/>
      </w:pPr>
      <w:r w:rsidRPr="00B265BA">
        <w:t xml:space="preserve">The </w:t>
      </w:r>
      <w:r w:rsidRPr="00B265BA">
        <w:rPr>
          <w:b/>
          <w:bCs/>
        </w:rPr>
        <w:t xml:space="preserve">right to </w:t>
      </w:r>
      <w:r>
        <w:rPr>
          <w:b/>
          <w:bCs/>
        </w:rPr>
        <w:t>minimum income</w:t>
      </w:r>
      <w:r w:rsidRPr="00B265BA">
        <w:rPr>
          <w:b/>
          <w:bCs/>
        </w:rPr>
        <w:t xml:space="preserve"> should continue to be strengthened through the European Semester and EU funds</w:t>
      </w:r>
      <w:r w:rsidRPr="00B265BA">
        <w:t>:</w:t>
      </w:r>
    </w:p>
    <w:p w14:paraId="0C84F4AD" w14:textId="77777777" w:rsidR="00CD7DBE" w:rsidRPr="00B265BA" w:rsidRDefault="00CD7DBE" w:rsidP="00CD7DBE">
      <w:pPr>
        <w:pStyle w:val="ListParagraph"/>
        <w:numPr>
          <w:ilvl w:val="0"/>
          <w:numId w:val="27"/>
        </w:numPr>
        <w:spacing w:after="0"/>
        <w:jc w:val="both"/>
        <w:rPr>
          <w:rFonts w:eastAsia="Times New Roman" w:cstheme="minorHAnsi"/>
          <w:lang w:eastAsia="en-GB"/>
        </w:rPr>
      </w:pPr>
      <w:r w:rsidRPr="00B265BA">
        <w:rPr>
          <w:rFonts w:eastAsia="Times New Roman" w:cstheme="minorHAnsi"/>
          <w:lang w:eastAsia="en-GB"/>
        </w:rPr>
        <w:t xml:space="preserve">MS should be required to </w:t>
      </w:r>
      <w:r w:rsidRPr="00B265BA">
        <w:rPr>
          <w:rFonts w:eastAsia="Times New Roman" w:cstheme="minorHAnsi"/>
          <w:b/>
          <w:bCs/>
          <w:lang w:eastAsia="en-GB"/>
        </w:rPr>
        <w:t>ensure minimum income to be adequate, accessible, and enabling</w:t>
      </w:r>
      <w:r w:rsidRPr="00B265BA">
        <w:rPr>
          <w:rFonts w:eastAsia="Times New Roman" w:cstheme="minorHAnsi"/>
          <w:lang w:eastAsia="en-GB"/>
        </w:rPr>
        <w:t>. Progress on all these elements should be monitored with CSRs in the European Semester.</w:t>
      </w:r>
    </w:p>
    <w:p w14:paraId="63AB51E2" w14:textId="77777777" w:rsidR="00CD7DBE" w:rsidRPr="00B265BA" w:rsidRDefault="00CD7DBE" w:rsidP="00CD7DBE">
      <w:pPr>
        <w:pStyle w:val="ListParagraph"/>
        <w:numPr>
          <w:ilvl w:val="0"/>
          <w:numId w:val="27"/>
        </w:numPr>
        <w:spacing w:after="0"/>
        <w:jc w:val="both"/>
        <w:rPr>
          <w:rFonts w:eastAsia="Times New Roman" w:cstheme="minorHAnsi"/>
          <w:lang w:eastAsia="en-GB"/>
        </w:rPr>
      </w:pPr>
      <w:r w:rsidRPr="00B265BA">
        <w:rPr>
          <w:rFonts w:eastAsia="Times New Roman" w:cstheme="minorHAnsi"/>
          <w:b/>
          <w:bCs/>
          <w:lang w:eastAsia="en-GB"/>
        </w:rPr>
        <w:t>MI should be viewed as part of an integrated active inclusion approach</w:t>
      </w:r>
      <w:r w:rsidRPr="00B265BA">
        <w:rPr>
          <w:rFonts w:eastAsia="Times New Roman" w:cstheme="minorHAnsi"/>
          <w:lang w:eastAsia="en-GB"/>
        </w:rPr>
        <w:t>, and a crucial element in an EU multidimensional, integrated anti-poverty strategy.</w:t>
      </w:r>
    </w:p>
    <w:p w14:paraId="3E713E6B" w14:textId="77777777" w:rsidR="00CD7DBE" w:rsidRPr="00B265BA" w:rsidRDefault="00CD7DBE" w:rsidP="00CD7DBE">
      <w:pPr>
        <w:pStyle w:val="ListParagraph"/>
        <w:numPr>
          <w:ilvl w:val="0"/>
          <w:numId w:val="27"/>
        </w:numPr>
        <w:spacing w:after="0"/>
        <w:jc w:val="both"/>
        <w:rPr>
          <w:rFonts w:eastAsia="Times New Roman" w:cstheme="minorHAnsi"/>
          <w:lang w:eastAsia="en-GB"/>
        </w:rPr>
      </w:pPr>
      <w:r>
        <w:rPr>
          <w:rFonts w:eastAsia="Times New Roman" w:cstheme="minorHAnsi"/>
          <w:b/>
          <w:bCs/>
          <w:lang w:eastAsia="en-GB"/>
        </w:rPr>
        <w:t>R</w:t>
      </w:r>
      <w:r w:rsidRPr="00B265BA">
        <w:rPr>
          <w:rFonts w:eastAsia="Times New Roman" w:cstheme="minorHAnsi"/>
          <w:b/>
          <w:bCs/>
          <w:lang w:eastAsia="en-GB"/>
        </w:rPr>
        <w:t xml:space="preserve">eference budgets of baskets of goods and services to check </w:t>
      </w:r>
      <w:r>
        <w:rPr>
          <w:rFonts w:eastAsia="Times New Roman" w:cstheme="minorHAnsi"/>
          <w:b/>
          <w:bCs/>
          <w:lang w:eastAsia="en-GB"/>
        </w:rPr>
        <w:t xml:space="preserve">the </w:t>
      </w:r>
      <w:r w:rsidRPr="00B265BA">
        <w:rPr>
          <w:rFonts w:eastAsia="Times New Roman" w:cstheme="minorHAnsi"/>
          <w:b/>
          <w:bCs/>
          <w:lang w:eastAsia="en-GB"/>
        </w:rPr>
        <w:t>adequacy of MIS</w:t>
      </w:r>
      <w:r>
        <w:rPr>
          <w:rFonts w:eastAsia="Times New Roman" w:cstheme="minorHAnsi"/>
          <w:b/>
          <w:bCs/>
          <w:lang w:eastAsia="en-GB"/>
        </w:rPr>
        <w:t xml:space="preserve"> need to be </w:t>
      </w:r>
      <w:r w:rsidRPr="001A6A36">
        <w:rPr>
          <w:rFonts w:eastAsia="Times New Roman" w:cstheme="minorHAnsi"/>
          <w:b/>
          <w:bCs/>
          <w:lang w:eastAsia="en-GB"/>
        </w:rPr>
        <w:t xml:space="preserve">further </w:t>
      </w:r>
      <w:r w:rsidRPr="00B265BA">
        <w:rPr>
          <w:rFonts w:eastAsia="Times New Roman" w:cstheme="minorHAnsi"/>
          <w:b/>
          <w:bCs/>
          <w:lang w:eastAsia="en-GB"/>
        </w:rPr>
        <w:t>develop</w:t>
      </w:r>
      <w:r>
        <w:rPr>
          <w:rFonts w:eastAsia="Times New Roman" w:cstheme="minorHAnsi"/>
          <w:b/>
          <w:bCs/>
          <w:lang w:eastAsia="en-GB"/>
        </w:rPr>
        <w:t>ed</w:t>
      </w:r>
      <w:r w:rsidRPr="00B265BA">
        <w:rPr>
          <w:rFonts w:eastAsia="Times New Roman" w:cstheme="minorHAnsi"/>
          <w:lang w:eastAsia="en-GB"/>
        </w:rPr>
        <w:t xml:space="preserve">, for different household types and with the involvement of people, not only </w:t>
      </w:r>
      <w:r>
        <w:rPr>
          <w:rFonts w:eastAsia="Times New Roman" w:cstheme="minorHAnsi"/>
          <w:lang w:eastAsia="en-GB"/>
        </w:rPr>
        <w:t xml:space="preserve">with those </w:t>
      </w:r>
      <w:r w:rsidRPr="00B265BA">
        <w:rPr>
          <w:rFonts w:eastAsia="Times New Roman" w:cstheme="minorHAnsi"/>
          <w:lang w:eastAsia="en-GB"/>
        </w:rPr>
        <w:t>in poverty.</w:t>
      </w:r>
    </w:p>
    <w:p w14:paraId="19745741" w14:textId="77777777" w:rsidR="00CD7DBE" w:rsidRPr="00B265BA" w:rsidRDefault="00CD7DBE" w:rsidP="00CD7DBE">
      <w:pPr>
        <w:pStyle w:val="ListParagraph"/>
        <w:numPr>
          <w:ilvl w:val="0"/>
          <w:numId w:val="27"/>
        </w:numPr>
        <w:spacing w:after="0"/>
        <w:jc w:val="both"/>
        <w:rPr>
          <w:rFonts w:eastAsia="Times New Roman" w:cstheme="minorHAnsi"/>
          <w:lang w:eastAsia="en-GB"/>
        </w:rPr>
      </w:pPr>
      <w:r w:rsidRPr="00B265BA">
        <w:rPr>
          <w:rFonts w:eastAsia="Times New Roman" w:cstheme="minorHAnsi"/>
          <w:lang w:eastAsia="en-GB"/>
        </w:rPr>
        <w:t xml:space="preserve">Progress should be made on </w:t>
      </w:r>
      <w:r w:rsidRPr="00B265BA">
        <w:rPr>
          <w:rFonts w:eastAsia="Times New Roman" w:cstheme="minorHAnsi"/>
          <w:b/>
          <w:bCs/>
          <w:lang w:eastAsia="en-GB"/>
        </w:rPr>
        <w:t>agreeing common EU definitions of adequacy, coverage and enabling support</w:t>
      </w:r>
      <w:r w:rsidRPr="00B265BA">
        <w:rPr>
          <w:rFonts w:eastAsia="Times New Roman" w:cstheme="minorHAnsi"/>
          <w:lang w:eastAsia="en-GB"/>
        </w:rPr>
        <w:t xml:space="preserve">, as well as a </w:t>
      </w:r>
      <w:r w:rsidRPr="00B265BA">
        <w:rPr>
          <w:rFonts w:eastAsia="Times New Roman" w:cstheme="minorHAnsi"/>
          <w:b/>
          <w:bCs/>
          <w:lang w:eastAsia="en-GB"/>
        </w:rPr>
        <w:t xml:space="preserve">common </w:t>
      </w:r>
      <w:r w:rsidRPr="00B265BA">
        <w:rPr>
          <w:rFonts w:eastAsia="Times New Roman" w:cstheme="minorHAnsi"/>
          <w:b/>
          <w:bCs/>
          <w:color w:val="000000"/>
        </w:rPr>
        <w:t xml:space="preserve">EU wide framework and </w:t>
      </w:r>
      <w:r w:rsidRPr="00B265BA">
        <w:rPr>
          <w:rFonts w:eastAsia="Times New Roman" w:cstheme="minorHAnsi"/>
          <w:b/>
          <w:bCs/>
          <w:lang w:eastAsia="en-GB"/>
        </w:rPr>
        <w:t>methodology on reference budgets</w:t>
      </w:r>
      <w:r w:rsidRPr="00B265BA">
        <w:rPr>
          <w:rFonts w:eastAsia="Times New Roman" w:cstheme="minorHAnsi"/>
          <w:lang w:eastAsia="en-GB"/>
        </w:rPr>
        <w:t>.</w:t>
      </w:r>
    </w:p>
    <w:p w14:paraId="1F441DED" w14:textId="77777777" w:rsidR="00CD7DBE" w:rsidRPr="00B265BA" w:rsidRDefault="00CD7DBE" w:rsidP="00CD7DBE">
      <w:pPr>
        <w:pStyle w:val="ListParagraph"/>
        <w:numPr>
          <w:ilvl w:val="0"/>
          <w:numId w:val="27"/>
        </w:numPr>
        <w:spacing w:after="0"/>
        <w:jc w:val="both"/>
        <w:rPr>
          <w:rFonts w:eastAsia="Times New Roman" w:cstheme="minorHAnsi"/>
          <w:lang w:eastAsia="en-GB"/>
        </w:rPr>
      </w:pPr>
      <w:r w:rsidRPr="00B265BA">
        <w:rPr>
          <w:rFonts w:eastAsia="Times New Roman" w:cstheme="minorHAnsi"/>
          <w:lang w:eastAsia="en-GB"/>
        </w:rPr>
        <w:t xml:space="preserve">A better visibility and </w:t>
      </w:r>
      <w:r w:rsidRPr="00B265BA">
        <w:rPr>
          <w:rFonts w:eastAsia="Times New Roman" w:cstheme="minorHAnsi"/>
          <w:b/>
          <w:bCs/>
          <w:lang w:eastAsia="en-GB"/>
        </w:rPr>
        <w:t>mainstreaming of the benchmarking indicators</w:t>
      </w:r>
      <w:r w:rsidRPr="00B265BA">
        <w:rPr>
          <w:rFonts w:eastAsia="Times New Roman" w:cstheme="minorHAnsi"/>
          <w:lang w:eastAsia="en-GB"/>
        </w:rPr>
        <w:t xml:space="preserve"> agreed by the Indicators Sub-Group (ISG) of the Social Protection Committee (SPC)</w:t>
      </w:r>
      <w:r>
        <w:rPr>
          <w:rFonts w:eastAsia="Times New Roman" w:cstheme="minorHAnsi"/>
          <w:lang w:eastAsia="en-GB"/>
        </w:rPr>
        <w:t xml:space="preserve"> </w:t>
      </w:r>
      <w:r w:rsidRPr="00B265BA">
        <w:rPr>
          <w:rFonts w:eastAsia="Times New Roman" w:cstheme="minorHAnsi"/>
          <w:lang w:eastAsia="en-GB"/>
        </w:rPr>
        <w:t xml:space="preserve">should be pursued </w:t>
      </w:r>
      <w:r w:rsidRPr="00B265BA">
        <w:rPr>
          <w:rFonts w:eastAsia="Times New Roman" w:cstheme="minorHAnsi"/>
          <w:b/>
          <w:bCs/>
          <w:lang w:eastAsia="en-GB"/>
        </w:rPr>
        <w:t>to check the adequacy, related to the AROP level</w:t>
      </w:r>
      <w:r w:rsidRPr="00B265BA">
        <w:rPr>
          <w:rFonts w:eastAsia="Times New Roman" w:cstheme="minorHAnsi"/>
          <w:lang w:eastAsia="en-GB"/>
        </w:rPr>
        <w:t>. For EAPN</w:t>
      </w:r>
      <w:r>
        <w:rPr>
          <w:rFonts w:eastAsia="Times New Roman" w:cstheme="minorHAnsi"/>
          <w:lang w:eastAsia="en-GB"/>
        </w:rPr>
        <w:t>,</w:t>
      </w:r>
      <w:r w:rsidRPr="00B265BA">
        <w:rPr>
          <w:rFonts w:eastAsia="Times New Roman" w:cstheme="minorHAnsi"/>
          <w:lang w:eastAsia="en-GB"/>
        </w:rPr>
        <w:t xml:space="preserve"> </w:t>
      </w:r>
      <w:r w:rsidRPr="00B166C4">
        <w:rPr>
          <w:rFonts w:eastAsia="Times New Roman" w:cstheme="minorHAnsi"/>
          <w:b/>
          <w:bCs/>
          <w:lang w:eastAsia="en-GB"/>
        </w:rPr>
        <w:t xml:space="preserve">EU-level indicators to capture the coverage </w:t>
      </w:r>
      <w:r w:rsidRPr="00B166C4">
        <w:rPr>
          <w:rFonts w:eastAsia="Times New Roman" w:cstheme="minorHAnsi"/>
          <w:b/>
          <w:bCs/>
          <w:lang w:eastAsia="en-GB"/>
        </w:rPr>
        <w:lastRenderedPageBreak/>
        <w:t>of MIS, particularly the take-up rates and the effectiveness of enabling support</w:t>
      </w:r>
      <w:r w:rsidRPr="00B265BA">
        <w:rPr>
          <w:rStyle w:val="FootnoteReference"/>
          <w:rFonts w:eastAsia="Times New Roman" w:cstheme="minorHAnsi"/>
          <w:lang w:eastAsia="en-GB"/>
        </w:rPr>
        <w:footnoteReference w:id="27"/>
      </w:r>
      <w:r w:rsidRPr="00B166C4">
        <w:rPr>
          <w:rFonts w:eastAsia="Times New Roman" w:cstheme="minorHAnsi"/>
          <w:b/>
          <w:bCs/>
          <w:lang w:eastAsia="en-GB"/>
        </w:rPr>
        <w:t>, should also be developed</w:t>
      </w:r>
      <w:r w:rsidRPr="00B265BA">
        <w:rPr>
          <w:rFonts w:eastAsia="Times New Roman" w:cstheme="minorHAnsi"/>
          <w:lang w:eastAsia="en-GB"/>
        </w:rPr>
        <w:t>.</w:t>
      </w:r>
    </w:p>
    <w:p w14:paraId="133CC140" w14:textId="77777777" w:rsidR="00CD7DBE" w:rsidRPr="00B265BA" w:rsidRDefault="00CD7DBE" w:rsidP="00CD7DBE">
      <w:pPr>
        <w:pStyle w:val="ListParagraph"/>
        <w:numPr>
          <w:ilvl w:val="0"/>
          <w:numId w:val="27"/>
        </w:numPr>
        <w:spacing w:after="0"/>
        <w:jc w:val="both"/>
        <w:rPr>
          <w:rFonts w:eastAsia="Times New Roman" w:cstheme="minorHAnsi"/>
          <w:lang w:eastAsia="en-GB"/>
        </w:rPr>
      </w:pPr>
      <w:r w:rsidRPr="00B265BA">
        <w:rPr>
          <w:rFonts w:eastAsia="Times New Roman" w:cstheme="minorHAnsi"/>
          <w:b/>
          <w:bCs/>
          <w:lang w:eastAsia="en-GB"/>
        </w:rPr>
        <w:t>Research, awareness-raising, mutual learning and peer review</w:t>
      </w:r>
      <w:r w:rsidRPr="00B265BA">
        <w:rPr>
          <w:rFonts w:eastAsia="Times New Roman" w:cstheme="minorHAnsi"/>
          <w:lang w:eastAsia="en-GB"/>
        </w:rPr>
        <w:t xml:space="preserve"> should be carried out and supported by EU funding </w:t>
      </w:r>
      <w:r w:rsidRPr="00B265BA">
        <w:rPr>
          <w:rFonts w:eastAsia="Times New Roman" w:cstheme="minorHAnsi"/>
          <w:b/>
          <w:bCs/>
          <w:lang w:eastAsia="en-GB"/>
        </w:rPr>
        <w:t>on how to increase the adequacy of long-term financing of adequate minimum income</w:t>
      </w:r>
      <w:r w:rsidRPr="00B265BA">
        <w:rPr>
          <w:rFonts w:eastAsia="Times New Roman" w:cstheme="minorHAnsi"/>
          <w:lang w:eastAsia="en-GB"/>
        </w:rPr>
        <w:t>, as well as benefits of methods to positively support participation and job search, as opposed to negative activation with conditionality</w:t>
      </w:r>
      <w:r w:rsidRPr="00B265BA">
        <w:rPr>
          <w:rStyle w:val="FootnoteReference"/>
          <w:rFonts w:eastAsia="Times New Roman" w:cstheme="minorHAnsi"/>
          <w:lang w:eastAsia="en-GB"/>
        </w:rPr>
        <w:footnoteReference w:id="28"/>
      </w:r>
      <w:r w:rsidRPr="00B265BA">
        <w:rPr>
          <w:rFonts w:eastAsia="Times New Roman" w:cstheme="minorHAnsi"/>
          <w:lang w:eastAsia="en-GB"/>
        </w:rPr>
        <w:t>.</w:t>
      </w:r>
    </w:p>
    <w:p w14:paraId="1CCE77EA" w14:textId="77777777" w:rsidR="00CD7DBE" w:rsidRPr="00B265BA" w:rsidRDefault="00CD7DBE" w:rsidP="00CD7DBE">
      <w:pPr>
        <w:pStyle w:val="ListParagraph"/>
        <w:numPr>
          <w:ilvl w:val="0"/>
          <w:numId w:val="27"/>
        </w:numPr>
        <w:spacing w:after="0"/>
        <w:jc w:val="both"/>
        <w:rPr>
          <w:rFonts w:eastAsia="Times New Roman" w:cstheme="minorHAnsi"/>
          <w:lang w:eastAsia="en-GB"/>
        </w:rPr>
      </w:pPr>
      <w:r w:rsidRPr="00B265BA">
        <w:rPr>
          <w:rFonts w:eastAsia="Times New Roman" w:cstheme="minorHAnsi"/>
          <w:b/>
          <w:bCs/>
          <w:lang w:eastAsia="en-GB"/>
        </w:rPr>
        <w:t>Country-specific Recommendations (CSRs) should trigger concrete policy action and sanctions when MI falls far short of adequacy</w:t>
      </w:r>
      <w:r w:rsidRPr="00B265BA">
        <w:rPr>
          <w:rFonts w:eastAsia="Times New Roman" w:cstheme="minorHAnsi"/>
          <w:lang w:eastAsia="en-GB"/>
        </w:rPr>
        <w:t xml:space="preserve">. This would also need to be flagged up e.g. in the Joint Employment Report (JER) as “critical developments” which require an urgent coherent and coordinated response with the macroeconomic policy CSRs. For EAPN this means </w:t>
      </w:r>
      <w:r w:rsidRPr="00B265BA">
        <w:rPr>
          <w:rFonts w:eastAsia="Times New Roman" w:cstheme="minorHAnsi"/>
          <w:b/>
          <w:bCs/>
          <w:lang w:eastAsia="en-GB"/>
        </w:rPr>
        <w:t>supporting investment in minimum income schemes</w:t>
      </w:r>
      <w:r>
        <w:rPr>
          <w:rFonts w:eastAsia="Times New Roman" w:cstheme="minorHAnsi"/>
          <w:b/>
          <w:bCs/>
          <w:lang w:eastAsia="en-GB"/>
        </w:rPr>
        <w:t xml:space="preserve"> by</w:t>
      </w:r>
      <w:r w:rsidRPr="00B265BA">
        <w:rPr>
          <w:rFonts w:eastAsia="Times New Roman" w:cstheme="minorHAnsi"/>
          <w:b/>
          <w:bCs/>
          <w:lang w:eastAsia="en-GB"/>
        </w:rPr>
        <w:t xml:space="preserve"> increasing tax revenues through increased tax collection, effectively tackling tax evasion and by means of more progressive taxation schemes</w:t>
      </w:r>
      <w:r w:rsidRPr="00B265BA">
        <w:rPr>
          <w:rFonts w:eastAsia="Times New Roman" w:cstheme="minorHAnsi"/>
          <w:lang w:eastAsia="en-GB"/>
        </w:rPr>
        <w:t>. EAPN members have also observed that the Country Reports and/or CSR</w:t>
      </w:r>
      <w:r>
        <w:rPr>
          <w:rFonts w:eastAsia="Times New Roman" w:cstheme="minorHAnsi"/>
          <w:lang w:eastAsia="en-GB"/>
        </w:rPr>
        <w:t>s</w:t>
      </w:r>
      <w:r w:rsidRPr="00B265BA">
        <w:rPr>
          <w:rFonts w:eastAsia="Times New Roman" w:cstheme="minorHAnsi"/>
          <w:lang w:eastAsia="en-GB"/>
        </w:rPr>
        <w:t xml:space="preserve"> do not put enough attention </w:t>
      </w:r>
      <w:r>
        <w:rPr>
          <w:rFonts w:eastAsia="Times New Roman" w:cstheme="minorHAnsi"/>
          <w:lang w:eastAsia="en-GB"/>
        </w:rPr>
        <w:t>to</w:t>
      </w:r>
      <w:r w:rsidRPr="00B265BA">
        <w:rPr>
          <w:rFonts w:eastAsia="Times New Roman" w:cstheme="minorHAnsi"/>
          <w:lang w:eastAsia="en-GB"/>
        </w:rPr>
        <w:t xml:space="preserve"> the </w:t>
      </w:r>
      <w:r w:rsidRPr="00B265BA">
        <w:t>cost of living compared to earnings</w:t>
      </w:r>
      <w:r>
        <w:t xml:space="preserve"> </w:t>
      </w:r>
      <w:r w:rsidRPr="00B265BA">
        <w:rPr>
          <w:rFonts w:cstheme="minorHAnsi"/>
        </w:rPr>
        <w:t xml:space="preserve"> ̶ </w:t>
      </w:r>
      <w:r w:rsidRPr="00B265BA">
        <w:t xml:space="preserve">in particular for workers with pay at MW levels </w:t>
      </w:r>
      <w:r w:rsidRPr="00B265BA">
        <w:rPr>
          <w:rFonts w:cstheme="minorHAnsi"/>
        </w:rPr>
        <w:t xml:space="preserve"> ̶ </w:t>
      </w:r>
      <w:r w:rsidRPr="00B265BA">
        <w:t>and to the related social and economic impacts.</w:t>
      </w:r>
    </w:p>
    <w:p w14:paraId="37DB004F" w14:textId="77777777" w:rsidR="00CD7DBE" w:rsidRPr="00B265BA" w:rsidRDefault="00CD7DBE" w:rsidP="00CD7DBE">
      <w:pPr>
        <w:pStyle w:val="ListParagraph"/>
        <w:numPr>
          <w:ilvl w:val="0"/>
          <w:numId w:val="27"/>
        </w:numPr>
        <w:spacing w:after="0"/>
        <w:jc w:val="both"/>
        <w:rPr>
          <w:rFonts w:eastAsia="Times New Roman" w:cstheme="minorHAnsi"/>
          <w:lang w:eastAsia="en-GB"/>
        </w:rPr>
      </w:pPr>
      <w:r w:rsidRPr="00B265BA">
        <w:rPr>
          <w:rFonts w:eastAsia="Times New Roman" w:cstheme="minorHAnsi"/>
          <w:b/>
          <w:bCs/>
          <w:lang w:eastAsia="en-GB"/>
        </w:rPr>
        <w:t>EU funds</w:t>
      </w:r>
      <w:r w:rsidRPr="00B265BA">
        <w:rPr>
          <w:rFonts w:eastAsia="Times New Roman" w:cstheme="minorHAnsi"/>
          <w:lang w:eastAsia="en-GB"/>
        </w:rPr>
        <w:t xml:space="preserve"> should be </w:t>
      </w:r>
      <w:r w:rsidRPr="00B265BA">
        <w:rPr>
          <w:rFonts w:eastAsia="Times New Roman" w:cstheme="minorHAnsi"/>
          <w:b/>
          <w:bCs/>
          <w:lang w:eastAsia="en-GB"/>
        </w:rPr>
        <w:t>targeted to support the development of effective national minimum income schemes</w:t>
      </w:r>
      <w:r w:rsidRPr="00B265BA">
        <w:rPr>
          <w:rFonts w:eastAsia="Times New Roman" w:cstheme="minorHAnsi"/>
          <w:lang w:eastAsia="en-GB"/>
        </w:rPr>
        <w:t>.</w:t>
      </w:r>
    </w:p>
    <w:p w14:paraId="67A7A84B" w14:textId="77777777" w:rsidR="00CD7DBE" w:rsidRPr="00B265BA" w:rsidRDefault="00CD7DBE" w:rsidP="00CD7DBE">
      <w:pPr>
        <w:spacing w:after="0"/>
        <w:jc w:val="both"/>
        <w:rPr>
          <w:rFonts w:cstheme="minorHAnsi"/>
        </w:rPr>
      </w:pPr>
    </w:p>
    <w:p w14:paraId="25F03E08" w14:textId="62B55DFB" w:rsidR="00CD7DBE" w:rsidRPr="00CD7DBE" w:rsidRDefault="00CD7DBE" w:rsidP="00CD7DBE">
      <w:pPr>
        <w:spacing w:after="0"/>
        <w:jc w:val="both"/>
        <w:rPr>
          <w:rFonts w:cstheme="minorHAnsi"/>
          <w:b/>
          <w:bCs/>
          <w:u w:val="single"/>
        </w:rPr>
      </w:pPr>
      <w:r w:rsidRPr="00CD7DBE">
        <w:rPr>
          <w:rFonts w:cstheme="minorHAnsi"/>
          <w:b/>
          <w:bCs/>
          <w:u w:val="single"/>
        </w:rPr>
        <w:t>Hard instruments/EU legislation</w:t>
      </w:r>
    </w:p>
    <w:p w14:paraId="0C888B42" w14:textId="77777777" w:rsidR="00CD7DBE" w:rsidRPr="00B265BA" w:rsidRDefault="00CD7DBE" w:rsidP="00CD7DBE">
      <w:pPr>
        <w:spacing w:after="0"/>
        <w:jc w:val="both"/>
        <w:rPr>
          <w:rFonts w:cstheme="minorHAnsi"/>
        </w:rPr>
      </w:pPr>
    </w:p>
    <w:p w14:paraId="6D5307FD" w14:textId="77777777" w:rsidR="00CD7DBE" w:rsidRPr="00B265BA" w:rsidRDefault="00CD7DBE" w:rsidP="00CD7DBE">
      <w:pPr>
        <w:pStyle w:val="ListParagraph"/>
        <w:numPr>
          <w:ilvl w:val="0"/>
          <w:numId w:val="28"/>
        </w:numPr>
        <w:spacing w:after="0"/>
        <w:ind w:left="714" w:hanging="357"/>
        <w:jc w:val="both"/>
      </w:pPr>
      <w:r w:rsidRPr="00B265BA">
        <w:rPr>
          <w:b/>
          <w:bCs/>
        </w:rPr>
        <w:t xml:space="preserve">Soft law alone is failing </w:t>
      </w:r>
      <w:r>
        <w:rPr>
          <w:b/>
          <w:bCs/>
        </w:rPr>
        <w:t>to</w:t>
      </w:r>
      <w:r w:rsidRPr="00B265BA">
        <w:rPr>
          <w:b/>
          <w:bCs/>
        </w:rPr>
        <w:t xml:space="preserve"> guarantee an adequate minimum income in most countries</w:t>
      </w:r>
      <w:r w:rsidRPr="00B265BA">
        <w:t xml:space="preserve">, nor is it succeeding in effectively reducing poverty. EAPN believes that a </w:t>
      </w:r>
      <w:r w:rsidRPr="00B265BA">
        <w:rPr>
          <w:b/>
          <w:bCs/>
        </w:rPr>
        <w:t xml:space="preserve">European Framework Directive on Minimum Income </w:t>
      </w:r>
      <w:r w:rsidRPr="00B265BA">
        <w:t xml:space="preserve">is needed to guarantee this right and </w:t>
      </w:r>
      <w:r>
        <w:t xml:space="preserve">to </w:t>
      </w:r>
      <w:r w:rsidRPr="00B265BA">
        <w:t>provide a level playing field across the EU on minimum social standards.</w:t>
      </w:r>
    </w:p>
    <w:p w14:paraId="25666AC6" w14:textId="77777777" w:rsidR="00CD7DBE" w:rsidRPr="00B265BA" w:rsidRDefault="00CD7DBE" w:rsidP="00CD7DBE">
      <w:pPr>
        <w:pStyle w:val="ListParagraph"/>
        <w:numPr>
          <w:ilvl w:val="0"/>
          <w:numId w:val="28"/>
        </w:numPr>
        <w:spacing w:after="0"/>
        <w:ind w:left="714" w:hanging="357"/>
        <w:jc w:val="both"/>
      </w:pPr>
      <w:r w:rsidRPr="00B265BA">
        <w:t xml:space="preserve">The </w:t>
      </w:r>
      <w:r w:rsidRPr="00B265BA">
        <w:rPr>
          <w:b/>
          <w:bCs/>
        </w:rPr>
        <w:t>Directive</w:t>
      </w:r>
      <w:r w:rsidRPr="00B265BA">
        <w:t xml:space="preserve"> should </w:t>
      </w:r>
      <w:r w:rsidRPr="00B265BA">
        <w:rPr>
          <w:b/>
          <w:bCs/>
        </w:rPr>
        <w:t>provide a common EU framework, setting out minimum requirements</w:t>
      </w:r>
      <w:r w:rsidRPr="00B265BA">
        <w:t xml:space="preserve">: establishing common objectives, common principles, definitions and methods to guarantee this right across the EU, </w:t>
      </w:r>
      <w:r w:rsidRPr="00B265BA">
        <w:rPr>
          <w:b/>
          <w:bCs/>
        </w:rPr>
        <w:t>referring back to MS the establishment of the conditions of access and detailed rules of application</w:t>
      </w:r>
      <w:r w:rsidRPr="00B265BA">
        <w:t xml:space="preserve"> in order to take account of the situation in each MS. It is not </w:t>
      </w:r>
      <w:r>
        <w:t xml:space="preserve">at this stage </w:t>
      </w:r>
      <w:r w:rsidRPr="00B265BA">
        <w:t xml:space="preserve">proposed that the Directive should </w:t>
      </w:r>
      <w:proofErr w:type="gramStart"/>
      <w:r w:rsidRPr="00B265BA">
        <w:t>fund directly</w:t>
      </w:r>
      <w:proofErr w:type="gramEnd"/>
      <w:r w:rsidRPr="00B265BA">
        <w:t xml:space="preserve"> an EU-level minimum income payment</w:t>
      </w:r>
      <w:r w:rsidRPr="00B265BA">
        <w:rPr>
          <w:rStyle w:val="FootnoteReference"/>
        </w:rPr>
        <w:footnoteReference w:id="29"/>
      </w:r>
      <w:r w:rsidRPr="00B265BA">
        <w:t>.</w:t>
      </w:r>
    </w:p>
    <w:p w14:paraId="651AFD21" w14:textId="77777777" w:rsidR="00CD7DBE" w:rsidRPr="00B265BA" w:rsidRDefault="00CD7DBE" w:rsidP="00CD7DBE">
      <w:pPr>
        <w:pStyle w:val="ListParagraph"/>
        <w:numPr>
          <w:ilvl w:val="0"/>
          <w:numId w:val="28"/>
        </w:numPr>
        <w:spacing w:after="0"/>
        <w:ind w:left="714" w:hanging="357"/>
        <w:jc w:val="both"/>
      </w:pPr>
      <w:r w:rsidRPr="00B265BA">
        <w:t xml:space="preserve">The </w:t>
      </w:r>
      <w:r w:rsidRPr="00B265BA">
        <w:rPr>
          <w:b/>
          <w:bCs/>
        </w:rPr>
        <w:t>indicator for adequacy</w:t>
      </w:r>
      <w:r w:rsidRPr="00B265BA">
        <w:t xml:space="preserve"> proposed</w:t>
      </w:r>
      <w:r>
        <w:t xml:space="preserve"> </w:t>
      </w:r>
      <w:r w:rsidRPr="00B265BA">
        <w:t xml:space="preserve">is the </w:t>
      </w:r>
      <w:r w:rsidRPr="00B265BA">
        <w:rPr>
          <w:b/>
          <w:bCs/>
        </w:rPr>
        <w:t>at-risk-of-poverty (AROP) threshold</w:t>
      </w:r>
      <w:r w:rsidRPr="00B265BA">
        <w:t xml:space="preserve"> (60% median income) which should at least be attained, </w:t>
      </w:r>
      <w:r w:rsidRPr="00B265BA">
        <w:rPr>
          <w:b/>
          <w:bCs/>
        </w:rPr>
        <w:t xml:space="preserve">underpinned by national reference </w:t>
      </w:r>
      <w:r w:rsidRPr="00315AB5">
        <w:rPr>
          <w:b/>
          <w:bCs/>
        </w:rPr>
        <w:t>budgets</w:t>
      </w:r>
      <w:r>
        <w:t xml:space="preserve">. The function of reference budgets is </w:t>
      </w:r>
      <w:r w:rsidRPr="00B265BA">
        <w:t>to more adequately</w:t>
      </w:r>
      <w:r w:rsidRPr="00B265BA">
        <w:rPr>
          <w:b/>
          <w:bCs/>
        </w:rPr>
        <w:t xml:space="preserve"> </w:t>
      </w:r>
      <w:r w:rsidRPr="00B265BA">
        <w:rPr>
          <w:rFonts w:eastAsia="Times New Roman" w:cstheme="minorHAnsi"/>
          <w:lang w:eastAsia="en-GB"/>
        </w:rPr>
        <w:t>reflect the living standard which can be afforded in a country with an income corresponding to this threshold and the actual price levels for the goods and services included</w:t>
      </w:r>
      <w:r w:rsidRPr="00B265BA">
        <w:t>.</w:t>
      </w:r>
    </w:p>
    <w:p w14:paraId="576DB49A" w14:textId="77777777" w:rsidR="00CD7DBE" w:rsidRPr="00B265BA" w:rsidRDefault="00CD7DBE" w:rsidP="00CD7DBE">
      <w:pPr>
        <w:pStyle w:val="ListParagraph"/>
        <w:numPr>
          <w:ilvl w:val="0"/>
          <w:numId w:val="28"/>
        </w:numPr>
        <w:spacing w:after="0"/>
        <w:ind w:left="714" w:hanging="357"/>
        <w:jc w:val="both"/>
      </w:pPr>
      <w:r w:rsidRPr="00B265BA">
        <w:t xml:space="preserve">EAPN’s Legal Opinion and Working Paper, both issued in 2010, confirm that </w:t>
      </w:r>
      <w:r w:rsidRPr="00B265BA">
        <w:rPr>
          <w:b/>
          <w:bCs/>
        </w:rPr>
        <w:t xml:space="preserve">a legal base </w:t>
      </w:r>
      <w:r>
        <w:rPr>
          <w:b/>
          <w:bCs/>
        </w:rPr>
        <w:t xml:space="preserve">for a Framework Directive on Minimum Income </w:t>
      </w:r>
      <w:r w:rsidRPr="00B265BA">
        <w:rPr>
          <w:b/>
          <w:bCs/>
        </w:rPr>
        <w:t>exists</w:t>
      </w:r>
      <w:r w:rsidRPr="00B265BA">
        <w:t xml:space="preserve"> in the field of the integration of persons excluded from the labour market (TFEU art 153, 1, h). There is </w:t>
      </w:r>
      <w:r w:rsidRPr="00B265BA">
        <w:rPr>
          <w:b/>
          <w:bCs/>
        </w:rPr>
        <w:t>no formal objection that can be found in the Treaty to legislate on financial support for the integration of people who are excluded from the labour market</w:t>
      </w:r>
      <w:r w:rsidRPr="00B265BA">
        <w:t xml:space="preserve">. These issues as well as a proposal for a Framework Directive </w:t>
      </w:r>
      <w:r>
        <w:t>are</w:t>
      </w:r>
      <w:r w:rsidRPr="00B265BA">
        <w:t xml:space="preserve"> elaborated on in more detail in sub-sections 3.3.4 and 3.</w:t>
      </w:r>
      <w:r>
        <w:t>3</w:t>
      </w:r>
      <w:r w:rsidRPr="00B265BA">
        <w:t>.5</w:t>
      </w:r>
      <w:r>
        <w:t xml:space="preserve">. It </w:t>
      </w:r>
      <w:r w:rsidRPr="00B265BA">
        <w:t xml:space="preserve">is </w:t>
      </w:r>
      <w:r>
        <w:t xml:space="preserve">also </w:t>
      </w:r>
      <w:r w:rsidRPr="00B265BA">
        <w:t xml:space="preserve">included in </w:t>
      </w:r>
      <w:r w:rsidRPr="00B265BA">
        <w:lastRenderedPageBreak/>
        <w:t xml:space="preserve">the </w:t>
      </w:r>
      <w:hyperlink r:id="rId33" w:history="1">
        <w:r w:rsidRPr="00B265BA">
          <w:rPr>
            <w:rStyle w:val="Hyperlink"/>
          </w:rPr>
          <w:t>EAPN Working Paper on A Framework Directive</w:t>
        </w:r>
      </w:hyperlink>
      <w:r w:rsidRPr="00B265BA">
        <w:t xml:space="preserve"> and in the </w:t>
      </w:r>
      <w:hyperlink r:id="rId34" w:history="1">
        <w:r w:rsidRPr="00B265BA">
          <w:rPr>
            <w:rStyle w:val="Hyperlink"/>
          </w:rPr>
          <w:t>Legal Opinion</w:t>
        </w:r>
      </w:hyperlink>
      <w:r w:rsidRPr="00B265BA">
        <w:t xml:space="preserve"> (2010) as well as in the Final Reports of the EMIN 1 and EMIN2 Projects</w:t>
      </w:r>
      <w:r w:rsidRPr="00B265BA">
        <w:rPr>
          <w:rStyle w:val="FootnoteReference"/>
        </w:rPr>
        <w:footnoteReference w:id="30"/>
      </w:r>
      <w:r w:rsidRPr="00B265BA">
        <w:t>).</w:t>
      </w:r>
    </w:p>
    <w:p w14:paraId="26B65B14" w14:textId="379D9CA1" w:rsidR="00CD7DBE" w:rsidRPr="00B265BA" w:rsidRDefault="00CD7DBE" w:rsidP="00CD7DBE">
      <w:pPr>
        <w:pStyle w:val="ListParagraph"/>
        <w:numPr>
          <w:ilvl w:val="0"/>
          <w:numId w:val="28"/>
        </w:numPr>
        <w:spacing w:after="0"/>
        <w:ind w:left="714" w:hanging="357"/>
        <w:jc w:val="both"/>
      </w:pPr>
      <w:r w:rsidRPr="00315AB5">
        <w:rPr>
          <w:b/>
          <w:bCs/>
        </w:rPr>
        <w:t xml:space="preserve">Support for an obligatory EU framework on MI has been gained from an increasing number of key actors </w:t>
      </w:r>
      <w:r w:rsidRPr="00B265BA">
        <w:t xml:space="preserve">galvanised by the work of EAPN and EMIN. These organisations include the </w:t>
      </w:r>
      <w:hyperlink r:id="rId35" w:history="1">
        <w:r w:rsidRPr="00B265BA">
          <w:rPr>
            <w:rStyle w:val="Hyperlink"/>
          </w:rPr>
          <w:t>EESC</w:t>
        </w:r>
      </w:hyperlink>
      <w:r w:rsidRPr="00B265BA">
        <w:t xml:space="preserve">, </w:t>
      </w:r>
      <w:hyperlink r:id="rId36" w:history="1">
        <w:r w:rsidRPr="00B265BA">
          <w:rPr>
            <w:rStyle w:val="Hyperlink"/>
          </w:rPr>
          <w:t>ETUC</w:t>
        </w:r>
      </w:hyperlink>
      <w:r w:rsidRPr="00B265BA">
        <w:t xml:space="preserve"> and</w:t>
      </w:r>
      <w:r>
        <w:t xml:space="preserve"> the</w:t>
      </w:r>
      <w:r w:rsidRPr="00B265BA">
        <w:t xml:space="preserve"> </w:t>
      </w:r>
      <w:hyperlink r:id="rId37" w:history="1">
        <w:r w:rsidRPr="00B265BA">
          <w:rPr>
            <w:rStyle w:val="Hyperlink"/>
          </w:rPr>
          <w:t>Social Platform</w:t>
        </w:r>
      </w:hyperlink>
      <w:r w:rsidRPr="00B265BA">
        <w:t>. There is also support for an EU framework to guarantee adequate national schemes from t</w:t>
      </w:r>
      <w:r>
        <w:t>he</w:t>
      </w:r>
      <w:r w:rsidRPr="00B265BA">
        <w:t xml:space="preserve"> </w:t>
      </w:r>
      <w:hyperlink r:id="rId38" w:history="1">
        <w:r w:rsidRPr="00B265BA">
          <w:rPr>
            <w:rStyle w:val="Hyperlink"/>
          </w:rPr>
          <w:t xml:space="preserve">European Parliament </w:t>
        </w:r>
        <w:r>
          <w:rPr>
            <w:rStyle w:val="Hyperlink"/>
          </w:rPr>
          <w:t>Resolution</w:t>
        </w:r>
        <w:r w:rsidRPr="00B265BA">
          <w:rPr>
            <w:rStyle w:val="Hyperlink"/>
          </w:rPr>
          <w:t xml:space="preserve"> </w:t>
        </w:r>
        <w:r>
          <w:rPr>
            <w:rStyle w:val="Hyperlink"/>
          </w:rPr>
          <w:t xml:space="preserve">adopted </w:t>
        </w:r>
        <w:r w:rsidRPr="00B265BA">
          <w:rPr>
            <w:rStyle w:val="Hyperlink"/>
          </w:rPr>
          <w:t>in 2017.</w:t>
        </w:r>
      </w:hyperlink>
    </w:p>
    <w:p w14:paraId="2672203F" w14:textId="5A10B53F" w:rsidR="00CD7DBE" w:rsidRDefault="00CD7DBE" w:rsidP="00AC55CC">
      <w:pPr>
        <w:jc w:val="both"/>
        <w:rPr>
          <w:rFonts w:ascii="Calibri" w:eastAsiaTheme="minorEastAsia" w:hAnsi="Calibri" w:cs="Calibri"/>
          <w:kern w:val="24"/>
          <w:lang w:eastAsia="en-GB"/>
        </w:rPr>
      </w:pPr>
    </w:p>
    <w:p w14:paraId="7B91E33E" w14:textId="6F0D0894" w:rsidR="00D21A0D" w:rsidRPr="004B6616" w:rsidRDefault="00D21A0D">
      <w:pPr>
        <w:rPr>
          <w:b/>
          <w:bCs/>
          <w:sz w:val="24"/>
          <w:szCs w:val="24"/>
        </w:rPr>
      </w:pPr>
      <w:r w:rsidRPr="004B6616">
        <w:rPr>
          <w:b/>
          <w:bCs/>
          <w:sz w:val="24"/>
          <w:szCs w:val="24"/>
        </w:rPr>
        <w:t>PRINCIPLE 12</w:t>
      </w:r>
      <w:r w:rsidR="00AC55CC" w:rsidRPr="004B6616">
        <w:rPr>
          <w:b/>
          <w:bCs/>
          <w:sz w:val="24"/>
          <w:szCs w:val="24"/>
        </w:rPr>
        <w:t>: SOCIAL PROTECTION</w:t>
      </w:r>
    </w:p>
    <w:p w14:paraId="7597362F" w14:textId="70B273D9" w:rsidR="00C44002" w:rsidRDefault="004E23B1" w:rsidP="00571BD7">
      <w:pPr>
        <w:pBdr>
          <w:top w:val="single" w:sz="4" w:space="1" w:color="auto"/>
          <w:left w:val="single" w:sz="4" w:space="4" w:color="auto"/>
          <w:bottom w:val="single" w:sz="4" w:space="1" w:color="auto"/>
          <w:right w:val="single" w:sz="4" w:space="4" w:color="auto"/>
        </w:pBdr>
        <w:jc w:val="both"/>
        <w:rPr>
          <w:rFonts w:cstheme="minorHAnsi"/>
          <w:shd w:val="clear" w:color="auto" w:fill="FFFFFF"/>
        </w:rPr>
      </w:pPr>
      <w:r w:rsidRPr="004E23B1">
        <w:rPr>
          <w:rFonts w:cstheme="minorHAnsi"/>
          <w:b/>
          <w:shd w:val="clear" w:color="auto" w:fill="FFFFFF"/>
        </w:rPr>
        <w:t xml:space="preserve">SDG </w:t>
      </w:r>
      <w:r w:rsidR="00C44002" w:rsidRPr="004E23B1">
        <w:rPr>
          <w:rFonts w:cstheme="minorHAnsi"/>
          <w:b/>
          <w:shd w:val="clear" w:color="auto" w:fill="FFFFFF"/>
        </w:rPr>
        <w:t>Goal 1 and Goal 10</w:t>
      </w:r>
      <w:r w:rsidR="00C44002" w:rsidRPr="004E23B1">
        <w:rPr>
          <w:rFonts w:cstheme="minorHAnsi"/>
          <w:shd w:val="clear" w:color="auto" w:fill="FFFFFF"/>
        </w:rPr>
        <w:t xml:space="preserve"> </w:t>
      </w:r>
      <w:r w:rsidR="00C44002" w:rsidRPr="0084777B">
        <w:rPr>
          <w:rFonts w:cstheme="minorHAnsi"/>
          <w:shd w:val="clear" w:color="auto" w:fill="FFFFFF"/>
        </w:rPr>
        <w:t>seeks to “</w:t>
      </w:r>
      <w:r w:rsidR="00C44002" w:rsidRPr="00205FD4">
        <w:rPr>
          <w:rStyle w:val="Strong"/>
          <w:rFonts w:cstheme="minorHAnsi"/>
          <w:shd w:val="clear" w:color="auto" w:fill="FFFFFF"/>
        </w:rPr>
        <w:t>reduce inequality</w:t>
      </w:r>
      <w:r w:rsidR="00C44002" w:rsidRPr="0084777B">
        <w:rPr>
          <w:rStyle w:val="Strong"/>
          <w:rFonts w:cstheme="minorHAnsi"/>
          <w:shd w:val="clear" w:color="auto" w:fill="FFFFFF"/>
        </w:rPr>
        <w:t xml:space="preserve"> within and among countries</w:t>
      </w:r>
      <w:r w:rsidR="00C44002" w:rsidRPr="0084777B">
        <w:rPr>
          <w:rFonts w:cstheme="minorHAnsi"/>
          <w:shd w:val="clear" w:color="auto" w:fill="FFFFFF"/>
        </w:rPr>
        <w:t xml:space="preserve">”, emphasizing income growth of the bottom 40 per cent of the population, </w:t>
      </w:r>
      <w:r w:rsidR="00C44002" w:rsidRPr="00D13CC3">
        <w:rPr>
          <w:rFonts w:cstheme="minorHAnsi"/>
          <w:b/>
          <w:shd w:val="clear" w:color="auto" w:fill="FFFFFF"/>
        </w:rPr>
        <w:t>the elimination of discrimination</w:t>
      </w:r>
      <w:r w:rsidR="00C44002" w:rsidRPr="0084777B">
        <w:rPr>
          <w:rFonts w:cstheme="minorHAnsi"/>
          <w:shd w:val="clear" w:color="auto" w:fill="FFFFFF"/>
        </w:rPr>
        <w:t xml:space="preserve">, as well as the adoption of policies, especially fiscal, wage and </w:t>
      </w:r>
      <w:r w:rsidR="00C44002" w:rsidRPr="00205FD4">
        <w:rPr>
          <w:rFonts w:cstheme="minorHAnsi"/>
          <w:b/>
          <w:shd w:val="clear" w:color="auto" w:fill="FFFFFF"/>
        </w:rPr>
        <w:t>social protection policies</w:t>
      </w:r>
      <w:r w:rsidR="00C44002">
        <w:rPr>
          <w:rFonts w:cstheme="minorHAnsi"/>
          <w:shd w:val="clear" w:color="auto" w:fill="FFFFFF"/>
        </w:rPr>
        <w:t>.</w:t>
      </w:r>
    </w:p>
    <w:p w14:paraId="7431AE2E" w14:textId="1428FE27" w:rsidR="00EB553D" w:rsidRPr="008772A3" w:rsidRDefault="007E52B9" w:rsidP="00FF0BC9">
      <w:pPr>
        <w:pStyle w:val="NormalWeb"/>
        <w:spacing w:before="0" w:after="0"/>
        <w:jc w:val="both"/>
        <w:rPr>
          <w:rFonts w:asciiTheme="minorHAnsi" w:hAnsiTheme="minorHAnsi" w:cstheme="minorHAnsi"/>
          <w:sz w:val="22"/>
          <w:szCs w:val="22"/>
        </w:rPr>
      </w:pPr>
      <w:r w:rsidRPr="00EB553D">
        <w:rPr>
          <w:rFonts w:asciiTheme="minorHAnsi" w:hAnsiTheme="minorHAnsi" w:cstheme="minorHAnsi"/>
          <w:b/>
          <w:bCs/>
          <w:sz w:val="22"/>
          <w:szCs w:val="22"/>
        </w:rPr>
        <w:t xml:space="preserve">EAPN in its </w:t>
      </w:r>
      <w:hyperlink r:id="rId39" w:history="1">
        <w:r w:rsidRPr="00EB553D">
          <w:rPr>
            <w:rStyle w:val="Hyperlink"/>
            <w:rFonts w:asciiTheme="minorHAnsi" w:hAnsiTheme="minorHAnsi" w:cstheme="minorHAnsi"/>
            <w:b/>
            <w:bCs/>
            <w:sz w:val="22"/>
            <w:szCs w:val="22"/>
          </w:rPr>
          <w:t>response to the consultati</w:t>
        </w:r>
        <w:r w:rsidR="00EB553D" w:rsidRPr="00EB553D">
          <w:rPr>
            <w:rStyle w:val="Hyperlink"/>
            <w:rFonts w:asciiTheme="minorHAnsi" w:hAnsiTheme="minorHAnsi" w:cstheme="minorHAnsi"/>
            <w:b/>
            <w:bCs/>
            <w:sz w:val="22"/>
            <w:szCs w:val="22"/>
          </w:rPr>
          <w:t>on on Access to Social Protection</w:t>
        </w:r>
      </w:hyperlink>
      <w:r w:rsidR="00EB553D">
        <w:rPr>
          <w:rFonts w:asciiTheme="minorHAnsi" w:hAnsiTheme="minorHAnsi" w:cstheme="minorHAnsi"/>
          <w:b/>
          <w:bCs/>
          <w:sz w:val="22"/>
          <w:szCs w:val="22"/>
        </w:rPr>
        <w:t xml:space="preserve"> (2018)</w:t>
      </w:r>
      <w:r w:rsidRPr="008772A3">
        <w:rPr>
          <w:rFonts w:asciiTheme="minorHAnsi" w:hAnsiTheme="minorHAnsi" w:cstheme="minorHAnsi"/>
          <w:sz w:val="22"/>
          <w:szCs w:val="22"/>
        </w:rPr>
        <w:t xml:space="preserve"> </w:t>
      </w:r>
      <w:r w:rsidR="00EB553D" w:rsidRPr="008772A3">
        <w:rPr>
          <w:rFonts w:asciiTheme="minorHAnsi" w:hAnsiTheme="minorHAnsi" w:cstheme="minorHAnsi"/>
          <w:sz w:val="22"/>
          <w:szCs w:val="22"/>
        </w:rPr>
        <w:t>highlighted 5 key challenges in its response:</w:t>
      </w:r>
    </w:p>
    <w:p w14:paraId="55CE89B5" w14:textId="39769044" w:rsidR="00EB553D" w:rsidRPr="008772A3" w:rsidRDefault="00EB553D" w:rsidP="00FF0BC9">
      <w:pPr>
        <w:pStyle w:val="NormalWeb"/>
        <w:spacing w:before="0" w:after="0"/>
        <w:jc w:val="both"/>
        <w:rPr>
          <w:rFonts w:asciiTheme="minorHAnsi" w:hAnsiTheme="minorHAnsi" w:cstheme="minorHAnsi"/>
          <w:sz w:val="22"/>
          <w:szCs w:val="22"/>
        </w:rPr>
      </w:pPr>
      <w:r w:rsidRPr="008772A3">
        <w:rPr>
          <w:rFonts w:asciiTheme="minorHAnsi" w:hAnsiTheme="minorHAnsi" w:cstheme="minorHAnsi"/>
          <w:sz w:val="22"/>
          <w:szCs w:val="22"/>
        </w:rPr>
        <w:t xml:space="preserve">1) </w:t>
      </w:r>
      <w:r w:rsidR="007E52B9" w:rsidRPr="008772A3">
        <w:rPr>
          <w:rStyle w:val="Strong"/>
          <w:rFonts w:asciiTheme="minorHAnsi" w:hAnsiTheme="minorHAnsi" w:cstheme="minorHAnsi"/>
          <w:sz w:val="22"/>
          <w:szCs w:val="22"/>
        </w:rPr>
        <w:t>Social protection should not be restricted to those in work, but cover risks of all throughout the lifecycle, regardless of employment status.</w:t>
      </w:r>
      <w:r w:rsidR="007E52B9" w:rsidRPr="008772A3">
        <w:rPr>
          <w:rFonts w:asciiTheme="minorHAnsi" w:hAnsiTheme="minorHAnsi" w:cstheme="minorHAnsi"/>
          <w:sz w:val="22"/>
          <w:szCs w:val="22"/>
        </w:rPr>
        <w:t xml:space="preserve"> Adequate social protection for all, providing for lives in dignity for both those who can and cannot work, is the cornerstone of both an inclusive Europe, free of poverty, as well as a sustainable recovery, as per the EPSR principl</w:t>
      </w:r>
      <w:r w:rsidRPr="008772A3">
        <w:rPr>
          <w:rFonts w:asciiTheme="minorHAnsi" w:hAnsiTheme="minorHAnsi" w:cstheme="minorHAnsi"/>
          <w:sz w:val="22"/>
          <w:szCs w:val="22"/>
        </w:rPr>
        <w:t>e</w:t>
      </w:r>
      <w:r w:rsidR="008772A3">
        <w:rPr>
          <w:rFonts w:asciiTheme="minorHAnsi" w:hAnsiTheme="minorHAnsi" w:cstheme="minorHAnsi"/>
          <w:sz w:val="22"/>
          <w:szCs w:val="22"/>
        </w:rPr>
        <w:t>.</w:t>
      </w:r>
    </w:p>
    <w:p w14:paraId="564252CF" w14:textId="25F7FF37" w:rsidR="007E52B9" w:rsidRPr="008772A3" w:rsidRDefault="00EB553D" w:rsidP="00FF0BC9">
      <w:pPr>
        <w:pStyle w:val="NormalWeb"/>
        <w:spacing w:before="0" w:after="0"/>
        <w:jc w:val="both"/>
        <w:rPr>
          <w:rFonts w:asciiTheme="minorHAnsi" w:hAnsiTheme="minorHAnsi" w:cstheme="minorHAnsi"/>
          <w:sz w:val="22"/>
          <w:szCs w:val="22"/>
        </w:rPr>
      </w:pPr>
      <w:r w:rsidRPr="008772A3">
        <w:rPr>
          <w:rFonts w:asciiTheme="minorHAnsi" w:hAnsiTheme="minorHAnsi" w:cstheme="minorHAnsi"/>
          <w:sz w:val="22"/>
          <w:szCs w:val="22"/>
        </w:rPr>
        <w:t>2)</w:t>
      </w:r>
      <w:r w:rsidR="00FD42B5" w:rsidRPr="008772A3">
        <w:rPr>
          <w:rFonts w:asciiTheme="minorHAnsi" w:hAnsiTheme="minorHAnsi" w:cstheme="minorHAnsi"/>
          <w:sz w:val="22"/>
          <w:szCs w:val="22"/>
        </w:rPr>
        <w:t xml:space="preserve"> </w:t>
      </w:r>
      <w:r w:rsidR="007E52B9" w:rsidRPr="008772A3">
        <w:rPr>
          <w:rStyle w:val="Strong"/>
          <w:rFonts w:asciiTheme="minorHAnsi" w:hAnsiTheme="minorHAnsi" w:cstheme="minorHAnsi"/>
          <w:sz w:val="22"/>
          <w:szCs w:val="22"/>
        </w:rPr>
        <w:t>This initiative must not implicitly encourage an employer culture when insecure contracts proliferate, nor a highly segmented labour market where unstable work is the norm.</w:t>
      </w:r>
      <w:r w:rsidR="008772A3">
        <w:rPr>
          <w:rFonts w:asciiTheme="minorHAnsi" w:hAnsiTheme="minorHAnsi" w:cstheme="minorHAnsi"/>
          <w:sz w:val="22"/>
          <w:szCs w:val="22"/>
        </w:rPr>
        <w:t xml:space="preserve"> W</w:t>
      </w:r>
      <w:r w:rsidR="007E52B9" w:rsidRPr="008772A3">
        <w:rPr>
          <w:rFonts w:asciiTheme="minorHAnsi" w:hAnsiTheme="minorHAnsi" w:cstheme="minorHAnsi"/>
          <w:sz w:val="22"/>
          <w:szCs w:val="22"/>
        </w:rPr>
        <w:t>hile reinforcing income security and providing adequate coverage for all workers, and particularly those in precarious employment, is crucial, quality and sustainability of work and employment, stable contracts and adequate pay and social security contributions.</w:t>
      </w:r>
    </w:p>
    <w:p w14:paraId="496FB181" w14:textId="7CD448B3" w:rsidR="007E52B9" w:rsidRPr="008772A3" w:rsidRDefault="00EB553D" w:rsidP="00FF0BC9">
      <w:pPr>
        <w:pStyle w:val="NormalWeb"/>
        <w:spacing w:before="0" w:after="0"/>
        <w:jc w:val="both"/>
        <w:rPr>
          <w:rFonts w:asciiTheme="minorHAnsi" w:hAnsiTheme="minorHAnsi" w:cstheme="minorHAnsi"/>
          <w:sz w:val="22"/>
          <w:szCs w:val="22"/>
        </w:rPr>
      </w:pPr>
      <w:r w:rsidRPr="008772A3">
        <w:rPr>
          <w:rStyle w:val="Strong"/>
          <w:rFonts w:asciiTheme="minorHAnsi" w:hAnsiTheme="minorHAnsi" w:cstheme="minorHAnsi"/>
          <w:sz w:val="22"/>
          <w:szCs w:val="22"/>
        </w:rPr>
        <w:t>3) The r</w:t>
      </w:r>
      <w:r w:rsidR="007E52B9" w:rsidRPr="008772A3">
        <w:rPr>
          <w:rStyle w:val="Strong"/>
          <w:rFonts w:asciiTheme="minorHAnsi" w:hAnsiTheme="minorHAnsi" w:cstheme="minorHAnsi"/>
          <w:sz w:val="22"/>
          <w:szCs w:val="22"/>
        </w:rPr>
        <w:t>esponsibility of providing adequate social protection rests with contractual relations and the welfare state</w:t>
      </w:r>
      <w:r w:rsidR="007E52B9" w:rsidRPr="008772A3">
        <w:rPr>
          <w:rFonts w:asciiTheme="minorHAnsi" w:hAnsiTheme="minorHAnsi" w:cstheme="minorHAnsi"/>
          <w:sz w:val="22"/>
          <w:szCs w:val="22"/>
        </w:rPr>
        <w:t>. EAPN denounces any attempt to shift responsibility to the individual, or to move towards a private insurance system of social protection.</w:t>
      </w:r>
      <w:r w:rsidR="00596BF3">
        <w:rPr>
          <w:rFonts w:asciiTheme="minorHAnsi" w:hAnsiTheme="minorHAnsi" w:cstheme="minorHAnsi"/>
          <w:sz w:val="22"/>
          <w:szCs w:val="22"/>
        </w:rPr>
        <w:t xml:space="preserve"> Protection should be given to a state insurance system in which all pay their fair share, with increased support from progressive taxation.</w:t>
      </w:r>
      <w:r w:rsidR="007E52B9" w:rsidRPr="008772A3">
        <w:rPr>
          <w:rFonts w:asciiTheme="minorHAnsi" w:hAnsiTheme="minorHAnsi" w:cstheme="minorHAnsi"/>
          <w:sz w:val="22"/>
          <w:szCs w:val="22"/>
        </w:rPr>
        <w:t xml:space="preserve"> Benefits like health and family care should be redistributive, not </w:t>
      </w:r>
      <w:r w:rsidR="00FF0BC9" w:rsidRPr="008772A3">
        <w:rPr>
          <w:rFonts w:asciiTheme="minorHAnsi" w:hAnsiTheme="minorHAnsi" w:cstheme="minorHAnsi"/>
          <w:sz w:val="22"/>
          <w:szCs w:val="22"/>
        </w:rPr>
        <w:t>based only on employment-based contributions.</w:t>
      </w:r>
    </w:p>
    <w:p w14:paraId="5CF987B0" w14:textId="45F3ED61" w:rsidR="007E52B9" w:rsidRPr="008772A3" w:rsidRDefault="00EB553D" w:rsidP="00FF0BC9">
      <w:pPr>
        <w:pStyle w:val="NormalWeb"/>
        <w:spacing w:before="0" w:after="0"/>
        <w:jc w:val="both"/>
        <w:rPr>
          <w:rFonts w:asciiTheme="minorHAnsi" w:hAnsiTheme="minorHAnsi" w:cstheme="minorHAnsi"/>
          <w:sz w:val="22"/>
          <w:szCs w:val="22"/>
        </w:rPr>
      </w:pPr>
      <w:r w:rsidRPr="008772A3">
        <w:rPr>
          <w:rFonts w:asciiTheme="minorHAnsi" w:hAnsiTheme="minorHAnsi" w:cstheme="minorHAnsi"/>
          <w:sz w:val="22"/>
          <w:szCs w:val="22"/>
        </w:rPr>
        <w:t xml:space="preserve">4) </w:t>
      </w:r>
      <w:r w:rsidR="007E52B9" w:rsidRPr="008772A3">
        <w:rPr>
          <w:rStyle w:val="Strong"/>
          <w:rFonts w:asciiTheme="minorHAnsi" w:hAnsiTheme="minorHAnsi" w:cstheme="minorHAnsi"/>
          <w:sz w:val="22"/>
          <w:szCs w:val="22"/>
        </w:rPr>
        <w:t>Coverage by adequate social security must be mandatory.</w:t>
      </w:r>
      <w:r w:rsidR="007E52B9" w:rsidRPr="008772A3">
        <w:rPr>
          <w:rFonts w:asciiTheme="minorHAnsi" w:hAnsiTheme="minorHAnsi" w:cstheme="minorHAnsi"/>
          <w:sz w:val="22"/>
          <w:szCs w:val="22"/>
        </w:rPr>
        <w:t xml:space="preserve"> As identified in the background paper, lack of</w:t>
      </w:r>
      <w:r w:rsidR="00596BF3">
        <w:rPr>
          <w:rFonts w:asciiTheme="minorHAnsi" w:hAnsiTheme="minorHAnsi" w:cstheme="minorHAnsi"/>
          <w:sz w:val="22"/>
          <w:szCs w:val="22"/>
        </w:rPr>
        <w:t xml:space="preserve"> understandable</w:t>
      </w:r>
      <w:r w:rsidR="007E52B9" w:rsidRPr="008772A3">
        <w:rPr>
          <w:rFonts w:asciiTheme="minorHAnsi" w:hAnsiTheme="minorHAnsi" w:cstheme="minorHAnsi"/>
          <w:sz w:val="22"/>
          <w:szCs w:val="22"/>
        </w:rPr>
        <w:t xml:space="preserve"> information about one’s rights, or difficulty in tackling the associated red tapes, are strong deterrents in the redistribution of rights and resources. All workers, regardless of type of contractual arrangement or other distinction, must benefit from the same portable employment rights and entitlements, and mandatory coverage by adequate social protection.</w:t>
      </w:r>
    </w:p>
    <w:p w14:paraId="6BD7655E" w14:textId="2C2232F5" w:rsidR="007E52B9" w:rsidRPr="008772A3" w:rsidRDefault="00EB553D" w:rsidP="00FF0BC9">
      <w:pPr>
        <w:pStyle w:val="NormalWeb"/>
        <w:spacing w:before="0" w:after="0"/>
        <w:jc w:val="both"/>
        <w:rPr>
          <w:rFonts w:asciiTheme="minorHAnsi" w:hAnsiTheme="minorHAnsi" w:cstheme="minorHAnsi"/>
          <w:sz w:val="22"/>
          <w:szCs w:val="22"/>
        </w:rPr>
      </w:pPr>
      <w:r w:rsidRPr="008772A3">
        <w:rPr>
          <w:rFonts w:asciiTheme="minorHAnsi" w:hAnsiTheme="minorHAnsi" w:cstheme="minorHAnsi"/>
          <w:sz w:val="22"/>
          <w:szCs w:val="22"/>
        </w:rPr>
        <w:t xml:space="preserve">5) </w:t>
      </w:r>
      <w:r w:rsidR="00FF0BC9" w:rsidRPr="008772A3">
        <w:rPr>
          <w:rStyle w:val="Strong"/>
          <w:rFonts w:asciiTheme="minorHAnsi" w:hAnsiTheme="minorHAnsi" w:cstheme="minorHAnsi"/>
          <w:sz w:val="22"/>
          <w:szCs w:val="22"/>
        </w:rPr>
        <w:t>T</w:t>
      </w:r>
      <w:r w:rsidR="007E52B9" w:rsidRPr="008772A3">
        <w:rPr>
          <w:rStyle w:val="Strong"/>
          <w:rFonts w:asciiTheme="minorHAnsi" w:hAnsiTheme="minorHAnsi" w:cstheme="minorHAnsi"/>
          <w:sz w:val="22"/>
          <w:szCs w:val="22"/>
        </w:rPr>
        <w:t xml:space="preserve">rade-off between coverage and adequacy. </w:t>
      </w:r>
      <w:r w:rsidR="007E52B9" w:rsidRPr="008772A3">
        <w:rPr>
          <w:rFonts w:asciiTheme="minorHAnsi" w:hAnsiTheme="minorHAnsi" w:cstheme="minorHAnsi"/>
          <w:sz w:val="22"/>
          <w:szCs w:val="22"/>
        </w:rPr>
        <w:t>While striving to not leave anybody behind, all benefits must be set at a level which affords recipients and their families a life in dignity, avoiding a situation where providing for more people results in lower levels of income support.</w:t>
      </w:r>
    </w:p>
    <w:p w14:paraId="2C60708B" w14:textId="170B3A17" w:rsidR="00FF0BC9" w:rsidRPr="004E23B1" w:rsidRDefault="00EB553D" w:rsidP="00FF0BC9">
      <w:pPr>
        <w:pStyle w:val="NormalWeb"/>
        <w:spacing w:before="0" w:after="0"/>
        <w:jc w:val="both"/>
        <w:rPr>
          <w:rFonts w:asciiTheme="minorHAnsi" w:hAnsiTheme="minorHAnsi" w:cstheme="minorHAnsi"/>
          <w:sz w:val="22"/>
          <w:szCs w:val="22"/>
        </w:rPr>
      </w:pPr>
      <w:r w:rsidRPr="00C71DA7">
        <w:rPr>
          <w:rFonts w:asciiTheme="minorHAnsi" w:hAnsiTheme="minorHAnsi" w:cstheme="minorHAnsi"/>
          <w:b/>
          <w:bCs/>
          <w:sz w:val="22"/>
          <w:szCs w:val="22"/>
        </w:rPr>
        <w:t>EAPN welcomed the Council Recommendation on Access to Social Protection</w:t>
      </w:r>
      <w:r w:rsidR="00C5019D" w:rsidRPr="00C71DA7">
        <w:rPr>
          <w:rFonts w:asciiTheme="minorHAnsi" w:hAnsiTheme="minorHAnsi" w:cstheme="minorHAnsi"/>
          <w:b/>
          <w:bCs/>
          <w:sz w:val="22"/>
          <w:szCs w:val="22"/>
        </w:rPr>
        <w:t xml:space="preserve"> </w:t>
      </w:r>
      <w:r w:rsidRPr="00C71DA7">
        <w:rPr>
          <w:rFonts w:asciiTheme="minorHAnsi" w:hAnsiTheme="minorHAnsi" w:cstheme="minorHAnsi"/>
          <w:b/>
          <w:bCs/>
          <w:sz w:val="22"/>
          <w:szCs w:val="22"/>
        </w:rPr>
        <w:t>but raised doubts to its effectiveness</w:t>
      </w:r>
      <w:r w:rsidRPr="008772A3">
        <w:rPr>
          <w:rFonts w:asciiTheme="minorHAnsi" w:hAnsiTheme="minorHAnsi" w:cstheme="minorHAnsi"/>
          <w:sz w:val="22"/>
          <w:szCs w:val="22"/>
        </w:rPr>
        <w:t xml:space="preserve"> in providing the necessary level of adequate protection</w:t>
      </w:r>
      <w:r w:rsidR="006B2383" w:rsidRPr="008772A3">
        <w:rPr>
          <w:rFonts w:asciiTheme="minorHAnsi" w:hAnsiTheme="minorHAnsi" w:cstheme="minorHAnsi"/>
          <w:sz w:val="22"/>
          <w:szCs w:val="22"/>
        </w:rPr>
        <w:t xml:space="preserve"> to all workers</w:t>
      </w:r>
      <w:r w:rsidRPr="008772A3">
        <w:rPr>
          <w:rFonts w:asciiTheme="minorHAnsi" w:hAnsiTheme="minorHAnsi" w:cstheme="minorHAnsi"/>
          <w:sz w:val="22"/>
          <w:szCs w:val="22"/>
        </w:rPr>
        <w:t xml:space="preserve"> regardless of employment status, particularly in the context of increasingly precarious new ways of work.</w:t>
      </w:r>
      <w:r w:rsidR="006B2383" w:rsidRPr="008772A3">
        <w:rPr>
          <w:rFonts w:asciiTheme="minorHAnsi" w:hAnsiTheme="minorHAnsi" w:cstheme="minorHAnsi"/>
          <w:sz w:val="22"/>
          <w:szCs w:val="22"/>
        </w:rPr>
        <w:t xml:space="preserve"> A longer-term problem is the limited </w:t>
      </w:r>
      <w:r w:rsidR="00C5019D">
        <w:rPr>
          <w:rFonts w:asciiTheme="minorHAnsi" w:hAnsiTheme="minorHAnsi" w:cstheme="minorHAnsi"/>
          <w:sz w:val="22"/>
          <w:szCs w:val="22"/>
        </w:rPr>
        <w:t>EU definition of the scope of</w:t>
      </w:r>
      <w:r w:rsidR="006B2383" w:rsidRPr="008772A3">
        <w:rPr>
          <w:rFonts w:asciiTheme="minorHAnsi" w:hAnsiTheme="minorHAnsi" w:cstheme="minorHAnsi"/>
          <w:sz w:val="22"/>
          <w:szCs w:val="22"/>
        </w:rPr>
        <w:t xml:space="preserve"> social protection, rather than the broader </w:t>
      </w:r>
      <w:r w:rsidR="006B2383" w:rsidRPr="004E23B1">
        <w:rPr>
          <w:rFonts w:asciiTheme="minorHAnsi" w:hAnsiTheme="minorHAnsi" w:cstheme="minorHAnsi"/>
          <w:sz w:val="22"/>
          <w:szCs w:val="22"/>
        </w:rPr>
        <w:lastRenderedPageBreak/>
        <w:t xml:space="preserve">approach of the </w:t>
      </w:r>
      <w:hyperlink r:id="rId40" w:history="1">
        <w:r w:rsidR="006B2383" w:rsidRPr="004E23B1">
          <w:rPr>
            <w:rStyle w:val="Hyperlink"/>
            <w:rFonts w:asciiTheme="minorHAnsi" w:eastAsiaTheme="minorHAnsi" w:hAnsiTheme="minorHAnsi" w:cstheme="minorHAnsi"/>
            <w:sz w:val="22"/>
            <w:szCs w:val="22"/>
            <w:lang w:eastAsia="en-US"/>
          </w:rPr>
          <w:t>UN/ILO Social Protection floor</w:t>
        </w:r>
      </w:hyperlink>
      <w:r w:rsidR="006B2383" w:rsidRPr="004E23B1">
        <w:rPr>
          <w:rFonts w:asciiTheme="minorHAnsi" w:hAnsiTheme="minorHAnsi" w:cstheme="minorHAnsi"/>
          <w:sz w:val="22"/>
          <w:szCs w:val="22"/>
        </w:rPr>
        <w:t xml:space="preserve">, </w:t>
      </w:r>
      <w:r w:rsidR="00FF0BC9" w:rsidRPr="004E23B1">
        <w:rPr>
          <w:rFonts w:asciiTheme="minorHAnsi" w:hAnsiTheme="minorHAnsi" w:cstheme="minorHAnsi"/>
          <w:sz w:val="22"/>
          <w:szCs w:val="22"/>
        </w:rPr>
        <w:t xml:space="preserve">which </w:t>
      </w:r>
      <w:r w:rsidR="00C5019D" w:rsidRPr="004E23B1">
        <w:rPr>
          <w:rFonts w:asciiTheme="minorHAnsi" w:hAnsiTheme="minorHAnsi" w:cstheme="minorHAnsi"/>
          <w:sz w:val="22"/>
          <w:szCs w:val="22"/>
        </w:rPr>
        <w:t>treats</w:t>
      </w:r>
      <w:r w:rsidR="00FF0BC9" w:rsidRPr="004E23B1">
        <w:rPr>
          <w:rFonts w:asciiTheme="minorHAnsi" w:hAnsiTheme="minorHAnsi" w:cstheme="minorHAnsi"/>
          <w:sz w:val="22"/>
          <w:szCs w:val="22"/>
        </w:rPr>
        <w:t xml:space="preserve"> </w:t>
      </w:r>
      <w:r w:rsidR="006B2383" w:rsidRPr="004E23B1">
        <w:rPr>
          <w:rFonts w:asciiTheme="minorHAnsi" w:hAnsiTheme="minorHAnsi" w:cstheme="minorHAnsi"/>
          <w:sz w:val="22"/>
          <w:szCs w:val="22"/>
        </w:rPr>
        <w:t xml:space="preserve">social protection as a basic right, through the life cycle, </w:t>
      </w:r>
      <w:r w:rsidR="00FF0BC9" w:rsidRPr="004E23B1">
        <w:rPr>
          <w:rFonts w:asciiTheme="minorHAnsi" w:hAnsiTheme="minorHAnsi" w:cstheme="minorHAnsi"/>
          <w:sz w:val="22"/>
          <w:szCs w:val="22"/>
        </w:rPr>
        <w:t>irrespective of employment situation and status, underpinned by</w:t>
      </w:r>
      <w:r w:rsidR="006B2383" w:rsidRPr="004E23B1">
        <w:rPr>
          <w:rFonts w:asciiTheme="minorHAnsi" w:hAnsiTheme="minorHAnsi" w:cstheme="minorHAnsi"/>
          <w:sz w:val="22"/>
          <w:szCs w:val="22"/>
        </w:rPr>
        <w:t xml:space="preserve"> re-distributive tax funding rather than</w:t>
      </w:r>
      <w:r w:rsidR="001B58D1" w:rsidRPr="004E23B1">
        <w:rPr>
          <w:rFonts w:asciiTheme="minorHAnsi" w:hAnsiTheme="minorHAnsi" w:cstheme="minorHAnsi"/>
          <w:sz w:val="22"/>
          <w:szCs w:val="22"/>
        </w:rPr>
        <w:t xml:space="preserve"> only</w:t>
      </w:r>
      <w:r w:rsidR="006B2383" w:rsidRPr="004E23B1">
        <w:rPr>
          <w:rFonts w:asciiTheme="minorHAnsi" w:hAnsiTheme="minorHAnsi" w:cstheme="minorHAnsi"/>
          <w:sz w:val="22"/>
          <w:szCs w:val="22"/>
        </w:rPr>
        <w:t xml:space="preserve"> </w:t>
      </w:r>
      <w:r w:rsidR="00FF0BC9" w:rsidRPr="004E23B1">
        <w:rPr>
          <w:rFonts w:asciiTheme="minorHAnsi" w:hAnsiTheme="minorHAnsi" w:cstheme="minorHAnsi"/>
          <w:sz w:val="22"/>
          <w:szCs w:val="22"/>
        </w:rPr>
        <w:t>employment-based contributions.</w:t>
      </w:r>
    </w:p>
    <w:p w14:paraId="105EB77D" w14:textId="3C7D28E7" w:rsidR="00596BF3" w:rsidRPr="004E23B1" w:rsidRDefault="006B2383" w:rsidP="00596BF3">
      <w:pPr>
        <w:rPr>
          <w:rFonts w:cstheme="minorHAnsi"/>
          <w:lang w:val="en-US"/>
        </w:rPr>
      </w:pPr>
      <w:r w:rsidRPr="004E23B1">
        <w:rPr>
          <w:rFonts w:cstheme="minorHAnsi"/>
        </w:rPr>
        <w:t xml:space="preserve">A further concern </w:t>
      </w:r>
      <w:r w:rsidR="001B58D1" w:rsidRPr="004E23B1">
        <w:rPr>
          <w:rFonts w:cstheme="minorHAnsi"/>
        </w:rPr>
        <w:t>is</w:t>
      </w:r>
      <w:r w:rsidRPr="004E23B1">
        <w:rPr>
          <w:rFonts w:cstheme="minorHAnsi"/>
        </w:rPr>
        <w:t xml:space="preserve"> the continuing evidence that the European Semester </w:t>
      </w:r>
      <w:r w:rsidR="001B58D1" w:rsidRPr="00571BD7">
        <w:rPr>
          <w:rFonts w:cstheme="minorHAnsi"/>
          <w:b/>
          <w:bCs/>
        </w:rPr>
        <w:t xml:space="preserve">treats </w:t>
      </w:r>
      <w:r w:rsidRPr="00571BD7">
        <w:rPr>
          <w:rFonts w:cstheme="minorHAnsi"/>
          <w:b/>
          <w:bCs/>
        </w:rPr>
        <w:t xml:space="preserve">social  protection </w:t>
      </w:r>
      <w:r w:rsidR="001B58D1" w:rsidRPr="00571BD7">
        <w:rPr>
          <w:rFonts w:cstheme="minorHAnsi"/>
          <w:b/>
          <w:bCs/>
        </w:rPr>
        <w:t xml:space="preserve">primarily </w:t>
      </w:r>
      <w:r w:rsidRPr="00571BD7">
        <w:rPr>
          <w:rFonts w:cstheme="minorHAnsi"/>
          <w:b/>
          <w:bCs/>
        </w:rPr>
        <w:t>as a cost, rather than an investment,</w:t>
      </w:r>
      <w:r w:rsidRPr="004E23B1">
        <w:rPr>
          <w:rFonts w:cstheme="minorHAnsi"/>
        </w:rPr>
        <w:t xml:space="preserve"> with the primary focus of the CSRs focused on ‘sustainability’ and cost effectiveness of national systems, as the dominant objective in the CSRs, rather than adequacy linked to Principle 12.</w:t>
      </w:r>
      <w:r w:rsidRPr="004E23B1">
        <w:rPr>
          <w:rStyle w:val="FootnoteReference"/>
          <w:rFonts w:cstheme="minorHAnsi"/>
        </w:rPr>
        <w:footnoteReference w:id="31"/>
      </w:r>
      <w:r w:rsidR="00596BF3" w:rsidRPr="004E23B1">
        <w:rPr>
          <w:rFonts w:cstheme="minorHAnsi"/>
          <w:lang w:val="en-US"/>
        </w:rPr>
        <w:t xml:space="preserve"> Studies show that MS with a high level of social security and pro</w:t>
      </w:r>
      <w:r w:rsidR="004E23B1" w:rsidRPr="004E23B1">
        <w:rPr>
          <w:rFonts w:cstheme="minorHAnsi"/>
          <w:lang w:val="en-US"/>
        </w:rPr>
        <w:t>t</w:t>
      </w:r>
      <w:r w:rsidR="00596BF3" w:rsidRPr="004E23B1">
        <w:rPr>
          <w:rFonts w:cstheme="minorHAnsi"/>
          <w:lang w:val="en-US"/>
        </w:rPr>
        <w:t>ection have a higher work efficiency.</w:t>
      </w:r>
    </w:p>
    <w:p w14:paraId="4B824A26" w14:textId="00ED71C3" w:rsidR="001B58D1" w:rsidRDefault="00EB553D" w:rsidP="00FD42B5">
      <w:pPr>
        <w:pStyle w:val="NormalWeb"/>
        <w:spacing w:before="0" w:after="0"/>
        <w:jc w:val="both"/>
        <w:rPr>
          <w:rFonts w:asciiTheme="minorHAnsi" w:hAnsiTheme="minorHAnsi" w:cstheme="minorHAnsi"/>
          <w:sz w:val="22"/>
          <w:szCs w:val="22"/>
        </w:rPr>
      </w:pPr>
      <w:r w:rsidRPr="004E23B1">
        <w:rPr>
          <w:rFonts w:asciiTheme="minorHAnsi" w:hAnsiTheme="minorHAnsi" w:cstheme="minorHAnsi"/>
          <w:sz w:val="22"/>
          <w:szCs w:val="22"/>
        </w:rPr>
        <w:t xml:space="preserve">The </w:t>
      </w:r>
      <w:r w:rsidRPr="00571BD7">
        <w:rPr>
          <w:rFonts w:asciiTheme="minorHAnsi" w:hAnsiTheme="minorHAnsi" w:cstheme="minorHAnsi"/>
          <w:b/>
          <w:bCs/>
          <w:sz w:val="22"/>
          <w:szCs w:val="22"/>
        </w:rPr>
        <w:t>impact assessment of the proposal for a Recommendation on Access to Social Protection</w:t>
      </w:r>
      <w:r w:rsidRPr="004E23B1">
        <w:rPr>
          <w:rFonts w:asciiTheme="minorHAnsi" w:hAnsiTheme="minorHAnsi" w:cstheme="minorHAnsi"/>
          <w:sz w:val="22"/>
          <w:szCs w:val="22"/>
        </w:rPr>
        <w:t xml:space="preserve"> aptly describes the challenges behind Principle 12.</w:t>
      </w:r>
      <w:r w:rsidR="00CF364D" w:rsidRPr="004E23B1">
        <w:rPr>
          <w:rFonts w:asciiTheme="minorHAnsi" w:hAnsiTheme="minorHAnsi" w:cstheme="minorHAnsi"/>
          <w:sz w:val="22"/>
          <w:szCs w:val="22"/>
        </w:rPr>
        <w:t xml:space="preserve"> EAPN would be of the view that careful and transparent monitoring with stakeholders including civil society should be followed by an impact assessment in 4 </w:t>
      </w:r>
      <w:r w:rsidR="00FD42B5" w:rsidRPr="004E23B1">
        <w:rPr>
          <w:rFonts w:asciiTheme="minorHAnsi" w:hAnsiTheme="minorHAnsi" w:cstheme="minorHAnsi"/>
          <w:sz w:val="22"/>
          <w:szCs w:val="22"/>
        </w:rPr>
        <w:t>years’ time</w:t>
      </w:r>
      <w:r w:rsidR="00CF364D" w:rsidRPr="004E23B1">
        <w:rPr>
          <w:rFonts w:asciiTheme="minorHAnsi" w:hAnsiTheme="minorHAnsi" w:cstheme="minorHAnsi"/>
          <w:sz w:val="22"/>
          <w:szCs w:val="22"/>
        </w:rPr>
        <w:t xml:space="preserve">, to assess whether the Recommendation </w:t>
      </w:r>
      <w:r w:rsidR="00DB0408" w:rsidRPr="004E23B1">
        <w:rPr>
          <w:rFonts w:asciiTheme="minorHAnsi" w:hAnsiTheme="minorHAnsi" w:cstheme="minorHAnsi"/>
          <w:sz w:val="22"/>
          <w:szCs w:val="22"/>
        </w:rPr>
        <w:t xml:space="preserve">has been </w:t>
      </w:r>
      <w:r w:rsidR="00CF364D" w:rsidRPr="004E23B1">
        <w:rPr>
          <w:rFonts w:asciiTheme="minorHAnsi" w:hAnsiTheme="minorHAnsi" w:cstheme="minorHAnsi"/>
          <w:sz w:val="22"/>
          <w:szCs w:val="22"/>
        </w:rPr>
        <w:t>effective, or whether a Directive would be more suitable</w:t>
      </w:r>
      <w:r w:rsidR="00DB0408" w:rsidRPr="004E23B1">
        <w:rPr>
          <w:rFonts w:asciiTheme="minorHAnsi" w:hAnsiTheme="minorHAnsi" w:cstheme="minorHAnsi"/>
          <w:sz w:val="22"/>
          <w:szCs w:val="22"/>
        </w:rPr>
        <w:t>.</w:t>
      </w:r>
      <w:r w:rsidR="00FD42B5" w:rsidRPr="004E23B1">
        <w:rPr>
          <w:rFonts w:asciiTheme="minorHAnsi" w:hAnsiTheme="minorHAnsi" w:cstheme="minorHAnsi"/>
          <w:sz w:val="22"/>
          <w:szCs w:val="22"/>
        </w:rPr>
        <w:t xml:space="preserve"> </w:t>
      </w:r>
      <w:r w:rsidR="00CF364D" w:rsidRPr="004E23B1">
        <w:rPr>
          <w:rFonts w:asciiTheme="minorHAnsi" w:hAnsiTheme="minorHAnsi" w:cstheme="minorHAnsi"/>
          <w:sz w:val="22"/>
          <w:szCs w:val="22"/>
        </w:rPr>
        <w:t xml:space="preserve">As access to social protection is dependent on employment within the EU, it is one of the key criteria/principles necessary for quality employment (See EAPN </w:t>
      </w:r>
      <w:hyperlink r:id="rId41" w:history="1">
        <w:r w:rsidR="00CF364D" w:rsidRPr="004E23B1">
          <w:rPr>
            <w:rStyle w:val="Hyperlink"/>
            <w:rFonts w:asciiTheme="minorHAnsi" w:hAnsiTheme="minorHAnsi" w:cstheme="minorHAnsi"/>
            <w:sz w:val="22"/>
            <w:szCs w:val="22"/>
          </w:rPr>
          <w:t>quality work principles.</w:t>
        </w:r>
      </w:hyperlink>
      <w:r w:rsidR="00CF364D" w:rsidRPr="004E23B1">
        <w:rPr>
          <w:rFonts w:asciiTheme="minorHAnsi" w:hAnsiTheme="minorHAnsi" w:cstheme="minorHAnsi"/>
          <w:sz w:val="22"/>
          <w:szCs w:val="22"/>
        </w:rPr>
        <w:t>) and needs to be monitored with</w:t>
      </w:r>
      <w:r w:rsidR="00CF364D">
        <w:rPr>
          <w:rFonts w:asciiTheme="minorHAnsi" w:hAnsiTheme="minorHAnsi" w:cstheme="minorHAnsi"/>
          <w:sz w:val="22"/>
          <w:szCs w:val="22"/>
        </w:rPr>
        <w:t xml:space="preserve"> Principle 5.</w:t>
      </w:r>
      <w:r w:rsidR="0093130A">
        <w:rPr>
          <w:rFonts w:asciiTheme="minorHAnsi" w:hAnsiTheme="minorHAnsi" w:cstheme="minorHAnsi"/>
          <w:sz w:val="22"/>
          <w:szCs w:val="22"/>
        </w:rPr>
        <w:t xml:space="preserve"> </w:t>
      </w:r>
    </w:p>
    <w:p w14:paraId="31838DF7" w14:textId="77777777" w:rsidR="001B58D1" w:rsidRPr="00571BD7" w:rsidRDefault="00CF364D" w:rsidP="001B58D1">
      <w:pPr>
        <w:pStyle w:val="NormalWeb"/>
        <w:spacing w:before="0" w:after="0"/>
        <w:jc w:val="both"/>
        <w:rPr>
          <w:rFonts w:asciiTheme="minorHAnsi" w:hAnsiTheme="minorHAnsi" w:cstheme="minorHAnsi"/>
          <w:b/>
          <w:bCs/>
          <w:sz w:val="22"/>
          <w:szCs w:val="22"/>
        </w:rPr>
      </w:pPr>
      <w:r w:rsidRPr="00571BD7">
        <w:rPr>
          <w:rFonts w:asciiTheme="minorHAnsi" w:hAnsiTheme="minorHAnsi" w:cstheme="minorHAnsi"/>
          <w:b/>
          <w:bCs/>
          <w:sz w:val="22"/>
          <w:szCs w:val="22"/>
        </w:rPr>
        <w:t>Key areas that will need to be monitored are:</w:t>
      </w:r>
    </w:p>
    <w:p w14:paraId="022A74F8" w14:textId="68CD740B" w:rsidR="00CF364D" w:rsidRDefault="00CF364D" w:rsidP="001B58D1">
      <w:pPr>
        <w:pStyle w:val="NormalWeb"/>
        <w:numPr>
          <w:ilvl w:val="0"/>
          <w:numId w:val="15"/>
        </w:numPr>
        <w:spacing w:before="0" w:after="0"/>
        <w:jc w:val="both"/>
        <w:rPr>
          <w:rFonts w:asciiTheme="minorHAnsi" w:hAnsiTheme="minorHAnsi" w:cstheme="minorHAnsi"/>
          <w:sz w:val="22"/>
          <w:szCs w:val="22"/>
        </w:rPr>
      </w:pPr>
      <w:r w:rsidRPr="00C71DA7">
        <w:rPr>
          <w:rFonts w:asciiTheme="minorHAnsi" w:hAnsiTheme="minorHAnsi" w:cstheme="minorHAnsi"/>
          <w:b/>
          <w:bCs/>
          <w:sz w:val="22"/>
          <w:szCs w:val="22"/>
        </w:rPr>
        <w:t>Coverage and adequacy</w:t>
      </w:r>
      <w:r>
        <w:rPr>
          <w:rFonts w:asciiTheme="minorHAnsi" w:hAnsiTheme="minorHAnsi" w:cstheme="minorHAnsi"/>
          <w:sz w:val="22"/>
          <w:szCs w:val="22"/>
        </w:rPr>
        <w:t>, particularly issues of duration and level of social protection benefits, regardless of employment status</w:t>
      </w:r>
      <w:r w:rsidR="001B58D1">
        <w:rPr>
          <w:rFonts w:asciiTheme="minorHAnsi" w:hAnsiTheme="minorHAnsi" w:cstheme="minorHAnsi"/>
          <w:sz w:val="22"/>
          <w:szCs w:val="22"/>
        </w:rPr>
        <w:t>.</w:t>
      </w:r>
    </w:p>
    <w:p w14:paraId="75A3AE16" w14:textId="3A896F7A" w:rsidR="0093130A" w:rsidRDefault="00CF364D" w:rsidP="00FD42B5">
      <w:pPr>
        <w:pStyle w:val="NormalWeb"/>
        <w:numPr>
          <w:ilvl w:val="0"/>
          <w:numId w:val="15"/>
        </w:numPr>
        <w:spacing w:before="0" w:after="0"/>
        <w:jc w:val="both"/>
        <w:rPr>
          <w:rFonts w:asciiTheme="minorHAnsi" w:hAnsiTheme="minorHAnsi" w:cstheme="minorHAnsi"/>
          <w:sz w:val="22"/>
          <w:szCs w:val="22"/>
        </w:rPr>
      </w:pPr>
      <w:r w:rsidRPr="00C71DA7">
        <w:rPr>
          <w:rFonts w:asciiTheme="minorHAnsi" w:hAnsiTheme="minorHAnsi" w:cstheme="minorHAnsi"/>
          <w:b/>
          <w:bCs/>
          <w:sz w:val="22"/>
          <w:szCs w:val="22"/>
        </w:rPr>
        <w:t>Guarantee of effective minimum protection for a</w:t>
      </w:r>
      <w:r w:rsidRPr="0093130A">
        <w:rPr>
          <w:rFonts w:asciiTheme="minorHAnsi" w:hAnsiTheme="minorHAnsi" w:cstheme="minorHAnsi"/>
          <w:sz w:val="22"/>
          <w:szCs w:val="22"/>
        </w:rPr>
        <w:t>ll</w:t>
      </w:r>
      <w:r w:rsidR="0093130A" w:rsidRPr="0093130A">
        <w:rPr>
          <w:rFonts w:asciiTheme="minorHAnsi" w:hAnsiTheme="minorHAnsi" w:cstheme="minorHAnsi"/>
          <w:sz w:val="22"/>
          <w:szCs w:val="22"/>
        </w:rPr>
        <w:t xml:space="preserve">: </w:t>
      </w:r>
      <w:r w:rsidR="0093130A">
        <w:rPr>
          <w:rFonts w:asciiTheme="minorHAnsi" w:hAnsiTheme="minorHAnsi" w:cstheme="minorHAnsi"/>
          <w:sz w:val="22"/>
          <w:szCs w:val="22"/>
        </w:rPr>
        <w:t>with high priority to check impact on the most vulnerable groups i</w:t>
      </w:r>
      <w:r w:rsidR="00DB7E9A">
        <w:rPr>
          <w:rFonts w:asciiTheme="minorHAnsi" w:hAnsiTheme="minorHAnsi" w:cstheme="minorHAnsi"/>
          <w:sz w:val="22"/>
          <w:szCs w:val="22"/>
        </w:rPr>
        <w:t>.</w:t>
      </w:r>
      <w:r w:rsidR="00C5019D">
        <w:rPr>
          <w:rFonts w:asciiTheme="minorHAnsi" w:hAnsiTheme="minorHAnsi" w:cstheme="minorHAnsi"/>
          <w:sz w:val="22"/>
          <w:szCs w:val="22"/>
        </w:rPr>
        <w:t>e</w:t>
      </w:r>
      <w:r w:rsidR="00DB7E9A">
        <w:rPr>
          <w:rFonts w:asciiTheme="minorHAnsi" w:hAnsiTheme="minorHAnsi" w:cstheme="minorHAnsi"/>
          <w:sz w:val="22"/>
          <w:szCs w:val="22"/>
        </w:rPr>
        <w:t>.</w:t>
      </w:r>
      <w:r w:rsidR="0093130A">
        <w:rPr>
          <w:rFonts w:asciiTheme="minorHAnsi" w:hAnsiTheme="minorHAnsi" w:cstheme="minorHAnsi"/>
          <w:sz w:val="22"/>
          <w:szCs w:val="22"/>
        </w:rPr>
        <w:t xml:space="preserve"> people in precarious jobs</w:t>
      </w:r>
      <w:r w:rsidR="00C5019D">
        <w:rPr>
          <w:rFonts w:asciiTheme="minorHAnsi" w:hAnsiTheme="minorHAnsi" w:cstheme="minorHAnsi"/>
          <w:sz w:val="22"/>
          <w:szCs w:val="22"/>
        </w:rPr>
        <w:t>:</w:t>
      </w:r>
      <w:r w:rsidR="0093130A">
        <w:rPr>
          <w:rFonts w:asciiTheme="minorHAnsi" w:hAnsiTheme="minorHAnsi" w:cstheme="minorHAnsi"/>
          <w:sz w:val="22"/>
          <w:szCs w:val="22"/>
        </w:rPr>
        <w:t xml:space="preserve"> including zero</w:t>
      </w:r>
      <w:r w:rsidR="00DB7E9A">
        <w:rPr>
          <w:rFonts w:asciiTheme="minorHAnsi" w:hAnsiTheme="minorHAnsi" w:cstheme="minorHAnsi"/>
          <w:sz w:val="22"/>
          <w:szCs w:val="22"/>
        </w:rPr>
        <w:t xml:space="preserve"> and low</w:t>
      </w:r>
      <w:r w:rsidR="0093130A">
        <w:rPr>
          <w:rFonts w:asciiTheme="minorHAnsi" w:hAnsiTheme="minorHAnsi" w:cstheme="minorHAnsi"/>
          <w:sz w:val="22"/>
          <w:szCs w:val="22"/>
        </w:rPr>
        <w:t xml:space="preserve">-hour contracts, </w:t>
      </w:r>
      <w:r w:rsidR="00C5019D">
        <w:rPr>
          <w:rFonts w:asciiTheme="minorHAnsi" w:hAnsiTheme="minorHAnsi" w:cstheme="minorHAnsi"/>
          <w:sz w:val="22"/>
          <w:szCs w:val="22"/>
        </w:rPr>
        <w:t xml:space="preserve">involuntary </w:t>
      </w:r>
      <w:r w:rsidR="0093130A">
        <w:rPr>
          <w:rFonts w:asciiTheme="minorHAnsi" w:hAnsiTheme="minorHAnsi" w:cstheme="minorHAnsi"/>
          <w:sz w:val="22"/>
          <w:szCs w:val="22"/>
        </w:rPr>
        <w:t xml:space="preserve">part-time work, temporary </w:t>
      </w:r>
      <w:proofErr w:type="gramStart"/>
      <w:r w:rsidR="0093130A">
        <w:rPr>
          <w:rFonts w:asciiTheme="minorHAnsi" w:hAnsiTheme="minorHAnsi" w:cstheme="minorHAnsi"/>
          <w:sz w:val="22"/>
          <w:szCs w:val="22"/>
        </w:rPr>
        <w:t>work</w:t>
      </w:r>
      <w:proofErr w:type="gramEnd"/>
      <w:r w:rsidR="0093130A">
        <w:rPr>
          <w:rFonts w:asciiTheme="minorHAnsi" w:hAnsiTheme="minorHAnsi" w:cstheme="minorHAnsi"/>
          <w:sz w:val="22"/>
          <w:szCs w:val="22"/>
        </w:rPr>
        <w:t xml:space="preserve"> and bogus self-employment</w:t>
      </w:r>
      <w:r w:rsidR="001B58D1">
        <w:rPr>
          <w:rFonts w:asciiTheme="minorHAnsi" w:hAnsiTheme="minorHAnsi" w:cstheme="minorHAnsi"/>
          <w:sz w:val="22"/>
          <w:szCs w:val="22"/>
        </w:rPr>
        <w:t>.</w:t>
      </w:r>
    </w:p>
    <w:p w14:paraId="5433A548" w14:textId="717AD3F9" w:rsidR="00CF364D" w:rsidRDefault="0093130A" w:rsidP="00FD42B5">
      <w:pPr>
        <w:pStyle w:val="NormalWeb"/>
        <w:numPr>
          <w:ilvl w:val="0"/>
          <w:numId w:val="15"/>
        </w:numPr>
        <w:spacing w:before="0" w:after="0"/>
        <w:jc w:val="both"/>
        <w:rPr>
          <w:rFonts w:asciiTheme="minorHAnsi" w:hAnsiTheme="minorHAnsi" w:cstheme="minorHAnsi"/>
          <w:sz w:val="22"/>
          <w:szCs w:val="22"/>
        </w:rPr>
      </w:pPr>
      <w:r w:rsidRPr="00C71DA7">
        <w:rPr>
          <w:rFonts w:asciiTheme="minorHAnsi" w:hAnsiTheme="minorHAnsi" w:cstheme="minorHAnsi"/>
          <w:b/>
          <w:bCs/>
          <w:sz w:val="22"/>
          <w:szCs w:val="22"/>
        </w:rPr>
        <w:t>Che</w:t>
      </w:r>
      <w:r w:rsidR="00CF364D" w:rsidRPr="00C71DA7">
        <w:rPr>
          <w:rFonts w:asciiTheme="minorHAnsi" w:hAnsiTheme="minorHAnsi" w:cstheme="minorHAnsi"/>
          <w:b/>
          <w:bCs/>
          <w:sz w:val="22"/>
          <w:szCs w:val="22"/>
        </w:rPr>
        <w:t>cking that flexi</w:t>
      </w:r>
      <w:r w:rsidR="00FF0BC9" w:rsidRPr="00C71DA7">
        <w:rPr>
          <w:rFonts w:asciiTheme="minorHAnsi" w:hAnsiTheme="minorHAnsi" w:cstheme="minorHAnsi"/>
          <w:b/>
          <w:bCs/>
          <w:sz w:val="22"/>
          <w:szCs w:val="22"/>
        </w:rPr>
        <w:t>-</w:t>
      </w:r>
      <w:r w:rsidR="00CF364D" w:rsidRPr="00C71DA7">
        <w:rPr>
          <w:rFonts w:asciiTheme="minorHAnsi" w:hAnsiTheme="minorHAnsi" w:cstheme="minorHAnsi"/>
          <w:b/>
          <w:bCs/>
          <w:sz w:val="22"/>
          <w:szCs w:val="22"/>
        </w:rPr>
        <w:t>security</w:t>
      </w:r>
      <w:r w:rsidR="00FF0BC9" w:rsidRPr="00C71DA7">
        <w:rPr>
          <w:rFonts w:asciiTheme="minorHAnsi" w:hAnsiTheme="minorHAnsi" w:cstheme="minorHAnsi"/>
          <w:b/>
          <w:bCs/>
          <w:sz w:val="22"/>
          <w:szCs w:val="22"/>
        </w:rPr>
        <w:t xml:space="preserve"> (</w:t>
      </w:r>
      <w:proofErr w:type="spellStart"/>
      <w:r w:rsidR="00FF0BC9" w:rsidRPr="00C71DA7">
        <w:rPr>
          <w:rFonts w:asciiTheme="minorHAnsi" w:hAnsiTheme="minorHAnsi" w:cstheme="minorHAnsi"/>
          <w:b/>
          <w:bCs/>
          <w:sz w:val="22"/>
          <w:szCs w:val="22"/>
        </w:rPr>
        <w:t>Securiflex</w:t>
      </w:r>
      <w:proofErr w:type="spellEnd"/>
      <w:r w:rsidR="00FF0BC9" w:rsidRPr="00C71DA7">
        <w:rPr>
          <w:rFonts w:asciiTheme="minorHAnsi" w:hAnsiTheme="minorHAnsi" w:cstheme="minorHAnsi"/>
          <w:b/>
          <w:bCs/>
          <w:sz w:val="22"/>
          <w:szCs w:val="22"/>
        </w:rPr>
        <w:t>)</w:t>
      </w:r>
      <w:r w:rsidR="00CF364D" w:rsidRPr="00C71DA7">
        <w:rPr>
          <w:rFonts w:asciiTheme="minorHAnsi" w:hAnsiTheme="minorHAnsi" w:cstheme="minorHAnsi"/>
          <w:b/>
          <w:bCs/>
          <w:sz w:val="22"/>
          <w:szCs w:val="22"/>
        </w:rPr>
        <w:t xml:space="preserve"> is not being used</w:t>
      </w:r>
      <w:r w:rsidR="00CF364D" w:rsidRPr="0093130A">
        <w:rPr>
          <w:rFonts w:asciiTheme="minorHAnsi" w:hAnsiTheme="minorHAnsi" w:cstheme="minorHAnsi"/>
          <w:sz w:val="22"/>
          <w:szCs w:val="22"/>
        </w:rPr>
        <w:t xml:space="preserve"> to support flexibility over social protection.</w:t>
      </w:r>
    </w:p>
    <w:p w14:paraId="18FB5FF5" w14:textId="439E3CEC" w:rsidR="0093130A" w:rsidRDefault="0093130A" w:rsidP="00FD42B5">
      <w:pPr>
        <w:pStyle w:val="NormalWeb"/>
        <w:numPr>
          <w:ilvl w:val="0"/>
          <w:numId w:val="15"/>
        </w:numPr>
        <w:spacing w:before="0" w:after="0"/>
        <w:jc w:val="both"/>
        <w:rPr>
          <w:rFonts w:asciiTheme="minorHAnsi" w:hAnsiTheme="minorHAnsi" w:cstheme="minorHAnsi"/>
          <w:sz w:val="22"/>
          <w:szCs w:val="22"/>
        </w:rPr>
      </w:pPr>
      <w:r w:rsidRPr="00C71DA7">
        <w:rPr>
          <w:rFonts w:asciiTheme="minorHAnsi" w:hAnsiTheme="minorHAnsi" w:cstheme="minorHAnsi"/>
          <w:b/>
          <w:bCs/>
          <w:sz w:val="22"/>
          <w:szCs w:val="22"/>
        </w:rPr>
        <w:t>Effective management of transitions</w:t>
      </w:r>
      <w:r>
        <w:rPr>
          <w:rFonts w:asciiTheme="minorHAnsi" w:hAnsiTheme="minorHAnsi" w:cstheme="minorHAnsi"/>
          <w:sz w:val="22"/>
          <w:szCs w:val="22"/>
        </w:rPr>
        <w:t xml:space="preserve"> for workers involved in ‘revolving door’ access to work</w:t>
      </w:r>
      <w:r w:rsidR="001B58D1">
        <w:rPr>
          <w:rFonts w:asciiTheme="minorHAnsi" w:hAnsiTheme="minorHAnsi" w:cstheme="minorHAnsi"/>
          <w:sz w:val="22"/>
          <w:szCs w:val="22"/>
        </w:rPr>
        <w:t xml:space="preserve"> i</w:t>
      </w:r>
      <w:r w:rsidR="00DB7E9A">
        <w:rPr>
          <w:rFonts w:asciiTheme="minorHAnsi" w:hAnsiTheme="minorHAnsi" w:cstheme="minorHAnsi"/>
          <w:sz w:val="22"/>
          <w:szCs w:val="22"/>
        </w:rPr>
        <w:t>.</w:t>
      </w:r>
      <w:r w:rsidR="001B58D1">
        <w:rPr>
          <w:rFonts w:asciiTheme="minorHAnsi" w:hAnsiTheme="minorHAnsi" w:cstheme="minorHAnsi"/>
          <w:sz w:val="22"/>
          <w:szCs w:val="22"/>
        </w:rPr>
        <w:t>e</w:t>
      </w:r>
      <w:r w:rsidR="00DB7E9A">
        <w:rPr>
          <w:rFonts w:asciiTheme="minorHAnsi" w:hAnsiTheme="minorHAnsi" w:cstheme="minorHAnsi"/>
          <w:sz w:val="22"/>
          <w:szCs w:val="22"/>
        </w:rPr>
        <w:t>.</w:t>
      </w:r>
      <w:r w:rsidR="001B58D1">
        <w:rPr>
          <w:rFonts w:asciiTheme="minorHAnsi" w:hAnsiTheme="minorHAnsi" w:cstheme="minorHAnsi"/>
          <w:sz w:val="22"/>
          <w:szCs w:val="22"/>
        </w:rPr>
        <w:t xml:space="preserve"> in and out of low paid, precarious jobs and unemployment.</w:t>
      </w:r>
    </w:p>
    <w:p w14:paraId="3C40671C" w14:textId="22C50517" w:rsidR="0093130A" w:rsidRDefault="0093130A" w:rsidP="00FD42B5">
      <w:pPr>
        <w:pStyle w:val="NormalWeb"/>
        <w:numPr>
          <w:ilvl w:val="0"/>
          <w:numId w:val="15"/>
        </w:numPr>
        <w:spacing w:before="0" w:after="0"/>
        <w:jc w:val="both"/>
        <w:rPr>
          <w:rFonts w:asciiTheme="minorHAnsi" w:hAnsiTheme="minorHAnsi" w:cstheme="minorHAnsi"/>
          <w:sz w:val="22"/>
          <w:szCs w:val="22"/>
        </w:rPr>
      </w:pPr>
      <w:r w:rsidRPr="00C71DA7">
        <w:rPr>
          <w:rFonts w:asciiTheme="minorHAnsi" w:hAnsiTheme="minorHAnsi" w:cstheme="minorHAnsi"/>
          <w:b/>
          <w:bCs/>
          <w:sz w:val="22"/>
          <w:szCs w:val="22"/>
        </w:rPr>
        <w:t>Portability of workers</w:t>
      </w:r>
      <w:r w:rsidR="008772A3" w:rsidRPr="00C71DA7">
        <w:rPr>
          <w:rFonts w:asciiTheme="minorHAnsi" w:hAnsiTheme="minorHAnsi" w:cstheme="minorHAnsi"/>
          <w:b/>
          <w:bCs/>
          <w:sz w:val="22"/>
          <w:szCs w:val="22"/>
        </w:rPr>
        <w:t>’</w:t>
      </w:r>
      <w:r w:rsidRPr="00C71DA7">
        <w:rPr>
          <w:rFonts w:asciiTheme="minorHAnsi" w:hAnsiTheme="minorHAnsi" w:cstheme="minorHAnsi"/>
          <w:b/>
          <w:bCs/>
          <w:sz w:val="22"/>
          <w:szCs w:val="22"/>
        </w:rPr>
        <w:t xml:space="preserve"> rights</w:t>
      </w:r>
      <w:r>
        <w:rPr>
          <w:rFonts w:asciiTheme="minorHAnsi" w:hAnsiTheme="minorHAnsi" w:cstheme="minorHAnsi"/>
          <w:sz w:val="22"/>
          <w:szCs w:val="22"/>
        </w:rPr>
        <w:t xml:space="preserve"> cross borders and the actual implementation.</w:t>
      </w:r>
    </w:p>
    <w:p w14:paraId="799DCCEA" w14:textId="45866C78" w:rsidR="0093130A" w:rsidRDefault="0093130A" w:rsidP="00FD42B5">
      <w:pPr>
        <w:pStyle w:val="NormalWeb"/>
        <w:numPr>
          <w:ilvl w:val="0"/>
          <w:numId w:val="15"/>
        </w:numPr>
        <w:spacing w:before="0" w:after="0"/>
        <w:jc w:val="both"/>
        <w:rPr>
          <w:rFonts w:asciiTheme="minorHAnsi" w:hAnsiTheme="minorHAnsi" w:cstheme="minorHAnsi"/>
          <w:sz w:val="22"/>
          <w:szCs w:val="22"/>
        </w:rPr>
      </w:pPr>
      <w:r w:rsidRPr="00C71DA7">
        <w:rPr>
          <w:rFonts w:asciiTheme="minorHAnsi" w:hAnsiTheme="minorHAnsi" w:cstheme="minorHAnsi"/>
          <w:b/>
          <w:bCs/>
          <w:sz w:val="22"/>
          <w:szCs w:val="22"/>
        </w:rPr>
        <w:t>Concerns over access to training</w:t>
      </w:r>
      <w:r>
        <w:rPr>
          <w:rFonts w:asciiTheme="minorHAnsi" w:hAnsiTheme="minorHAnsi" w:cstheme="minorHAnsi"/>
          <w:sz w:val="22"/>
          <w:szCs w:val="22"/>
        </w:rPr>
        <w:t xml:space="preserve"> for all workers</w:t>
      </w:r>
      <w:r w:rsidR="00113313">
        <w:rPr>
          <w:rFonts w:asciiTheme="minorHAnsi" w:hAnsiTheme="minorHAnsi" w:cstheme="minorHAnsi"/>
          <w:sz w:val="22"/>
          <w:szCs w:val="22"/>
        </w:rPr>
        <w:t>, particularly those in low paid and more precarious jobs.</w:t>
      </w:r>
    </w:p>
    <w:p w14:paraId="19426367" w14:textId="2E849A7E" w:rsidR="0093130A" w:rsidRDefault="0093130A" w:rsidP="00FD42B5">
      <w:pPr>
        <w:pStyle w:val="NormalWeb"/>
        <w:numPr>
          <w:ilvl w:val="0"/>
          <w:numId w:val="15"/>
        </w:numPr>
        <w:spacing w:before="0" w:after="0"/>
        <w:jc w:val="both"/>
        <w:rPr>
          <w:rFonts w:asciiTheme="minorHAnsi" w:hAnsiTheme="minorHAnsi" w:cstheme="minorHAnsi"/>
          <w:sz w:val="22"/>
          <w:szCs w:val="22"/>
        </w:rPr>
      </w:pPr>
      <w:r w:rsidRPr="00C71DA7">
        <w:rPr>
          <w:rFonts w:asciiTheme="minorHAnsi" w:hAnsiTheme="minorHAnsi" w:cstheme="minorHAnsi"/>
          <w:b/>
          <w:bCs/>
          <w:sz w:val="22"/>
          <w:szCs w:val="22"/>
        </w:rPr>
        <w:t>The effectiveness of work-life balance</w:t>
      </w:r>
      <w:r w:rsidR="0020529A">
        <w:rPr>
          <w:rFonts w:asciiTheme="minorHAnsi" w:hAnsiTheme="minorHAnsi" w:cstheme="minorHAnsi"/>
          <w:sz w:val="22"/>
          <w:szCs w:val="22"/>
        </w:rPr>
        <w:t>, monitoring the transposition and implementation of the</w:t>
      </w:r>
      <w:r>
        <w:rPr>
          <w:rFonts w:asciiTheme="minorHAnsi" w:hAnsiTheme="minorHAnsi" w:cstheme="minorHAnsi"/>
          <w:sz w:val="22"/>
          <w:szCs w:val="22"/>
        </w:rPr>
        <w:t xml:space="preserve"> work/life balance Directive.</w:t>
      </w:r>
    </w:p>
    <w:p w14:paraId="7A887CA2" w14:textId="6BDA4DBC" w:rsidR="0093130A" w:rsidRDefault="0093130A" w:rsidP="00FD42B5">
      <w:pPr>
        <w:pStyle w:val="NormalWeb"/>
        <w:numPr>
          <w:ilvl w:val="0"/>
          <w:numId w:val="15"/>
        </w:numPr>
        <w:spacing w:before="0" w:after="0"/>
        <w:jc w:val="both"/>
        <w:rPr>
          <w:rFonts w:asciiTheme="minorHAnsi" w:hAnsiTheme="minorHAnsi" w:cstheme="minorHAnsi"/>
          <w:sz w:val="22"/>
          <w:szCs w:val="22"/>
        </w:rPr>
      </w:pPr>
      <w:r w:rsidRPr="00C71DA7">
        <w:rPr>
          <w:rFonts w:asciiTheme="minorHAnsi" w:hAnsiTheme="minorHAnsi" w:cstheme="minorHAnsi"/>
          <w:b/>
          <w:bCs/>
          <w:sz w:val="22"/>
          <w:szCs w:val="22"/>
        </w:rPr>
        <w:t>Checks on the effectiveness of affordable access to health care</w:t>
      </w:r>
      <w:r w:rsidR="0020529A">
        <w:rPr>
          <w:rFonts w:asciiTheme="minorHAnsi" w:hAnsiTheme="minorHAnsi" w:cstheme="minorHAnsi"/>
          <w:sz w:val="22"/>
          <w:szCs w:val="22"/>
        </w:rPr>
        <w:t>, particularly out of pocket payments, the quality of care for different vulnerable groups.</w:t>
      </w:r>
    </w:p>
    <w:p w14:paraId="28E7B1B2" w14:textId="6938D6D6" w:rsidR="0093130A" w:rsidRDefault="0093130A" w:rsidP="00FD42B5">
      <w:pPr>
        <w:pStyle w:val="NormalWeb"/>
        <w:numPr>
          <w:ilvl w:val="0"/>
          <w:numId w:val="15"/>
        </w:numPr>
        <w:spacing w:before="0" w:after="0"/>
        <w:jc w:val="both"/>
        <w:rPr>
          <w:rFonts w:asciiTheme="minorHAnsi" w:hAnsiTheme="minorHAnsi" w:cstheme="minorHAnsi"/>
          <w:sz w:val="22"/>
          <w:szCs w:val="22"/>
        </w:rPr>
      </w:pPr>
      <w:r w:rsidRPr="00C71DA7">
        <w:rPr>
          <w:rFonts w:asciiTheme="minorHAnsi" w:hAnsiTheme="minorHAnsi" w:cstheme="minorHAnsi"/>
          <w:b/>
          <w:bCs/>
          <w:sz w:val="22"/>
          <w:szCs w:val="22"/>
        </w:rPr>
        <w:t>Gender and age-discrimination gaps, as well as discrimination against other groups</w:t>
      </w:r>
      <w:r w:rsidR="008E2A91">
        <w:rPr>
          <w:rFonts w:asciiTheme="minorHAnsi" w:hAnsiTheme="minorHAnsi" w:cstheme="minorHAnsi"/>
          <w:sz w:val="22"/>
          <w:szCs w:val="22"/>
        </w:rPr>
        <w:t xml:space="preserve"> based on sex, racial or ethnic origin, religion or belief, disability, or sexual orientation as well as socio-economic bias.</w:t>
      </w:r>
    </w:p>
    <w:p w14:paraId="140C9FAA" w14:textId="1C01A5F6" w:rsidR="0093130A" w:rsidRDefault="0093130A" w:rsidP="00FD42B5">
      <w:pPr>
        <w:pStyle w:val="NormalWeb"/>
        <w:numPr>
          <w:ilvl w:val="0"/>
          <w:numId w:val="15"/>
        </w:numPr>
        <w:spacing w:before="0" w:after="0"/>
        <w:jc w:val="both"/>
        <w:rPr>
          <w:rFonts w:asciiTheme="minorHAnsi" w:hAnsiTheme="minorHAnsi" w:cstheme="minorHAnsi"/>
          <w:sz w:val="22"/>
          <w:szCs w:val="22"/>
        </w:rPr>
      </w:pPr>
      <w:r w:rsidRPr="00E81DC0">
        <w:rPr>
          <w:rFonts w:asciiTheme="minorHAnsi" w:hAnsiTheme="minorHAnsi" w:cstheme="minorHAnsi"/>
          <w:b/>
          <w:bCs/>
          <w:sz w:val="22"/>
          <w:szCs w:val="22"/>
        </w:rPr>
        <w:t>The overall context of new forms of work</w:t>
      </w:r>
      <w:r>
        <w:rPr>
          <w:rFonts w:asciiTheme="minorHAnsi" w:hAnsiTheme="minorHAnsi" w:cstheme="minorHAnsi"/>
          <w:sz w:val="22"/>
          <w:szCs w:val="22"/>
        </w:rPr>
        <w:t>,</w:t>
      </w:r>
      <w:r w:rsidR="00113313">
        <w:rPr>
          <w:rFonts w:asciiTheme="minorHAnsi" w:hAnsiTheme="minorHAnsi" w:cstheme="minorHAnsi"/>
          <w:sz w:val="22"/>
          <w:szCs w:val="22"/>
        </w:rPr>
        <w:t xml:space="preserve"> driven by</w:t>
      </w:r>
      <w:r>
        <w:rPr>
          <w:rFonts w:asciiTheme="minorHAnsi" w:hAnsiTheme="minorHAnsi" w:cstheme="minorHAnsi"/>
          <w:sz w:val="22"/>
          <w:szCs w:val="22"/>
        </w:rPr>
        <w:t xml:space="preserve"> new, exploitative business model</w:t>
      </w:r>
      <w:r w:rsidR="008772A3">
        <w:rPr>
          <w:rFonts w:asciiTheme="minorHAnsi" w:hAnsiTheme="minorHAnsi" w:cstheme="minorHAnsi"/>
          <w:sz w:val="22"/>
          <w:szCs w:val="22"/>
        </w:rPr>
        <w:t>s</w:t>
      </w:r>
      <w:r>
        <w:rPr>
          <w:rFonts w:asciiTheme="minorHAnsi" w:hAnsiTheme="minorHAnsi" w:cstheme="minorHAnsi"/>
          <w:sz w:val="22"/>
          <w:szCs w:val="22"/>
        </w:rPr>
        <w:t xml:space="preserve"> will need to be a constant reference point</w:t>
      </w:r>
      <w:r w:rsidR="00113313">
        <w:rPr>
          <w:rFonts w:asciiTheme="minorHAnsi" w:hAnsiTheme="minorHAnsi" w:cstheme="minorHAnsi"/>
          <w:sz w:val="22"/>
          <w:szCs w:val="22"/>
        </w:rPr>
        <w:t>.</w:t>
      </w:r>
      <w:r w:rsidR="00113313">
        <w:rPr>
          <w:rStyle w:val="FootnoteReference"/>
          <w:rFonts w:asciiTheme="minorHAnsi" w:hAnsiTheme="minorHAnsi" w:cstheme="minorHAnsi"/>
          <w:sz w:val="22"/>
          <w:szCs w:val="22"/>
        </w:rPr>
        <w:footnoteReference w:id="32"/>
      </w:r>
    </w:p>
    <w:p w14:paraId="21F9CCCB" w14:textId="5E69256C" w:rsidR="0093130A" w:rsidRDefault="00470F90" w:rsidP="00FD42B5">
      <w:pPr>
        <w:pStyle w:val="NormalWeb"/>
        <w:numPr>
          <w:ilvl w:val="0"/>
          <w:numId w:val="15"/>
        </w:numPr>
        <w:spacing w:before="0" w:after="0"/>
        <w:jc w:val="both"/>
        <w:rPr>
          <w:rFonts w:asciiTheme="minorHAnsi" w:hAnsiTheme="minorHAnsi" w:cstheme="minorHAnsi"/>
          <w:sz w:val="22"/>
          <w:szCs w:val="22"/>
        </w:rPr>
      </w:pPr>
      <w:r w:rsidRPr="00E81DC0">
        <w:rPr>
          <w:rFonts w:asciiTheme="minorHAnsi" w:hAnsiTheme="minorHAnsi" w:cstheme="minorHAnsi"/>
          <w:b/>
          <w:bCs/>
          <w:sz w:val="22"/>
          <w:szCs w:val="22"/>
        </w:rPr>
        <w:t>Trade Unions and collective bargaining</w:t>
      </w:r>
      <w:r>
        <w:rPr>
          <w:rFonts w:asciiTheme="minorHAnsi" w:hAnsiTheme="minorHAnsi" w:cstheme="minorHAnsi"/>
          <w:sz w:val="22"/>
          <w:szCs w:val="22"/>
        </w:rPr>
        <w:t>, as well as social dialogue are recogni</w:t>
      </w:r>
      <w:r w:rsidR="008772A3">
        <w:rPr>
          <w:rFonts w:asciiTheme="minorHAnsi" w:hAnsiTheme="minorHAnsi" w:cstheme="minorHAnsi"/>
          <w:sz w:val="22"/>
          <w:szCs w:val="22"/>
        </w:rPr>
        <w:t>s</w:t>
      </w:r>
      <w:r>
        <w:rPr>
          <w:rFonts w:asciiTheme="minorHAnsi" w:hAnsiTheme="minorHAnsi" w:cstheme="minorHAnsi"/>
          <w:sz w:val="22"/>
          <w:szCs w:val="22"/>
        </w:rPr>
        <w:t>ed rightfully as key actors</w:t>
      </w:r>
      <w:r w:rsidRPr="00E81DC0">
        <w:rPr>
          <w:rFonts w:asciiTheme="minorHAnsi" w:hAnsiTheme="minorHAnsi" w:cstheme="minorHAnsi"/>
          <w:b/>
          <w:bCs/>
          <w:sz w:val="22"/>
          <w:szCs w:val="22"/>
        </w:rPr>
        <w:t xml:space="preserve">.  </w:t>
      </w:r>
      <w:r w:rsidR="0093130A" w:rsidRPr="00E81DC0">
        <w:rPr>
          <w:rFonts w:asciiTheme="minorHAnsi" w:hAnsiTheme="minorHAnsi" w:cstheme="minorHAnsi"/>
          <w:b/>
          <w:bCs/>
          <w:sz w:val="22"/>
          <w:szCs w:val="22"/>
        </w:rPr>
        <w:t>Civil Society organi</w:t>
      </w:r>
      <w:r w:rsidR="008772A3" w:rsidRPr="00E81DC0">
        <w:rPr>
          <w:rFonts w:asciiTheme="minorHAnsi" w:hAnsiTheme="minorHAnsi" w:cstheme="minorHAnsi"/>
          <w:b/>
          <w:bCs/>
          <w:sz w:val="22"/>
          <w:szCs w:val="22"/>
        </w:rPr>
        <w:t>s</w:t>
      </w:r>
      <w:r w:rsidR="0093130A" w:rsidRPr="00E81DC0">
        <w:rPr>
          <w:rFonts w:asciiTheme="minorHAnsi" w:hAnsiTheme="minorHAnsi" w:cstheme="minorHAnsi"/>
          <w:b/>
          <w:bCs/>
          <w:sz w:val="22"/>
          <w:szCs w:val="22"/>
        </w:rPr>
        <w:t>ations</w:t>
      </w:r>
      <w:r w:rsidR="0093130A">
        <w:rPr>
          <w:rFonts w:asciiTheme="minorHAnsi" w:hAnsiTheme="minorHAnsi" w:cstheme="minorHAnsi"/>
          <w:sz w:val="22"/>
          <w:szCs w:val="22"/>
        </w:rPr>
        <w:t xml:space="preserve"> like anti</w:t>
      </w:r>
      <w:r w:rsidR="008772A3">
        <w:rPr>
          <w:rFonts w:asciiTheme="minorHAnsi" w:hAnsiTheme="minorHAnsi" w:cstheme="minorHAnsi"/>
          <w:sz w:val="22"/>
          <w:szCs w:val="22"/>
        </w:rPr>
        <w:t>-</w:t>
      </w:r>
      <w:r w:rsidR="0093130A">
        <w:rPr>
          <w:rFonts w:asciiTheme="minorHAnsi" w:hAnsiTheme="minorHAnsi" w:cstheme="minorHAnsi"/>
          <w:sz w:val="22"/>
          <w:szCs w:val="22"/>
        </w:rPr>
        <w:t>poverty organisations who work people with people experiencing low wages/precarious work and in-work poverty</w:t>
      </w:r>
      <w:r w:rsidR="0020529A">
        <w:rPr>
          <w:rFonts w:asciiTheme="minorHAnsi" w:hAnsiTheme="minorHAnsi" w:cstheme="minorHAnsi"/>
          <w:sz w:val="22"/>
          <w:szCs w:val="22"/>
        </w:rPr>
        <w:t>,</w:t>
      </w:r>
      <w:r w:rsidR="0093130A">
        <w:rPr>
          <w:rFonts w:asciiTheme="minorHAnsi" w:hAnsiTheme="minorHAnsi" w:cstheme="minorHAnsi"/>
          <w:sz w:val="22"/>
          <w:szCs w:val="22"/>
        </w:rPr>
        <w:t xml:space="preserve"> </w:t>
      </w:r>
      <w:r>
        <w:rPr>
          <w:rFonts w:asciiTheme="minorHAnsi" w:hAnsiTheme="minorHAnsi" w:cstheme="minorHAnsi"/>
          <w:sz w:val="22"/>
          <w:szCs w:val="22"/>
        </w:rPr>
        <w:t xml:space="preserve">should be </w:t>
      </w:r>
      <w:r w:rsidR="0020529A">
        <w:rPr>
          <w:rFonts w:asciiTheme="minorHAnsi" w:hAnsiTheme="minorHAnsi" w:cstheme="minorHAnsi"/>
          <w:sz w:val="22"/>
          <w:szCs w:val="22"/>
        </w:rPr>
        <w:t xml:space="preserve">included as </w:t>
      </w:r>
      <w:r w:rsidR="00E81DC0">
        <w:rPr>
          <w:rFonts w:asciiTheme="minorHAnsi" w:hAnsiTheme="minorHAnsi" w:cstheme="minorHAnsi"/>
          <w:sz w:val="22"/>
          <w:szCs w:val="22"/>
        </w:rPr>
        <w:t xml:space="preserve">essential </w:t>
      </w:r>
      <w:r w:rsidR="0020529A">
        <w:rPr>
          <w:rFonts w:asciiTheme="minorHAnsi" w:hAnsiTheme="minorHAnsi" w:cstheme="minorHAnsi"/>
          <w:sz w:val="22"/>
          <w:szCs w:val="22"/>
        </w:rPr>
        <w:t>dialogue partners</w:t>
      </w:r>
      <w:r>
        <w:rPr>
          <w:rFonts w:asciiTheme="minorHAnsi" w:hAnsiTheme="minorHAnsi" w:cstheme="minorHAnsi"/>
          <w:sz w:val="22"/>
          <w:szCs w:val="22"/>
        </w:rPr>
        <w:t xml:space="preserve"> </w:t>
      </w:r>
      <w:r w:rsidR="0093130A">
        <w:rPr>
          <w:rFonts w:asciiTheme="minorHAnsi" w:hAnsiTheme="minorHAnsi" w:cstheme="minorHAnsi"/>
          <w:sz w:val="22"/>
          <w:szCs w:val="22"/>
        </w:rPr>
        <w:t>to this monitoring process</w:t>
      </w:r>
      <w:r w:rsidR="0020529A">
        <w:rPr>
          <w:rFonts w:asciiTheme="minorHAnsi" w:hAnsiTheme="minorHAnsi" w:cstheme="minorHAnsi"/>
          <w:sz w:val="22"/>
          <w:szCs w:val="22"/>
        </w:rPr>
        <w:t xml:space="preserve">, including the </w:t>
      </w:r>
      <w:r w:rsidR="00E81DC0">
        <w:rPr>
          <w:rFonts w:asciiTheme="minorHAnsi" w:hAnsiTheme="minorHAnsi" w:cstheme="minorHAnsi"/>
          <w:sz w:val="22"/>
          <w:szCs w:val="22"/>
        </w:rPr>
        <w:t>people</w:t>
      </w:r>
      <w:r w:rsidR="0020529A">
        <w:rPr>
          <w:rFonts w:asciiTheme="minorHAnsi" w:hAnsiTheme="minorHAnsi" w:cstheme="minorHAnsi"/>
          <w:sz w:val="22"/>
          <w:szCs w:val="22"/>
        </w:rPr>
        <w:t xml:space="preserve"> themselves.</w:t>
      </w:r>
    </w:p>
    <w:p w14:paraId="688CEBDD" w14:textId="681363DC" w:rsidR="00470F90" w:rsidRPr="00DB0408" w:rsidRDefault="00470F90" w:rsidP="00FD42B5">
      <w:pPr>
        <w:pStyle w:val="NormalWeb"/>
        <w:spacing w:before="0" w:after="0"/>
        <w:jc w:val="both"/>
        <w:rPr>
          <w:rFonts w:asciiTheme="minorHAnsi" w:hAnsiTheme="minorHAnsi" w:cstheme="minorHAnsi"/>
          <w:b/>
          <w:bCs/>
          <w:sz w:val="22"/>
          <w:szCs w:val="22"/>
          <w:u w:val="single"/>
        </w:rPr>
      </w:pPr>
      <w:r w:rsidRPr="00DB0408">
        <w:rPr>
          <w:rFonts w:asciiTheme="minorHAnsi" w:hAnsiTheme="minorHAnsi" w:cstheme="minorHAnsi"/>
          <w:b/>
          <w:bCs/>
          <w:sz w:val="22"/>
          <w:szCs w:val="22"/>
          <w:u w:val="single"/>
        </w:rPr>
        <w:t xml:space="preserve">Soft </w:t>
      </w:r>
      <w:r w:rsidR="00FF2C45" w:rsidRPr="00DB0408">
        <w:rPr>
          <w:rFonts w:asciiTheme="minorHAnsi" w:hAnsiTheme="minorHAnsi" w:cstheme="minorHAnsi"/>
          <w:b/>
          <w:bCs/>
          <w:sz w:val="22"/>
          <w:szCs w:val="22"/>
          <w:u w:val="single"/>
        </w:rPr>
        <w:t>Instruments supporting upward convergence</w:t>
      </w:r>
    </w:p>
    <w:p w14:paraId="3D2B7775" w14:textId="29FBC36D" w:rsidR="00470F90" w:rsidRDefault="00470F90" w:rsidP="00FD42B5">
      <w:pPr>
        <w:pStyle w:val="NormalWeb"/>
        <w:numPr>
          <w:ilvl w:val="0"/>
          <w:numId w:val="15"/>
        </w:numPr>
        <w:spacing w:before="0" w:after="0"/>
        <w:jc w:val="both"/>
        <w:rPr>
          <w:rFonts w:asciiTheme="minorHAnsi" w:hAnsiTheme="minorHAnsi" w:cstheme="minorHAnsi"/>
          <w:sz w:val="22"/>
          <w:szCs w:val="22"/>
        </w:rPr>
      </w:pPr>
      <w:r w:rsidRPr="00E81DC0">
        <w:rPr>
          <w:rFonts w:asciiTheme="minorHAnsi" w:hAnsiTheme="minorHAnsi" w:cstheme="minorHAnsi"/>
          <w:b/>
          <w:bCs/>
          <w:sz w:val="22"/>
          <w:szCs w:val="22"/>
        </w:rPr>
        <w:lastRenderedPageBreak/>
        <w:t xml:space="preserve">The </w:t>
      </w:r>
      <w:r w:rsidR="0020529A" w:rsidRPr="00E81DC0">
        <w:rPr>
          <w:rFonts w:asciiTheme="minorHAnsi" w:hAnsiTheme="minorHAnsi" w:cstheme="minorHAnsi"/>
          <w:b/>
          <w:bCs/>
          <w:sz w:val="22"/>
          <w:szCs w:val="22"/>
        </w:rPr>
        <w:t xml:space="preserve">Council </w:t>
      </w:r>
      <w:r w:rsidRPr="00E81DC0">
        <w:rPr>
          <w:rFonts w:asciiTheme="minorHAnsi" w:hAnsiTheme="minorHAnsi" w:cstheme="minorHAnsi"/>
          <w:b/>
          <w:bCs/>
          <w:sz w:val="22"/>
          <w:szCs w:val="22"/>
        </w:rPr>
        <w:t xml:space="preserve">Recommendation on </w:t>
      </w:r>
      <w:hyperlink r:id="rId42" w:history="1">
        <w:r w:rsidRPr="00E81DC0">
          <w:rPr>
            <w:rStyle w:val="Hyperlink"/>
            <w:rFonts w:asciiTheme="minorHAnsi" w:hAnsiTheme="minorHAnsi" w:cstheme="minorHAnsi"/>
            <w:b/>
            <w:bCs/>
            <w:sz w:val="22"/>
            <w:szCs w:val="22"/>
          </w:rPr>
          <w:t>Access to Socia</w:t>
        </w:r>
        <w:r w:rsidR="00FF2C45" w:rsidRPr="00E81DC0">
          <w:rPr>
            <w:rStyle w:val="Hyperlink"/>
            <w:rFonts w:asciiTheme="minorHAnsi" w:hAnsiTheme="minorHAnsi" w:cstheme="minorHAnsi"/>
            <w:b/>
            <w:bCs/>
            <w:sz w:val="22"/>
            <w:szCs w:val="22"/>
          </w:rPr>
          <w:t>l</w:t>
        </w:r>
        <w:r w:rsidR="00BA3DA1" w:rsidRPr="00E81DC0">
          <w:rPr>
            <w:rStyle w:val="Hyperlink"/>
            <w:rFonts w:asciiTheme="minorHAnsi" w:hAnsiTheme="minorHAnsi" w:cstheme="minorHAnsi"/>
            <w:b/>
            <w:bCs/>
            <w:sz w:val="22"/>
            <w:szCs w:val="22"/>
          </w:rPr>
          <w:t xml:space="preserve"> </w:t>
        </w:r>
        <w:r w:rsidRPr="00E81DC0">
          <w:rPr>
            <w:rStyle w:val="Hyperlink"/>
            <w:rFonts w:asciiTheme="minorHAnsi" w:hAnsiTheme="minorHAnsi" w:cstheme="minorHAnsi"/>
            <w:b/>
            <w:bCs/>
            <w:sz w:val="22"/>
            <w:szCs w:val="22"/>
          </w:rPr>
          <w:t>Protection</w:t>
        </w:r>
      </w:hyperlink>
      <w:r w:rsidRPr="00E81DC0">
        <w:rPr>
          <w:rFonts w:asciiTheme="minorHAnsi" w:hAnsiTheme="minorHAnsi" w:cstheme="minorHAnsi"/>
          <w:b/>
          <w:bCs/>
          <w:sz w:val="22"/>
          <w:szCs w:val="22"/>
        </w:rPr>
        <w:t xml:space="preserve"> needs to be implemented</w:t>
      </w:r>
      <w:r>
        <w:rPr>
          <w:rFonts w:asciiTheme="minorHAnsi" w:hAnsiTheme="minorHAnsi" w:cstheme="minorHAnsi"/>
          <w:sz w:val="22"/>
          <w:szCs w:val="22"/>
        </w:rPr>
        <w:t xml:space="preserve"> prio</w:t>
      </w:r>
      <w:r w:rsidR="00DB0408">
        <w:rPr>
          <w:rFonts w:asciiTheme="minorHAnsi" w:hAnsiTheme="minorHAnsi" w:cstheme="minorHAnsi"/>
          <w:sz w:val="22"/>
          <w:szCs w:val="22"/>
        </w:rPr>
        <w:t>r</w:t>
      </w:r>
      <w:r>
        <w:rPr>
          <w:rFonts w:asciiTheme="minorHAnsi" w:hAnsiTheme="minorHAnsi" w:cstheme="minorHAnsi"/>
          <w:sz w:val="22"/>
          <w:szCs w:val="22"/>
        </w:rPr>
        <w:t>itising the extension of mandatory and effective coverage, and adequacy of benefits to all workers (employed and self-employed)</w:t>
      </w:r>
      <w:r w:rsidR="00BA3DA1">
        <w:rPr>
          <w:rFonts w:asciiTheme="minorHAnsi" w:hAnsiTheme="minorHAnsi" w:cstheme="minorHAnsi"/>
          <w:sz w:val="22"/>
          <w:szCs w:val="22"/>
        </w:rPr>
        <w:t xml:space="preserve"> as a main priority, together with the considerations highlighted above.</w:t>
      </w:r>
    </w:p>
    <w:p w14:paraId="1EEA4466" w14:textId="7CB1BF0F" w:rsidR="00470F90" w:rsidRDefault="00470F90"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 xml:space="preserve">These </w:t>
      </w:r>
      <w:r w:rsidRPr="00E81DC0">
        <w:rPr>
          <w:rFonts w:asciiTheme="minorHAnsi" w:hAnsiTheme="minorHAnsi" w:cstheme="minorHAnsi"/>
          <w:b/>
          <w:bCs/>
          <w:sz w:val="22"/>
          <w:szCs w:val="22"/>
        </w:rPr>
        <w:t>criteria should be monitored rigorously through the European Semester</w:t>
      </w:r>
      <w:r>
        <w:rPr>
          <w:rFonts w:asciiTheme="minorHAnsi" w:hAnsiTheme="minorHAnsi" w:cstheme="minorHAnsi"/>
          <w:sz w:val="22"/>
          <w:szCs w:val="22"/>
        </w:rPr>
        <w:t>, with particularly attention</w:t>
      </w:r>
      <w:r w:rsidR="0020529A">
        <w:rPr>
          <w:rFonts w:asciiTheme="minorHAnsi" w:hAnsiTheme="minorHAnsi" w:cstheme="minorHAnsi"/>
          <w:sz w:val="22"/>
          <w:szCs w:val="22"/>
        </w:rPr>
        <w:t xml:space="preserve"> paid</w:t>
      </w:r>
      <w:r>
        <w:rPr>
          <w:rFonts w:asciiTheme="minorHAnsi" w:hAnsiTheme="minorHAnsi" w:cstheme="minorHAnsi"/>
          <w:sz w:val="22"/>
          <w:szCs w:val="22"/>
        </w:rPr>
        <w:t xml:space="preserve"> to ensuring the coherence of </w:t>
      </w:r>
      <w:r w:rsidR="00FF0BC9">
        <w:rPr>
          <w:rFonts w:asciiTheme="minorHAnsi" w:hAnsiTheme="minorHAnsi" w:cstheme="minorHAnsi"/>
          <w:sz w:val="22"/>
          <w:szCs w:val="22"/>
        </w:rPr>
        <w:t xml:space="preserve">macroeconomic </w:t>
      </w:r>
      <w:r>
        <w:rPr>
          <w:rFonts w:asciiTheme="minorHAnsi" w:hAnsiTheme="minorHAnsi" w:cstheme="minorHAnsi"/>
          <w:sz w:val="22"/>
          <w:szCs w:val="22"/>
        </w:rPr>
        <w:t xml:space="preserve">CSRs to support the necessary investment </w:t>
      </w:r>
      <w:r w:rsidR="00FF0BC9">
        <w:rPr>
          <w:rFonts w:asciiTheme="minorHAnsi" w:hAnsiTheme="minorHAnsi" w:cstheme="minorHAnsi"/>
          <w:sz w:val="22"/>
          <w:szCs w:val="22"/>
        </w:rPr>
        <w:t xml:space="preserve">by </w:t>
      </w:r>
      <w:r>
        <w:rPr>
          <w:rFonts w:asciiTheme="minorHAnsi" w:hAnsiTheme="minorHAnsi" w:cstheme="minorHAnsi"/>
          <w:sz w:val="22"/>
          <w:szCs w:val="22"/>
        </w:rPr>
        <w:t>the State to guarantee implementation, rather than prioritizing ‘cost-cutting’</w:t>
      </w:r>
      <w:r w:rsidR="00FF0BC9">
        <w:rPr>
          <w:rFonts w:asciiTheme="minorHAnsi" w:hAnsiTheme="minorHAnsi" w:cstheme="minorHAnsi"/>
          <w:sz w:val="22"/>
          <w:szCs w:val="22"/>
        </w:rPr>
        <w:t>.</w:t>
      </w:r>
    </w:p>
    <w:p w14:paraId="56DFEDDA" w14:textId="4D00BFDA" w:rsidR="00470F90" w:rsidRDefault="00470F90" w:rsidP="00FD42B5">
      <w:pPr>
        <w:pStyle w:val="NormalWeb"/>
        <w:numPr>
          <w:ilvl w:val="0"/>
          <w:numId w:val="15"/>
        </w:numPr>
        <w:spacing w:before="0" w:after="0"/>
        <w:jc w:val="both"/>
        <w:rPr>
          <w:rFonts w:asciiTheme="minorHAnsi" w:hAnsiTheme="minorHAnsi" w:cstheme="minorHAnsi"/>
          <w:sz w:val="22"/>
          <w:szCs w:val="22"/>
        </w:rPr>
      </w:pPr>
      <w:r w:rsidRPr="00E81DC0">
        <w:rPr>
          <w:rFonts w:asciiTheme="minorHAnsi" w:hAnsiTheme="minorHAnsi" w:cstheme="minorHAnsi"/>
          <w:b/>
          <w:bCs/>
          <w:sz w:val="22"/>
          <w:szCs w:val="22"/>
        </w:rPr>
        <w:t>New indicators should be developed</w:t>
      </w:r>
      <w:r>
        <w:rPr>
          <w:rFonts w:asciiTheme="minorHAnsi" w:hAnsiTheme="minorHAnsi" w:cstheme="minorHAnsi"/>
          <w:sz w:val="22"/>
          <w:szCs w:val="22"/>
        </w:rPr>
        <w:t xml:space="preserve"> </w:t>
      </w:r>
      <w:proofErr w:type="gramStart"/>
      <w:r>
        <w:rPr>
          <w:rFonts w:asciiTheme="minorHAnsi" w:hAnsiTheme="minorHAnsi" w:cstheme="minorHAnsi"/>
          <w:sz w:val="22"/>
          <w:szCs w:val="22"/>
        </w:rPr>
        <w:t>in the area of</w:t>
      </w:r>
      <w:proofErr w:type="gramEnd"/>
      <w:r>
        <w:rPr>
          <w:rFonts w:asciiTheme="minorHAnsi" w:hAnsiTheme="minorHAnsi" w:cstheme="minorHAnsi"/>
          <w:sz w:val="22"/>
          <w:szCs w:val="22"/>
        </w:rPr>
        <w:t xml:space="preserve"> social protection,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adequacy of pensions</w:t>
      </w:r>
      <w:r w:rsidR="00596BF3">
        <w:rPr>
          <w:rFonts w:asciiTheme="minorHAnsi" w:hAnsiTheme="minorHAnsi" w:cstheme="minorHAnsi"/>
          <w:sz w:val="22"/>
          <w:szCs w:val="22"/>
        </w:rPr>
        <w:t>. More investment should be made in involving people facing poverty in indicator design, particularly regarding criteria and flagging up gaps.</w:t>
      </w:r>
    </w:p>
    <w:p w14:paraId="2D52C34C" w14:textId="30CCF73F" w:rsidR="00470F90" w:rsidRDefault="00470F90" w:rsidP="00FD42B5">
      <w:pPr>
        <w:pStyle w:val="NormalWeb"/>
        <w:numPr>
          <w:ilvl w:val="0"/>
          <w:numId w:val="15"/>
        </w:numPr>
        <w:spacing w:before="0" w:after="0"/>
        <w:jc w:val="both"/>
        <w:rPr>
          <w:rFonts w:asciiTheme="minorHAnsi" w:hAnsiTheme="minorHAnsi" w:cstheme="minorHAnsi"/>
          <w:sz w:val="22"/>
          <w:szCs w:val="22"/>
        </w:rPr>
      </w:pPr>
      <w:r w:rsidRPr="00E81DC0">
        <w:rPr>
          <w:rFonts w:asciiTheme="minorHAnsi" w:hAnsiTheme="minorHAnsi" w:cstheme="minorHAnsi"/>
          <w:b/>
          <w:bCs/>
          <w:sz w:val="22"/>
          <w:szCs w:val="22"/>
        </w:rPr>
        <w:t>Adequate financing of social protection should be</w:t>
      </w:r>
      <w:r w:rsidR="00571BD7" w:rsidRPr="00E81DC0">
        <w:rPr>
          <w:rFonts w:asciiTheme="minorHAnsi" w:hAnsiTheme="minorHAnsi" w:cstheme="minorHAnsi"/>
          <w:b/>
          <w:bCs/>
          <w:sz w:val="22"/>
          <w:szCs w:val="22"/>
        </w:rPr>
        <w:t xml:space="preserve"> a</w:t>
      </w:r>
      <w:r w:rsidRPr="00E81DC0">
        <w:rPr>
          <w:rFonts w:asciiTheme="minorHAnsi" w:hAnsiTheme="minorHAnsi" w:cstheme="minorHAnsi"/>
          <w:b/>
          <w:bCs/>
          <w:sz w:val="22"/>
          <w:szCs w:val="22"/>
        </w:rPr>
        <w:t xml:space="preserve"> key priorit</w:t>
      </w:r>
      <w:r>
        <w:rPr>
          <w:rFonts w:asciiTheme="minorHAnsi" w:hAnsiTheme="minorHAnsi" w:cstheme="minorHAnsi"/>
          <w:sz w:val="22"/>
          <w:szCs w:val="22"/>
        </w:rPr>
        <w:t xml:space="preserve">y, introducing indicators/benchmarking to ensure </w:t>
      </w:r>
      <w:r w:rsidR="00BA3DA1">
        <w:rPr>
          <w:rFonts w:asciiTheme="minorHAnsi" w:hAnsiTheme="minorHAnsi" w:cstheme="minorHAnsi"/>
          <w:sz w:val="22"/>
          <w:szCs w:val="22"/>
        </w:rPr>
        <w:t xml:space="preserve">social protection spending should not fall below 35% of </w:t>
      </w:r>
      <w:r>
        <w:rPr>
          <w:rFonts w:asciiTheme="minorHAnsi" w:hAnsiTheme="minorHAnsi" w:cstheme="minorHAnsi"/>
          <w:sz w:val="22"/>
          <w:szCs w:val="22"/>
        </w:rPr>
        <w:t>GDP</w:t>
      </w:r>
      <w:r w:rsidR="008772A3">
        <w:rPr>
          <w:rFonts w:asciiTheme="minorHAnsi" w:hAnsiTheme="minorHAnsi" w:cstheme="minorHAnsi"/>
          <w:sz w:val="22"/>
          <w:szCs w:val="22"/>
        </w:rPr>
        <w:t>,</w:t>
      </w:r>
      <w:r w:rsidR="00BA3DA1">
        <w:rPr>
          <w:rStyle w:val="FootnoteReference"/>
          <w:rFonts w:asciiTheme="minorHAnsi" w:hAnsiTheme="minorHAnsi" w:cstheme="minorHAnsi"/>
          <w:sz w:val="22"/>
          <w:szCs w:val="22"/>
        </w:rPr>
        <w:footnoteReference w:id="33"/>
      </w:r>
      <w:r w:rsidR="00BA3DA1">
        <w:rPr>
          <w:rFonts w:asciiTheme="minorHAnsi" w:hAnsiTheme="minorHAnsi" w:cstheme="minorHAnsi"/>
          <w:sz w:val="22"/>
          <w:szCs w:val="22"/>
        </w:rPr>
        <w:t xml:space="preserve"> increasing revenue by tackling tax evasion/avoidance and more progressive tax systems including tax on wealth, property</w:t>
      </w:r>
      <w:r w:rsidR="009E4506">
        <w:rPr>
          <w:rFonts w:asciiTheme="minorHAnsi" w:hAnsiTheme="minorHAnsi" w:cstheme="minorHAnsi"/>
          <w:sz w:val="22"/>
          <w:szCs w:val="22"/>
        </w:rPr>
        <w:t>, inheritance</w:t>
      </w:r>
      <w:r w:rsidR="00BA3DA1">
        <w:rPr>
          <w:rFonts w:asciiTheme="minorHAnsi" w:hAnsiTheme="minorHAnsi" w:cstheme="minorHAnsi"/>
          <w:sz w:val="22"/>
          <w:szCs w:val="22"/>
        </w:rPr>
        <w:t xml:space="preserve"> and capital</w:t>
      </w:r>
      <w:r w:rsidR="00BA3DA1">
        <w:rPr>
          <w:rStyle w:val="FootnoteReference"/>
          <w:rFonts w:asciiTheme="minorHAnsi" w:hAnsiTheme="minorHAnsi" w:cstheme="minorHAnsi"/>
          <w:sz w:val="22"/>
          <w:szCs w:val="22"/>
        </w:rPr>
        <w:footnoteReference w:id="34"/>
      </w:r>
      <w:r w:rsidR="009E4506">
        <w:rPr>
          <w:rFonts w:asciiTheme="minorHAnsi" w:hAnsiTheme="minorHAnsi" w:cstheme="minorHAnsi"/>
          <w:sz w:val="22"/>
          <w:szCs w:val="22"/>
        </w:rPr>
        <w:t xml:space="preserve"> as well as  health taxes</w:t>
      </w:r>
      <w:r w:rsidR="009E4506">
        <w:rPr>
          <w:rStyle w:val="FootnoteReference"/>
          <w:rFonts w:asciiTheme="minorHAnsi" w:hAnsiTheme="minorHAnsi" w:cstheme="minorHAnsi"/>
          <w:sz w:val="22"/>
          <w:szCs w:val="22"/>
        </w:rPr>
        <w:footnoteReference w:id="35"/>
      </w:r>
      <w:r w:rsidR="00E56B01">
        <w:rPr>
          <w:rFonts w:asciiTheme="minorHAnsi" w:hAnsiTheme="minorHAnsi" w:cstheme="minorHAnsi"/>
          <w:sz w:val="22"/>
          <w:szCs w:val="22"/>
        </w:rPr>
        <w:t>.</w:t>
      </w:r>
    </w:p>
    <w:p w14:paraId="417413CB" w14:textId="6DCDB1E9" w:rsidR="00BA3DA1" w:rsidRPr="00DB0408" w:rsidRDefault="00BA3DA1" w:rsidP="00FD42B5">
      <w:pPr>
        <w:pStyle w:val="NormalWeb"/>
        <w:spacing w:before="0" w:after="0"/>
        <w:jc w:val="both"/>
        <w:rPr>
          <w:rFonts w:asciiTheme="minorHAnsi" w:hAnsiTheme="minorHAnsi" w:cstheme="minorHAnsi"/>
          <w:b/>
          <w:bCs/>
          <w:sz w:val="22"/>
          <w:szCs w:val="22"/>
          <w:u w:val="single"/>
        </w:rPr>
      </w:pPr>
      <w:r w:rsidRPr="00DB0408">
        <w:rPr>
          <w:rFonts w:asciiTheme="minorHAnsi" w:hAnsiTheme="minorHAnsi" w:cstheme="minorHAnsi"/>
          <w:b/>
          <w:bCs/>
          <w:sz w:val="22"/>
          <w:szCs w:val="22"/>
          <w:u w:val="single"/>
        </w:rPr>
        <w:t>Hard Law</w:t>
      </w:r>
      <w:r w:rsidR="002C7886">
        <w:rPr>
          <w:rFonts w:asciiTheme="minorHAnsi" w:hAnsiTheme="minorHAnsi" w:cstheme="minorHAnsi"/>
          <w:b/>
          <w:bCs/>
          <w:sz w:val="22"/>
          <w:szCs w:val="22"/>
          <w:u w:val="single"/>
        </w:rPr>
        <w:t>/EU legislation</w:t>
      </w:r>
    </w:p>
    <w:p w14:paraId="476A5ABF" w14:textId="4B0511D7" w:rsidR="00BA3DA1" w:rsidRPr="0093130A" w:rsidRDefault="00BA3DA1" w:rsidP="00FD42B5">
      <w:pPr>
        <w:pStyle w:val="NormalWeb"/>
        <w:numPr>
          <w:ilvl w:val="0"/>
          <w:numId w:val="15"/>
        </w:numPr>
        <w:spacing w:before="0" w:after="0"/>
        <w:jc w:val="both"/>
        <w:rPr>
          <w:rFonts w:asciiTheme="minorHAnsi" w:hAnsiTheme="minorHAnsi" w:cstheme="minorHAnsi"/>
          <w:sz w:val="22"/>
          <w:szCs w:val="22"/>
        </w:rPr>
      </w:pPr>
      <w:r w:rsidRPr="00E81DC0">
        <w:rPr>
          <w:rFonts w:asciiTheme="minorHAnsi" w:hAnsiTheme="minorHAnsi" w:cstheme="minorHAnsi"/>
          <w:b/>
          <w:bCs/>
          <w:sz w:val="22"/>
          <w:szCs w:val="22"/>
        </w:rPr>
        <w:t>EAPN strongly back</w:t>
      </w:r>
      <w:r w:rsidR="00113313" w:rsidRPr="00E81DC0">
        <w:rPr>
          <w:rFonts w:asciiTheme="minorHAnsi" w:hAnsiTheme="minorHAnsi" w:cstheme="minorHAnsi"/>
          <w:b/>
          <w:bCs/>
          <w:sz w:val="22"/>
          <w:szCs w:val="22"/>
        </w:rPr>
        <w:t>s</w:t>
      </w:r>
      <w:r w:rsidRPr="00E81DC0">
        <w:rPr>
          <w:rFonts w:asciiTheme="minorHAnsi" w:hAnsiTheme="minorHAnsi" w:cstheme="minorHAnsi"/>
          <w:b/>
          <w:bCs/>
          <w:sz w:val="22"/>
          <w:szCs w:val="22"/>
        </w:rPr>
        <w:t xml:space="preserve"> the need for a Framework</w:t>
      </w:r>
      <w:r w:rsidRPr="00571BD7">
        <w:rPr>
          <w:rFonts w:asciiTheme="minorHAnsi" w:hAnsiTheme="minorHAnsi" w:cstheme="minorHAnsi"/>
          <w:b/>
          <w:bCs/>
          <w:sz w:val="22"/>
          <w:szCs w:val="22"/>
        </w:rPr>
        <w:t xml:space="preserve"> Directive to guarantee access to social protection</w:t>
      </w:r>
      <w:r w:rsidR="00675C76">
        <w:rPr>
          <w:rFonts w:asciiTheme="minorHAnsi" w:hAnsiTheme="minorHAnsi" w:cstheme="minorHAnsi"/>
          <w:sz w:val="22"/>
          <w:szCs w:val="22"/>
        </w:rPr>
        <w:t>.</w:t>
      </w:r>
      <w:r>
        <w:rPr>
          <w:rFonts w:asciiTheme="minorHAnsi" w:hAnsiTheme="minorHAnsi" w:cstheme="minorHAnsi"/>
          <w:sz w:val="22"/>
          <w:szCs w:val="22"/>
        </w:rPr>
        <w:t xml:space="preserve"> We support the </w:t>
      </w:r>
      <w:r w:rsidR="00113313">
        <w:rPr>
          <w:rFonts w:asciiTheme="minorHAnsi" w:hAnsiTheme="minorHAnsi" w:cstheme="minorHAnsi"/>
          <w:sz w:val="22"/>
          <w:szCs w:val="22"/>
        </w:rPr>
        <w:t>ETUC</w:t>
      </w:r>
      <w:r w:rsidR="00113313">
        <w:rPr>
          <w:rStyle w:val="FootnoteReference"/>
          <w:rFonts w:asciiTheme="minorHAnsi" w:hAnsiTheme="minorHAnsi" w:cstheme="minorHAnsi"/>
          <w:sz w:val="22"/>
          <w:szCs w:val="22"/>
        </w:rPr>
        <w:footnoteReference w:id="36"/>
      </w:r>
      <w:r w:rsidR="00113313">
        <w:rPr>
          <w:rFonts w:asciiTheme="minorHAnsi" w:hAnsiTheme="minorHAnsi" w:cstheme="minorHAnsi"/>
          <w:sz w:val="22"/>
          <w:szCs w:val="22"/>
        </w:rPr>
        <w:t xml:space="preserve"> </w:t>
      </w:r>
      <w:r>
        <w:rPr>
          <w:rFonts w:asciiTheme="minorHAnsi" w:hAnsiTheme="minorHAnsi" w:cstheme="minorHAnsi"/>
          <w:sz w:val="22"/>
          <w:szCs w:val="22"/>
        </w:rPr>
        <w:t xml:space="preserve">view that an impact assessment should be carried out in 4 </w:t>
      </w:r>
      <w:r w:rsidR="008772A3">
        <w:rPr>
          <w:rFonts w:asciiTheme="minorHAnsi" w:hAnsiTheme="minorHAnsi" w:cstheme="minorHAnsi"/>
          <w:sz w:val="22"/>
          <w:szCs w:val="22"/>
        </w:rPr>
        <w:t>years’ time</w:t>
      </w:r>
      <w:r>
        <w:rPr>
          <w:rFonts w:asciiTheme="minorHAnsi" w:hAnsiTheme="minorHAnsi" w:cstheme="minorHAnsi"/>
          <w:sz w:val="22"/>
          <w:szCs w:val="22"/>
        </w:rPr>
        <w:t>, involving the social partners</w:t>
      </w:r>
      <w:r w:rsidR="00113313">
        <w:rPr>
          <w:rFonts w:asciiTheme="minorHAnsi" w:hAnsiTheme="minorHAnsi" w:cstheme="minorHAnsi"/>
          <w:sz w:val="22"/>
          <w:szCs w:val="22"/>
        </w:rPr>
        <w:t>. D</w:t>
      </w:r>
      <w:r>
        <w:rPr>
          <w:rFonts w:asciiTheme="minorHAnsi" w:hAnsiTheme="minorHAnsi" w:cstheme="minorHAnsi"/>
          <w:sz w:val="22"/>
          <w:szCs w:val="22"/>
        </w:rPr>
        <w:t>iscussions with civil society organizations</w:t>
      </w:r>
      <w:r w:rsidR="00113313">
        <w:rPr>
          <w:rFonts w:asciiTheme="minorHAnsi" w:hAnsiTheme="minorHAnsi" w:cstheme="minorHAnsi"/>
          <w:sz w:val="22"/>
          <w:szCs w:val="22"/>
        </w:rPr>
        <w:t xml:space="preserve"> particularly those working with low-paid and </w:t>
      </w:r>
      <w:r>
        <w:rPr>
          <w:rFonts w:asciiTheme="minorHAnsi" w:hAnsiTheme="minorHAnsi" w:cstheme="minorHAnsi"/>
          <w:sz w:val="22"/>
          <w:szCs w:val="22"/>
        </w:rPr>
        <w:t>vulnerable worker</w:t>
      </w:r>
      <w:r w:rsidR="00113313">
        <w:rPr>
          <w:rFonts w:asciiTheme="minorHAnsi" w:hAnsiTheme="minorHAnsi" w:cstheme="minorHAnsi"/>
          <w:sz w:val="22"/>
          <w:szCs w:val="22"/>
        </w:rPr>
        <w:t>s should also take place</w:t>
      </w:r>
      <w:r>
        <w:rPr>
          <w:rFonts w:asciiTheme="minorHAnsi" w:hAnsiTheme="minorHAnsi" w:cstheme="minorHAnsi"/>
          <w:sz w:val="22"/>
          <w:szCs w:val="22"/>
        </w:rPr>
        <w:t xml:space="preserve"> to ascertain whether a further legal instrument is needed to achieve the expected results.</w:t>
      </w:r>
      <w:r w:rsidR="00571BD7">
        <w:rPr>
          <w:rFonts w:asciiTheme="minorHAnsi" w:hAnsiTheme="minorHAnsi" w:cstheme="minorHAnsi"/>
          <w:sz w:val="22"/>
          <w:szCs w:val="22"/>
        </w:rPr>
        <w:t xml:space="preserve"> The social and economic impact of COVID-19 only underlines the urgent need to guarantee social protection to all regardless of employment status.</w:t>
      </w:r>
    </w:p>
    <w:p w14:paraId="085BC86C" w14:textId="77777777" w:rsidR="00E47DEA" w:rsidRDefault="00E47DEA" w:rsidP="00C25F91">
      <w:pPr>
        <w:rPr>
          <w:b/>
          <w:bCs/>
          <w:sz w:val="24"/>
          <w:szCs w:val="24"/>
        </w:rPr>
      </w:pPr>
    </w:p>
    <w:p w14:paraId="4EAE79D6" w14:textId="3031FA4A" w:rsidR="00C25F91" w:rsidRPr="004B6616" w:rsidRDefault="00C25F91" w:rsidP="00C25F91">
      <w:pPr>
        <w:rPr>
          <w:b/>
          <w:bCs/>
          <w:sz w:val="24"/>
          <w:szCs w:val="24"/>
        </w:rPr>
      </w:pPr>
      <w:r w:rsidRPr="004B6616">
        <w:rPr>
          <w:b/>
          <w:bCs/>
          <w:sz w:val="24"/>
          <w:szCs w:val="24"/>
        </w:rPr>
        <w:t xml:space="preserve">PRINCIPLE 6 FAIR WAGES </w:t>
      </w:r>
    </w:p>
    <w:p w14:paraId="1684F258" w14:textId="77777777" w:rsidR="00C25F91" w:rsidRDefault="00C25F91" w:rsidP="00C25F91">
      <w:pPr>
        <w:rPr>
          <w:b/>
          <w:bCs/>
        </w:rPr>
      </w:pPr>
      <w:r>
        <w:rPr>
          <w:b/>
          <w:bCs/>
        </w:rPr>
        <w:t>CONNECTED PRINCIPLES - 3: Equal Opportunities, 4: Active support to employment, 5: Secure and adaptable employment, 8: Social dialogue</w:t>
      </w:r>
    </w:p>
    <w:p w14:paraId="0551C728" w14:textId="77777777" w:rsidR="00C25F91" w:rsidRDefault="00C25F91" w:rsidP="00C25F91">
      <w:pPr>
        <w:pBdr>
          <w:top w:val="single" w:sz="4" w:space="1" w:color="auto"/>
          <w:left w:val="single" w:sz="4" w:space="4" w:color="auto"/>
          <w:bottom w:val="single" w:sz="4" w:space="1" w:color="auto"/>
          <w:right w:val="single" w:sz="4" w:space="4" w:color="auto"/>
        </w:pBdr>
        <w:jc w:val="both"/>
        <w:rPr>
          <w:b/>
        </w:rPr>
      </w:pPr>
      <w:r w:rsidRPr="00E47DEA">
        <w:rPr>
          <w:b/>
          <w:bCs/>
        </w:rPr>
        <w:t>SDG</w:t>
      </w:r>
      <w:r w:rsidRPr="00E47DEA">
        <w:rPr>
          <w:b/>
        </w:rPr>
        <w:t xml:space="preserve"> Goal 8</w:t>
      </w:r>
      <w:r w:rsidRPr="00E47DEA">
        <w:t xml:space="preserve">. </w:t>
      </w:r>
      <w:r>
        <w:t xml:space="preserve">Promote sustained, </w:t>
      </w:r>
      <w:proofErr w:type="gramStart"/>
      <w:r>
        <w:t>inclusive</w:t>
      </w:r>
      <w:proofErr w:type="gramEnd"/>
      <w:r>
        <w:t xml:space="preserve"> and sustainable economic growth, full and productive employment and </w:t>
      </w:r>
      <w:r w:rsidRPr="00205FD4">
        <w:rPr>
          <w:b/>
        </w:rPr>
        <w:t>decent work for all</w:t>
      </w:r>
      <w:r>
        <w:rPr>
          <w:b/>
        </w:rPr>
        <w:t>.</w:t>
      </w:r>
    </w:p>
    <w:p w14:paraId="2D51EAF3" w14:textId="77777777" w:rsidR="00C25F91" w:rsidRPr="00ED7F41" w:rsidRDefault="00C25F91" w:rsidP="00C25F91">
      <w:pPr>
        <w:jc w:val="both"/>
      </w:pPr>
      <w:r w:rsidRPr="00A5307C">
        <w:rPr>
          <w:rFonts w:cstheme="minorHAnsi"/>
          <w:lang w:val="en-US"/>
        </w:rPr>
        <w:t xml:space="preserve">EAPN has consistently and for many years worked on the topic of </w:t>
      </w:r>
      <w:r w:rsidRPr="00A5307C">
        <w:rPr>
          <w:rFonts w:cstheme="minorHAnsi"/>
          <w:b/>
          <w:bCs/>
          <w:lang w:val="en-US"/>
        </w:rPr>
        <w:t>decent wages</w:t>
      </w:r>
      <w:r w:rsidRPr="00A5307C">
        <w:rPr>
          <w:rFonts w:cstheme="minorHAnsi"/>
          <w:lang w:val="en-US"/>
        </w:rPr>
        <w:t xml:space="preserve">, with a long-standing focus on </w:t>
      </w:r>
      <w:r w:rsidRPr="00A5307C">
        <w:rPr>
          <w:rFonts w:cstheme="minorHAnsi"/>
          <w:b/>
          <w:bCs/>
          <w:lang w:val="en-US"/>
        </w:rPr>
        <w:t>fighting in-work poverty and promoting quality jobs and employment as well as integrated active inclusion policies as key elements of an integrated strategy to fight poverty.</w:t>
      </w:r>
    </w:p>
    <w:p w14:paraId="3AAF4691" w14:textId="77777777" w:rsidR="00C25F91" w:rsidRDefault="00C25F91" w:rsidP="00C25F91">
      <w:pPr>
        <w:shd w:val="clear" w:color="auto" w:fill="FFFFFF"/>
        <w:spacing w:after="0" w:line="240" w:lineRule="auto"/>
        <w:jc w:val="both"/>
        <w:rPr>
          <w:rFonts w:eastAsia="Times New Roman" w:cstheme="minorHAnsi"/>
          <w:lang w:eastAsia="fr-BE"/>
        </w:rPr>
      </w:pPr>
      <w:r w:rsidRPr="00A5307C">
        <w:rPr>
          <w:rFonts w:eastAsia="Times New Roman" w:cstheme="minorHAnsi"/>
          <w:lang w:eastAsia="fr-BE"/>
        </w:rPr>
        <w:t xml:space="preserve">EAPN in 2011 elaborated </w:t>
      </w:r>
      <w:hyperlink r:id="rId43" w:tgtFrame="_blank" w:history="1">
        <w:r w:rsidRPr="00A5307C">
          <w:rPr>
            <w:rStyle w:val="Hyperlink"/>
            <w:rFonts w:cstheme="minorHAnsi"/>
            <w:lang w:val="en-US"/>
          </w:rPr>
          <w:t>10 EAPN Principles for Quality Work</w:t>
        </w:r>
      </w:hyperlink>
      <w:r w:rsidRPr="00A5307C">
        <w:rPr>
          <w:rFonts w:eastAsia="Times New Roman" w:cstheme="minorHAnsi"/>
          <w:lang w:eastAsia="fr-BE"/>
        </w:rPr>
        <w:t xml:space="preserve"> reflecting our members’ view on what constitutes a quality job </w:t>
      </w:r>
      <w:r w:rsidRPr="00A5307C">
        <w:rPr>
          <w:rFonts w:cstheme="minorHAnsi"/>
          <w:lang w:val="en-US"/>
        </w:rPr>
        <w:t>and decent working conditions</w:t>
      </w:r>
      <w:r w:rsidRPr="00800600">
        <w:rPr>
          <w:rStyle w:val="FootnoteReference"/>
          <w:rFonts w:cstheme="minorHAnsi"/>
          <w:lang w:val="en-US"/>
        </w:rPr>
        <w:footnoteReference w:id="37"/>
      </w:r>
      <w:r w:rsidRPr="00A5307C">
        <w:rPr>
          <w:rFonts w:cstheme="minorHAnsi"/>
          <w:lang w:val="en-US"/>
        </w:rPr>
        <w:t xml:space="preserve"> – not surprisingly </w:t>
      </w:r>
      <w:r w:rsidRPr="00A5307C">
        <w:rPr>
          <w:rFonts w:eastAsia="Times New Roman" w:cstheme="minorHAnsi"/>
          <w:lang w:eastAsia="fr-BE"/>
        </w:rPr>
        <w:t>the issue of adequate wages and of living wages is listed first</w:t>
      </w:r>
      <w:r>
        <w:rPr>
          <w:rStyle w:val="FootnoteReference"/>
          <w:rFonts w:eastAsia="Times New Roman" w:cstheme="minorHAnsi"/>
          <w:lang w:eastAsia="fr-BE"/>
        </w:rPr>
        <w:footnoteReference w:id="38"/>
      </w:r>
      <w:r w:rsidRPr="00A5307C">
        <w:rPr>
          <w:rFonts w:eastAsia="Times New Roman" w:cstheme="minorHAnsi"/>
          <w:lang w:eastAsia="fr-BE"/>
        </w:rPr>
        <w:t xml:space="preserve">. In 2017 </w:t>
      </w:r>
      <w:r w:rsidRPr="00A5307C">
        <w:rPr>
          <w:rFonts w:eastAsia="Times New Roman" w:cstheme="minorHAnsi"/>
          <w:color w:val="000000"/>
          <w:lang w:val="en-US"/>
        </w:rPr>
        <w:t xml:space="preserve">EAPN issued a </w:t>
      </w:r>
      <w:hyperlink r:id="rId44" w:history="1">
        <w:r w:rsidRPr="00A5307C">
          <w:rPr>
            <w:rStyle w:val="Hyperlink"/>
            <w:rFonts w:eastAsia="Times New Roman" w:cstheme="minorHAnsi"/>
            <w:lang w:val="en-US"/>
          </w:rPr>
          <w:t xml:space="preserve">Position Paper on Inclusive </w:t>
        </w:r>
        <w:proofErr w:type="spellStart"/>
        <w:r w:rsidRPr="00A5307C">
          <w:rPr>
            <w:rStyle w:val="Hyperlink"/>
            <w:rFonts w:eastAsia="Times New Roman" w:cstheme="minorHAnsi"/>
            <w:lang w:val="en-US"/>
          </w:rPr>
          <w:t>Labour</w:t>
        </w:r>
        <w:proofErr w:type="spellEnd"/>
        <w:r w:rsidRPr="00A5307C">
          <w:rPr>
            <w:rStyle w:val="Hyperlink"/>
            <w:rFonts w:eastAsia="Times New Roman" w:cstheme="minorHAnsi"/>
            <w:lang w:val="en-US"/>
          </w:rPr>
          <w:t xml:space="preserve"> Markets – Building pathway approaches to quality employment</w:t>
        </w:r>
      </w:hyperlink>
      <w:r w:rsidRPr="00A5307C">
        <w:rPr>
          <w:rFonts w:eastAsia="Times New Roman" w:cstheme="minorHAnsi"/>
          <w:lang w:eastAsia="fr-BE"/>
        </w:rPr>
        <w:t xml:space="preserve">, further elaborating on the EAPN’s </w:t>
      </w:r>
      <w:r w:rsidRPr="00A5307C">
        <w:rPr>
          <w:rFonts w:eastAsia="Times New Roman" w:cstheme="minorHAnsi"/>
          <w:lang w:eastAsia="fr-BE"/>
        </w:rPr>
        <w:lastRenderedPageBreak/>
        <w:t xml:space="preserve">view on inclusive labour markets which would “holistically support those who can work into quality employment, while equally promoting social participation and dignified lives for those who cannot work” (p. 4), building on an integrated active inclusion approach. In </w:t>
      </w:r>
      <w:r w:rsidRPr="00A5307C">
        <w:rPr>
          <w:rFonts w:eastAsia="Times New Roman" w:cstheme="minorHAnsi"/>
          <w:color w:val="000000"/>
        </w:rPr>
        <w:t>2018 EAPN published</w:t>
      </w:r>
      <w:r w:rsidRPr="00A5307C">
        <w:rPr>
          <w:rFonts w:eastAsia="Times New Roman" w:cstheme="minorHAnsi"/>
          <w:color w:val="000000"/>
          <w:lang w:val="en-US"/>
        </w:rPr>
        <w:t xml:space="preserve"> the</w:t>
      </w:r>
      <w:r w:rsidRPr="00A5307C">
        <w:rPr>
          <w:rFonts w:eastAsia="Times New Roman" w:cstheme="minorHAnsi"/>
          <w:color w:val="000000"/>
        </w:rPr>
        <w:t xml:space="preserve"> </w:t>
      </w:r>
      <w:hyperlink r:id="rId45" w:history="1">
        <w:r w:rsidRPr="00A5307C">
          <w:rPr>
            <w:rStyle w:val="Hyperlink"/>
            <w:rFonts w:eastAsia="Times New Roman" w:cstheme="minorHAnsi"/>
            <w:lang w:val="en-US"/>
          </w:rPr>
          <w:t>Analysis Paper “</w:t>
        </w:r>
        <w:r w:rsidRPr="00A5307C">
          <w:rPr>
            <w:rStyle w:val="Hyperlink"/>
            <w:rFonts w:eastAsia="Times New Roman" w:cstheme="minorHAnsi"/>
          </w:rPr>
          <w:t>The Future of Work’: Labour market trends and the risks to poverty and social exclusion”</w:t>
        </w:r>
      </w:hyperlink>
      <w:r w:rsidRPr="00A5307C">
        <w:rPr>
          <w:rFonts w:eastAsia="Times New Roman" w:cstheme="minorHAnsi"/>
          <w:lang w:eastAsia="fr-BE"/>
        </w:rPr>
        <w:t xml:space="preserve"> which </w:t>
      </w:r>
      <w:proofErr w:type="spellStart"/>
      <w:r w:rsidRPr="00A5307C">
        <w:rPr>
          <w:rFonts w:eastAsia="Times New Roman" w:cstheme="minorHAnsi"/>
          <w:lang w:eastAsia="fr-BE"/>
        </w:rPr>
        <w:t>i.a.</w:t>
      </w:r>
      <w:proofErr w:type="spellEnd"/>
      <w:r w:rsidRPr="00A5307C">
        <w:rPr>
          <w:rFonts w:eastAsia="Times New Roman" w:cstheme="minorHAnsi"/>
          <w:lang w:eastAsia="fr-BE"/>
        </w:rPr>
        <w:t xml:space="preserve"> also deals with quality work and the quality of contractual arrangements and contains EAPN’s related proposals and recommendations. In 2013 EAPN issued a </w:t>
      </w:r>
      <w:hyperlink r:id="rId46" w:tgtFrame="_blank" w:history="1">
        <w:r w:rsidRPr="00A5307C">
          <w:rPr>
            <w:rStyle w:val="Hyperlink"/>
            <w:rFonts w:cstheme="minorHAnsi"/>
            <w:lang w:val="en-US"/>
          </w:rPr>
          <w:t>Position Paper on In-Work Poverty</w:t>
        </w:r>
      </w:hyperlink>
      <w:r w:rsidRPr="00A5307C">
        <w:rPr>
          <w:rFonts w:eastAsia="Times New Roman" w:cstheme="minorHAnsi"/>
          <w:lang w:eastAsia="fr-BE"/>
        </w:rPr>
        <w:t xml:space="preserve"> and in 2014 elaborated the </w:t>
      </w:r>
      <w:hyperlink r:id="rId47" w:tgtFrame="_blank" w:history="1">
        <w:r w:rsidRPr="00A5307C">
          <w:rPr>
            <w:rStyle w:val="Hyperlink"/>
            <w:rFonts w:cstheme="minorHAnsi"/>
            <w:lang w:val="en-US"/>
          </w:rPr>
          <w:t>EAPN Explainer on Quality Work and Employment</w:t>
        </w:r>
      </w:hyperlink>
      <w:r w:rsidRPr="00A5307C">
        <w:rPr>
          <w:rFonts w:eastAsia="Times New Roman" w:cstheme="minorHAnsi"/>
          <w:lang w:eastAsia="fr-BE"/>
        </w:rPr>
        <w:t xml:space="preserve">. </w:t>
      </w:r>
      <w:r w:rsidRPr="00A5307C">
        <w:rPr>
          <w:rFonts w:eastAsia="Times New Roman" w:cstheme="minorHAnsi"/>
          <w:color w:val="000000"/>
        </w:rPr>
        <w:t xml:space="preserve">The 2017 </w:t>
      </w:r>
      <w:hyperlink r:id="rId48" w:history="1">
        <w:r w:rsidRPr="00A5307C">
          <w:rPr>
            <w:rStyle w:val="Hyperlink"/>
            <w:rFonts w:eastAsia="Times New Roman" w:cstheme="minorHAnsi"/>
          </w:rPr>
          <w:t>European Meeting of People Experiencing Poverty focused exclusively on in-work poverty</w:t>
        </w:r>
      </w:hyperlink>
      <w:r w:rsidRPr="00A5307C">
        <w:rPr>
          <w:rFonts w:eastAsia="Times New Roman" w:cstheme="minorHAnsi"/>
          <w:color w:val="000000"/>
        </w:rPr>
        <w:t xml:space="preserve">, producing a </w:t>
      </w:r>
      <w:hyperlink r:id="rId49" w:history="1">
        <w:r w:rsidRPr="00A5307C">
          <w:rPr>
            <w:rStyle w:val="Hyperlink"/>
            <w:rFonts w:eastAsia="Times New Roman" w:cstheme="minorHAnsi"/>
          </w:rPr>
          <w:t>full report</w:t>
        </w:r>
      </w:hyperlink>
      <w:r w:rsidRPr="00A5307C">
        <w:rPr>
          <w:rFonts w:eastAsia="Times New Roman" w:cstheme="minorHAnsi"/>
          <w:color w:val="000000"/>
        </w:rPr>
        <w:t xml:space="preserve"> and a </w:t>
      </w:r>
      <w:hyperlink r:id="rId50" w:history="1">
        <w:r w:rsidRPr="00A5307C">
          <w:rPr>
            <w:rStyle w:val="Hyperlink"/>
            <w:rFonts w:eastAsia="Times New Roman" w:cstheme="minorHAnsi"/>
          </w:rPr>
          <w:t>short report</w:t>
        </w:r>
      </w:hyperlink>
      <w:r w:rsidRPr="00A5307C">
        <w:rPr>
          <w:rFonts w:eastAsia="Times New Roman" w:cstheme="minorHAnsi"/>
          <w:color w:val="000000"/>
        </w:rPr>
        <w:t xml:space="preserve"> with key messages</w:t>
      </w:r>
      <w:r w:rsidRPr="00A5307C">
        <w:rPr>
          <w:rFonts w:eastAsia="Times New Roman" w:cstheme="minorHAnsi"/>
          <w:color w:val="000000"/>
          <w:lang w:val="en-US"/>
        </w:rPr>
        <w:t xml:space="preserve"> to policy makers. Much of all this earlier </w:t>
      </w:r>
      <w:r w:rsidRPr="00A5307C">
        <w:rPr>
          <w:rFonts w:eastAsia="Times New Roman" w:cstheme="minorHAnsi"/>
          <w:lang w:eastAsia="fr-BE"/>
        </w:rPr>
        <w:t xml:space="preserve">work was taken up in </w:t>
      </w:r>
      <w:r w:rsidRPr="00A5307C">
        <w:rPr>
          <w:rFonts w:eastAsia="Times New Roman" w:cstheme="minorHAnsi"/>
          <w:color w:val="000000"/>
        </w:rPr>
        <w:t xml:space="preserve">a </w:t>
      </w:r>
      <w:hyperlink r:id="rId51" w:history="1">
        <w:r w:rsidRPr="00A5307C">
          <w:rPr>
            <w:rStyle w:val="Hyperlink"/>
            <w:rFonts w:eastAsia="Times New Roman" w:cstheme="minorHAnsi"/>
          </w:rPr>
          <w:t>Compendium of Promising Practices – Combatting In-Work Poverty</w:t>
        </w:r>
      </w:hyperlink>
      <w:r w:rsidRPr="00A5307C">
        <w:rPr>
          <w:rFonts w:eastAsia="Times New Roman" w:cstheme="minorHAnsi"/>
          <w:lang w:eastAsia="fr-BE"/>
        </w:rPr>
        <w:t xml:space="preserve"> published in 2019. </w:t>
      </w:r>
    </w:p>
    <w:p w14:paraId="7132FDCB" w14:textId="77777777" w:rsidR="00C25F91" w:rsidRPr="00A5307C" w:rsidRDefault="00C25F91" w:rsidP="00C25F91">
      <w:pPr>
        <w:shd w:val="clear" w:color="auto" w:fill="FFFFFF"/>
        <w:spacing w:after="0" w:line="240" w:lineRule="auto"/>
        <w:jc w:val="both"/>
        <w:rPr>
          <w:rFonts w:eastAsia="Times New Roman" w:cstheme="minorHAnsi"/>
          <w:lang w:eastAsia="fr-BE"/>
        </w:rPr>
      </w:pPr>
    </w:p>
    <w:p w14:paraId="4C3F3BC6" w14:textId="77777777" w:rsidR="00C25F91" w:rsidRDefault="00C25F91" w:rsidP="00C25F91">
      <w:pPr>
        <w:jc w:val="both"/>
      </w:pPr>
      <w:r w:rsidRPr="00E81DC0">
        <w:rPr>
          <w:b/>
          <w:bCs/>
        </w:rPr>
        <w:t>Current data provided by the EU show little progress on fair wages or decent jobs</w:t>
      </w:r>
      <w:r w:rsidRPr="00BF4237">
        <w:t>.</w:t>
      </w:r>
      <w:r>
        <w:rPr>
          <w:rStyle w:val="FootnoteReference"/>
        </w:rPr>
        <w:footnoteReference w:id="39"/>
      </w:r>
      <w:r w:rsidRPr="00BF4237">
        <w:t xml:space="preserve"> This is primarily due to downward pressure on wages, increasing wage gap between directors and other workers</w:t>
      </w:r>
      <w:r>
        <w:t>,</w:t>
      </w:r>
      <w:r w:rsidRPr="00BF4237">
        <w:t xml:space="preserve"> with globalisation</w:t>
      </w:r>
      <w:r>
        <w:t xml:space="preserve"> driven by exploitative business models searching for re-location/sub contraction with cheaper workforces, both within the EU and outside.</w:t>
      </w:r>
    </w:p>
    <w:p w14:paraId="30E4EB7B" w14:textId="77777777" w:rsidR="00C25F91" w:rsidRDefault="00C25F91" w:rsidP="00C25F91">
      <w:pPr>
        <w:jc w:val="both"/>
      </w:pPr>
      <w:r w:rsidRPr="00E81DC0">
        <w:rPr>
          <w:b/>
          <w:bCs/>
        </w:rPr>
        <w:t>Work is increasingly not a viable route out of poverty</w:t>
      </w:r>
      <w:r>
        <w:t xml:space="preserve">. In-work poverty is rising, currently at 9.6% (2018). Poorer workers are often trapped in low-paid jobs, with insecure working conditions. The rise of gig economy and platform working has exacerbated this development, leaving people vulnerable and on low wages. Sectors that face low wages, are predominated by women, ethnic </w:t>
      </w:r>
      <w:proofErr w:type="gramStart"/>
      <w:r>
        <w:t>minorities</w:t>
      </w:r>
      <w:proofErr w:type="gramEnd"/>
      <w:r>
        <w:t xml:space="preserve"> and migrants.</w:t>
      </w:r>
      <w:r>
        <w:rPr>
          <w:rStyle w:val="FootnoteReference"/>
        </w:rPr>
        <w:footnoteReference w:id="40"/>
      </w:r>
    </w:p>
    <w:p w14:paraId="592A8B46" w14:textId="2B9258BF" w:rsidR="00C25F91" w:rsidRPr="00A5307C" w:rsidRDefault="00C25F91" w:rsidP="00C25F91">
      <w:pPr>
        <w:jc w:val="both"/>
        <w:rPr>
          <w:rFonts w:cstheme="minorHAnsi"/>
        </w:rPr>
      </w:pPr>
      <w:r w:rsidRPr="00E81DC0">
        <w:rPr>
          <w:b/>
          <w:bCs/>
        </w:rPr>
        <w:t>The worrying growth of exploitation and ‘unpaid work/modern slavery’ facing key at risk groups</w:t>
      </w:r>
      <w:r>
        <w:t>, particularly undocumented migrants, women and young people  is a new challenge, as well as ‘forced volunteering’ –  in relation to punitive activation models, i</w:t>
      </w:r>
      <w:r w:rsidR="00E56B01">
        <w:t>.</w:t>
      </w:r>
      <w:r>
        <w:t>e</w:t>
      </w:r>
      <w:r w:rsidR="00E56B01">
        <w:t>.</w:t>
      </w:r>
      <w:r>
        <w:t xml:space="preserve"> the ‘work fare model’.</w:t>
      </w:r>
      <w:r>
        <w:rPr>
          <w:rStyle w:val="FootnoteReference"/>
        </w:rPr>
        <w:footnoteReference w:id="41"/>
      </w:r>
    </w:p>
    <w:p w14:paraId="502DE21B" w14:textId="1B5F1D95" w:rsidR="00C25F91" w:rsidRDefault="00C25F91" w:rsidP="00C25F91">
      <w:pPr>
        <w:jc w:val="both"/>
      </w:pPr>
      <w:r w:rsidRPr="00E81DC0">
        <w:rPr>
          <w:b/>
          <w:bCs/>
        </w:rPr>
        <w:t>The decline in trade union membership, collective bargaining and collective agreements also contributes to lower wages</w:t>
      </w:r>
      <w:r w:rsidRPr="00BF4237">
        <w:t xml:space="preserve">. During the crisis, the </w:t>
      </w:r>
      <w:r>
        <w:t xml:space="preserve">EU’s </w:t>
      </w:r>
      <w:r w:rsidRPr="00BF4237">
        <w:t>Stabil</w:t>
      </w:r>
      <w:r>
        <w:t>i</w:t>
      </w:r>
      <w:r w:rsidRPr="00BF4237">
        <w:t xml:space="preserve">ty and Growth Pact put </w:t>
      </w:r>
      <w:r>
        <w:t xml:space="preserve">negative </w:t>
      </w:r>
      <w:r w:rsidRPr="00BF4237">
        <w:t>pressure on wages, and undermined collective bargaining</w:t>
      </w:r>
      <w:r>
        <w:t xml:space="preserve"> (See ETUC 2020</w:t>
      </w:r>
      <w:r>
        <w:rPr>
          <w:rStyle w:val="FootnoteReference"/>
        </w:rPr>
        <w:footnoteReference w:id="42"/>
      </w:r>
      <w:r>
        <w:t>).</w:t>
      </w:r>
      <w:r w:rsidRPr="00BF4237">
        <w:t xml:space="preserve"> This is evident from our </w:t>
      </w:r>
      <w:r>
        <w:t xml:space="preserve">annual </w:t>
      </w:r>
      <w:r w:rsidRPr="00BF4237">
        <w:t>assessmen</w:t>
      </w:r>
      <w:r>
        <w:t xml:space="preserve">ts with our members </w:t>
      </w:r>
      <w:r w:rsidRPr="00BF4237">
        <w:t>in the European Semester</w:t>
      </w:r>
      <w:r>
        <w:t>, particularly of the CSRs</w:t>
      </w:r>
      <w:r>
        <w:rPr>
          <w:rStyle w:val="FootnoteReference"/>
        </w:rPr>
        <w:footnoteReference w:id="43"/>
      </w:r>
      <w:r w:rsidR="00E56B01">
        <w:t xml:space="preserve">, </w:t>
      </w:r>
      <w:r>
        <w:t>as well as by the ETUC 1</w:t>
      </w:r>
      <w:r w:rsidRPr="00A5307C">
        <w:rPr>
          <w:vertAlign w:val="superscript"/>
        </w:rPr>
        <w:t>st</w:t>
      </w:r>
      <w:r>
        <w:t xml:space="preserve"> phase consultation on fair minimum wages.</w:t>
      </w:r>
    </w:p>
    <w:p w14:paraId="0B48124F" w14:textId="77777777" w:rsidR="00C25F91" w:rsidRPr="00C7475D" w:rsidRDefault="00C25F91" w:rsidP="00C25F91">
      <w:pPr>
        <w:jc w:val="both"/>
      </w:pPr>
      <w:r>
        <w:rPr>
          <w:rFonts w:cstheme="minorHAnsi"/>
        </w:rPr>
        <w:t xml:space="preserve">Because of the above, </w:t>
      </w:r>
      <w:r w:rsidRPr="00E81DC0">
        <w:rPr>
          <w:rFonts w:cstheme="minorHAnsi"/>
          <w:b/>
          <w:bCs/>
        </w:rPr>
        <w:t>EU Action to ensure a floor for minimum wages is key</w:t>
      </w:r>
      <w:r w:rsidRPr="00A5307C">
        <w:rPr>
          <w:rFonts w:cstheme="minorHAnsi"/>
        </w:rPr>
        <w:t>. The Commission’s commitment to creating a floor, with its proposals for consultation on EU action is welcomed. However, it should be clear that the</w:t>
      </w:r>
      <w:r>
        <w:rPr>
          <w:rFonts w:cstheme="minorHAnsi"/>
        </w:rPr>
        <w:t xml:space="preserve"> overall</w:t>
      </w:r>
      <w:r w:rsidRPr="00A5307C">
        <w:rPr>
          <w:rFonts w:cstheme="minorHAnsi"/>
        </w:rPr>
        <w:t xml:space="preserve"> goal is decent wages and quality work</w:t>
      </w:r>
      <w:r>
        <w:rPr>
          <w:rFonts w:cstheme="minorHAnsi"/>
        </w:rPr>
        <w:t xml:space="preserve"> for all</w:t>
      </w:r>
      <w:r w:rsidRPr="00A5307C">
        <w:rPr>
          <w:rFonts w:cstheme="minorHAnsi"/>
        </w:rPr>
        <w:t>. The risk to focussing only on minimum wage is that it can contribute to the suppression of overall wage levels. T</w:t>
      </w:r>
      <w:r w:rsidRPr="00A5307C">
        <w:rPr>
          <w:rFonts w:cstheme="minorHAnsi"/>
          <w:color w:val="000000"/>
        </w:rPr>
        <w:t xml:space="preserve">he question of adequacy of wages is a crucial one. </w:t>
      </w:r>
    </w:p>
    <w:p w14:paraId="66F314C6" w14:textId="77777777" w:rsidR="00C25F91" w:rsidRDefault="00C25F91" w:rsidP="00C25F91">
      <w:pPr>
        <w:jc w:val="both"/>
      </w:pPr>
      <w:r w:rsidRPr="00E81DC0">
        <w:rPr>
          <w:rFonts w:cstheme="minorHAnsi"/>
          <w:b/>
          <w:bCs/>
          <w:color w:val="000000"/>
        </w:rPr>
        <w:t>Statutory minimum wage rates (which, according to Eurostat, exist in 22 out of 28 Member States) do not often come with a guarantee of providing income adequacy</w:t>
      </w:r>
      <w:r w:rsidRPr="00A5307C">
        <w:rPr>
          <w:rFonts w:cstheme="minorHAnsi"/>
          <w:color w:val="000000"/>
        </w:rPr>
        <w:t xml:space="preserve"> for all workers. The term “living wage” emerged from the recognition of the need to focus on the provision of decent wages through paid work, which surpasses the rather low limits often set for a minimum wage rate, in order to </w:t>
      </w:r>
      <w:r w:rsidRPr="00A5307C">
        <w:rPr>
          <w:rFonts w:cstheme="minorHAnsi"/>
          <w:color w:val="000000"/>
        </w:rPr>
        <w:lastRenderedPageBreak/>
        <w:t xml:space="preserve">provide a worker with an acceptable standard of living. </w:t>
      </w:r>
      <w:r w:rsidRPr="00A5307C">
        <w:rPr>
          <w:rFonts w:cstheme="minorHAnsi"/>
        </w:rPr>
        <w:t xml:space="preserve">The aim should be to achieve minimum living wages – </w:t>
      </w:r>
      <w:proofErr w:type="spellStart"/>
      <w:r w:rsidRPr="00A5307C">
        <w:rPr>
          <w:rFonts w:cstheme="minorHAnsi"/>
        </w:rPr>
        <w:t>ie</w:t>
      </w:r>
      <w:proofErr w:type="spellEnd"/>
      <w:r w:rsidRPr="00A5307C">
        <w:rPr>
          <w:rFonts w:cstheme="minorHAnsi"/>
        </w:rPr>
        <w:t xml:space="preserve"> at levels that ensure a decent living standard. </w:t>
      </w:r>
      <w:r w:rsidRPr="00E35E9D">
        <w:rPr>
          <w:rStyle w:val="FootnoteReference"/>
          <w:rFonts w:cstheme="minorHAnsi"/>
        </w:rPr>
        <w:footnoteReference w:id="44"/>
      </w:r>
      <w:r>
        <w:t xml:space="preserve"> </w:t>
      </w:r>
    </w:p>
    <w:p w14:paraId="1670D2FD" w14:textId="77777777" w:rsidR="00C25F91" w:rsidRDefault="00C25F91" w:rsidP="00C25F91">
      <w:pPr>
        <w:spacing w:after="0" w:line="240" w:lineRule="auto"/>
        <w:jc w:val="both"/>
        <w:rPr>
          <w:rFonts w:eastAsia="Times New Roman" w:cstheme="minorHAnsi"/>
          <w:lang w:val="en-US" w:eastAsia="fr-BE"/>
        </w:rPr>
      </w:pPr>
      <w:r w:rsidRPr="00E81DC0">
        <w:rPr>
          <w:b/>
          <w:bCs/>
        </w:rPr>
        <w:t>EAPN supports the development of an EU framework together with social partners to guarantee minimum wages/living wages that can take people out of poverty</w:t>
      </w:r>
      <w:r>
        <w:t xml:space="preserve">. </w:t>
      </w:r>
      <w:r w:rsidRPr="00A5307C">
        <w:rPr>
          <w:rFonts w:cstheme="minorHAnsi"/>
          <w:shd w:val="clear" w:color="auto" w:fill="FFFFFF"/>
        </w:rPr>
        <w:t xml:space="preserve">EAPN backs the overall approach and main objectives set out in the consultation document. We </w:t>
      </w:r>
      <w:r w:rsidRPr="00A5307C">
        <w:rPr>
          <w:rFonts w:eastAsia="Times New Roman" w:cstheme="minorHAnsi"/>
          <w:lang w:val="en-US" w:eastAsia="fr-BE"/>
        </w:rPr>
        <w:t>fully support the idea of an EU obligatory framework to establish and ensure adequacy of minimum wages in all countries. The overarching aim of such an instrument should be to contribute to progress towards decent wages and quality jobs for all, resulting in the reduction of in-work poverty.</w:t>
      </w:r>
    </w:p>
    <w:p w14:paraId="015AEC56" w14:textId="77777777" w:rsidR="00C25F91" w:rsidRPr="00A5307C" w:rsidRDefault="00C25F91" w:rsidP="00C25F91">
      <w:pPr>
        <w:spacing w:after="0" w:line="240" w:lineRule="auto"/>
        <w:jc w:val="both"/>
        <w:rPr>
          <w:rFonts w:eastAsia="Times New Roman" w:cstheme="minorHAnsi"/>
          <w:lang w:eastAsia="fr-BE"/>
        </w:rPr>
      </w:pPr>
    </w:p>
    <w:p w14:paraId="18294A1B" w14:textId="77777777" w:rsidR="00C25F91" w:rsidRDefault="00C25F91" w:rsidP="00C25F91">
      <w:pPr>
        <w:spacing w:after="0" w:line="240" w:lineRule="auto"/>
        <w:jc w:val="both"/>
        <w:rPr>
          <w:rFonts w:eastAsia="Times New Roman" w:cstheme="minorHAnsi"/>
          <w:lang w:val="en-US" w:eastAsia="fr-BE"/>
        </w:rPr>
      </w:pPr>
      <w:r w:rsidRPr="00E81DC0">
        <w:rPr>
          <w:rFonts w:eastAsia="Times New Roman" w:cstheme="minorHAnsi"/>
          <w:b/>
          <w:bCs/>
          <w:lang w:val="en-US" w:eastAsia="fr-BE"/>
        </w:rPr>
        <w:t xml:space="preserve">This can best be achieved by the definition and enforcement of a set of common minimum requirements </w:t>
      </w:r>
      <w:r w:rsidRPr="00A5307C">
        <w:rPr>
          <w:rFonts w:eastAsia="Times New Roman" w:cstheme="minorHAnsi"/>
          <w:lang w:val="en-US" w:eastAsia="fr-BE"/>
        </w:rPr>
        <w:t xml:space="preserve">all MS </w:t>
      </w:r>
      <w:proofErr w:type="gramStart"/>
      <w:r w:rsidRPr="00A5307C">
        <w:rPr>
          <w:rFonts w:eastAsia="Times New Roman" w:cstheme="minorHAnsi"/>
          <w:lang w:val="en-US" w:eastAsia="fr-BE"/>
        </w:rPr>
        <w:t>have to</w:t>
      </w:r>
      <w:proofErr w:type="gramEnd"/>
      <w:r w:rsidRPr="00A5307C">
        <w:rPr>
          <w:rFonts w:eastAsia="Times New Roman" w:cstheme="minorHAnsi"/>
          <w:lang w:val="en-US" w:eastAsia="fr-BE"/>
        </w:rPr>
        <w:t xml:space="preserve"> comply with. For EAPN three points stand out in this regard: 1) The coverage of the whole workforce by MW arrangements, 2) the level of pay and therefore the adequacy of MW (in relation to take-home pay levels sufficient to protect workers against poverty and to support a decent living on the backdrop of price levels and living costs in a given MS), and 3) the mechanisms in place to guide adjustments of (statutory or collectively bargained and agreed) minimum wages. The first aspect concerns the existence of lower minimum wage levels for specific groups, e.g. young </w:t>
      </w:r>
      <w:proofErr w:type="gramStart"/>
      <w:r w:rsidRPr="00A5307C">
        <w:rPr>
          <w:rFonts w:eastAsia="Times New Roman" w:cstheme="minorHAnsi"/>
          <w:lang w:val="en-US" w:eastAsia="fr-BE"/>
        </w:rPr>
        <w:t>workers</w:t>
      </w:r>
      <w:proofErr w:type="gramEnd"/>
      <w:r w:rsidRPr="00A5307C">
        <w:rPr>
          <w:rFonts w:eastAsia="Times New Roman" w:cstheme="minorHAnsi"/>
          <w:lang w:val="en-US" w:eastAsia="fr-BE"/>
        </w:rPr>
        <w:t xml:space="preserve"> or people with disabilities, long-term unemployed. The second aspect is taken up in the next bullet point. The third aspect concerns the set of clear criteria used to monitor MW developments and to decide on updates at a reasonable frequency or regularity.</w:t>
      </w:r>
    </w:p>
    <w:p w14:paraId="030C9D65" w14:textId="77777777" w:rsidR="00C25F91" w:rsidRPr="00A5307C" w:rsidRDefault="00C25F91" w:rsidP="00C25F91">
      <w:pPr>
        <w:spacing w:after="0" w:line="240" w:lineRule="auto"/>
        <w:jc w:val="both"/>
        <w:rPr>
          <w:rFonts w:eastAsia="Times New Roman" w:cstheme="minorHAnsi"/>
          <w:lang w:eastAsia="fr-BE"/>
        </w:rPr>
      </w:pPr>
    </w:p>
    <w:p w14:paraId="15FED16C" w14:textId="77777777" w:rsidR="00C25F91" w:rsidRDefault="00C25F91" w:rsidP="00C25F91">
      <w:pPr>
        <w:spacing w:after="0" w:line="240" w:lineRule="auto"/>
        <w:jc w:val="both"/>
        <w:rPr>
          <w:rFonts w:eastAsia="Times New Roman" w:cstheme="minorHAnsi"/>
          <w:lang w:val="en-US" w:eastAsia="fr-BE"/>
        </w:rPr>
      </w:pPr>
      <w:r w:rsidRPr="00E81DC0">
        <w:rPr>
          <w:rFonts w:eastAsia="Times New Roman" w:cstheme="minorHAnsi"/>
          <w:b/>
          <w:bCs/>
          <w:lang w:eastAsia="fr-BE"/>
        </w:rPr>
        <w:t>F</w:t>
      </w:r>
      <w:r w:rsidRPr="00E81DC0">
        <w:rPr>
          <w:rFonts w:eastAsia="Times New Roman" w:cstheme="minorHAnsi"/>
          <w:b/>
          <w:bCs/>
          <w:lang w:val="en-US" w:eastAsia="fr-BE"/>
        </w:rPr>
        <w:t>or EAPN, the value-added of an EU Directive would not only consist in the requirement for a minimum wage for all countrie</w:t>
      </w:r>
      <w:r w:rsidRPr="002A4B7B">
        <w:rPr>
          <w:rFonts w:eastAsia="Times New Roman" w:cstheme="minorHAnsi"/>
          <w:lang w:val="en-US" w:eastAsia="fr-BE"/>
        </w:rPr>
        <w:t xml:space="preserve">s, whilst respecting the national means and procedures to achieve this, but also in the establishment of a </w:t>
      </w:r>
      <w:r w:rsidRPr="00E81DC0">
        <w:rPr>
          <w:rFonts w:eastAsia="Times New Roman" w:cstheme="minorHAnsi"/>
          <w:b/>
          <w:bCs/>
          <w:lang w:val="en-US" w:eastAsia="fr-BE"/>
        </w:rPr>
        <w:t>clear comparable EU benchmark for adequacy</w:t>
      </w:r>
      <w:r w:rsidRPr="002A4B7B">
        <w:rPr>
          <w:rFonts w:eastAsia="Times New Roman" w:cstheme="minorHAnsi"/>
          <w:lang w:val="en-US" w:eastAsia="fr-BE"/>
        </w:rPr>
        <w:t xml:space="preserve">. This would also help addressing increased income inequalities and reversing increasing wage divergences between high- and low-level wage earners in many countries. The reference value for a decent amount could be fixed (at the end of a longer transition process, taking into account current levels, country-specific conditions for certain groups of workers and/or sectors as well as the general economic situation) at 60% of the median wage or of the average wage. If the benchmark chosen was the median wage, the 60% share of the national median wage, however, cannot be considered as adequate in countries where wages are </w:t>
      </w:r>
      <w:proofErr w:type="gramStart"/>
      <w:r w:rsidRPr="002A4B7B">
        <w:rPr>
          <w:rFonts w:eastAsia="Times New Roman" w:cstheme="minorHAnsi"/>
          <w:lang w:val="en-US" w:eastAsia="fr-BE"/>
        </w:rPr>
        <w:t>very low</w:t>
      </w:r>
      <w:proofErr w:type="gramEnd"/>
      <w:r w:rsidRPr="002A4B7B">
        <w:rPr>
          <w:rFonts w:eastAsia="Times New Roman" w:cstheme="minorHAnsi"/>
          <w:lang w:val="en-US" w:eastAsia="fr-BE"/>
        </w:rPr>
        <w:t xml:space="preserve">. There it would rather as a general benchmark that needs to be tested against real living costs and disposable income of a worker after social benefits and taxes </w:t>
      </w:r>
      <w:proofErr w:type="gramStart"/>
      <w:r w:rsidRPr="002A4B7B">
        <w:rPr>
          <w:rFonts w:eastAsia="Times New Roman" w:cstheme="minorHAnsi"/>
          <w:lang w:val="en-US" w:eastAsia="fr-BE"/>
        </w:rPr>
        <w:t>in a given</w:t>
      </w:r>
      <w:proofErr w:type="gramEnd"/>
      <w:r w:rsidRPr="002A4B7B">
        <w:rPr>
          <w:rFonts w:eastAsia="Times New Roman" w:cstheme="minorHAnsi"/>
          <w:lang w:val="en-US" w:eastAsia="fr-BE"/>
        </w:rPr>
        <w:t xml:space="preserve"> country.</w:t>
      </w:r>
      <w:r>
        <w:rPr>
          <w:rFonts w:eastAsia="Times New Roman" w:cstheme="minorHAnsi"/>
          <w:lang w:val="en-US" w:eastAsia="fr-BE"/>
        </w:rPr>
        <w:t xml:space="preserve"> National reference budgets calculating costs of essential goods and services for workers are essential benchmarks to monitor the adequacy of income (both wages and income support). In the case of wages, the calculation includes the full costs of working (</w:t>
      </w:r>
      <w:proofErr w:type="spellStart"/>
      <w:r>
        <w:rPr>
          <w:rFonts w:eastAsia="Times New Roman" w:cstheme="minorHAnsi"/>
          <w:lang w:val="en-US" w:eastAsia="fr-BE"/>
        </w:rPr>
        <w:t>ie</w:t>
      </w:r>
      <w:proofErr w:type="spellEnd"/>
      <w:r>
        <w:rPr>
          <w:rFonts w:eastAsia="Times New Roman" w:cstheme="minorHAnsi"/>
          <w:lang w:val="en-US" w:eastAsia="fr-BE"/>
        </w:rPr>
        <w:t xml:space="preserve"> transport, childcare, </w:t>
      </w:r>
      <w:proofErr w:type="gramStart"/>
      <w:r>
        <w:rPr>
          <w:rFonts w:eastAsia="Times New Roman" w:cstheme="minorHAnsi"/>
          <w:lang w:val="en-US" w:eastAsia="fr-BE"/>
        </w:rPr>
        <w:t>clothing</w:t>
      </w:r>
      <w:proofErr w:type="gramEnd"/>
      <w:r>
        <w:rPr>
          <w:rFonts w:eastAsia="Times New Roman" w:cstheme="minorHAnsi"/>
          <w:lang w:val="en-US" w:eastAsia="fr-BE"/>
        </w:rPr>
        <w:t xml:space="preserve"> and additional costs).</w:t>
      </w:r>
      <w:r>
        <w:rPr>
          <w:rStyle w:val="FootnoteReference"/>
          <w:rFonts w:eastAsia="Times New Roman" w:cstheme="minorHAnsi"/>
          <w:lang w:val="en-US" w:eastAsia="fr-BE"/>
        </w:rPr>
        <w:footnoteReference w:id="45"/>
      </w:r>
    </w:p>
    <w:p w14:paraId="6BB4CE06" w14:textId="77777777" w:rsidR="00C25F91" w:rsidRPr="002A4B7B" w:rsidRDefault="00C25F91" w:rsidP="00C25F91">
      <w:pPr>
        <w:spacing w:after="0" w:line="240" w:lineRule="auto"/>
        <w:jc w:val="both"/>
        <w:rPr>
          <w:rFonts w:eastAsia="Times New Roman" w:cstheme="minorHAnsi"/>
          <w:lang w:eastAsia="fr-BE"/>
        </w:rPr>
      </w:pPr>
    </w:p>
    <w:p w14:paraId="1250B4B4" w14:textId="40F6187E" w:rsidR="00C25F91" w:rsidRPr="002A4B7B" w:rsidRDefault="00C25F91" w:rsidP="00C25F91">
      <w:pPr>
        <w:spacing w:after="0" w:line="240" w:lineRule="auto"/>
        <w:jc w:val="both"/>
        <w:rPr>
          <w:rFonts w:eastAsia="Times New Roman" w:cstheme="minorHAnsi"/>
          <w:lang w:eastAsia="fr-BE"/>
        </w:rPr>
      </w:pPr>
      <w:r w:rsidRPr="00E81DC0">
        <w:rPr>
          <w:rFonts w:eastAsia="Times New Roman" w:cstheme="minorHAnsi"/>
          <w:b/>
          <w:bCs/>
          <w:lang w:val="en-US" w:eastAsia="fr-BE"/>
        </w:rPr>
        <w:t>For EAPN it is important to establish a positive hierarchy between adequate minimum income</w:t>
      </w:r>
      <w:r w:rsidRPr="00E81DC0">
        <w:rPr>
          <w:rFonts w:eastAsia="Times New Roman" w:cstheme="minorHAnsi"/>
          <w:lang w:val="en-US" w:eastAsia="fr-BE"/>
        </w:rPr>
        <w:t xml:space="preserve"> (to be established above the poverty threshold, set in the EU context to 60% of the national </w:t>
      </w:r>
      <w:hyperlink r:id="rId52" w:history="1">
        <w:r w:rsidRPr="00E81DC0">
          <w:rPr>
            <w:rFonts w:eastAsia="Times New Roman" w:cstheme="minorHAnsi"/>
            <w:lang w:val="en-US" w:eastAsia="fr-BE"/>
          </w:rPr>
          <w:t>median</w:t>
        </w:r>
      </w:hyperlink>
      <w:r w:rsidRPr="00E81DC0">
        <w:rPr>
          <w:rFonts w:eastAsia="Times New Roman" w:cstheme="minorHAnsi"/>
          <w:lang w:val="en-US" w:eastAsia="fr-BE"/>
        </w:rPr>
        <w:t xml:space="preserve"> </w:t>
      </w:r>
      <w:proofErr w:type="spellStart"/>
      <w:r w:rsidRPr="00E81DC0">
        <w:rPr>
          <w:rFonts w:eastAsia="Times New Roman" w:cstheme="minorHAnsi"/>
          <w:lang w:val="en-US" w:eastAsia="fr-BE"/>
        </w:rPr>
        <w:t>equivalised</w:t>
      </w:r>
      <w:proofErr w:type="spellEnd"/>
      <w:r w:rsidRPr="00E81DC0">
        <w:rPr>
          <w:rFonts w:eastAsia="Times New Roman" w:cstheme="minorHAnsi"/>
          <w:lang w:val="en-US" w:eastAsia="fr-BE"/>
        </w:rPr>
        <w:t xml:space="preserve"> disposable income after social transfers</w:t>
      </w:r>
      <w:r w:rsidRPr="00E81DC0">
        <w:rPr>
          <w:rStyle w:val="FootnoteReference"/>
          <w:rFonts w:eastAsia="Times New Roman" w:cstheme="minorHAnsi"/>
          <w:lang w:val="en-US" w:eastAsia="fr-BE"/>
        </w:rPr>
        <w:footnoteReference w:id="46"/>
      </w:r>
      <w:r w:rsidR="00E47DEA">
        <w:rPr>
          <w:rFonts w:eastAsia="Times New Roman" w:cstheme="minorHAnsi"/>
          <w:lang w:val="en-US" w:eastAsia="fr-BE"/>
        </w:rPr>
        <w:t>)</w:t>
      </w:r>
      <w:r w:rsidRPr="00E81DC0">
        <w:rPr>
          <w:rFonts w:eastAsia="Times New Roman" w:cstheme="minorHAnsi"/>
          <w:lang w:val="en-US" w:eastAsia="fr-BE"/>
        </w:rPr>
        <w:t xml:space="preserve"> </w:t>
      </w:r>
      <w:r w:rsidRPr="00E81DC0">
        <w:rPr>
          <w:rFonts w:eastAsia="Times New Roman" w:cstheme="minorHAnsi"/>
          <w:b/>
          <w:bCs/>
          <w:lang w:val="en-US" w:eastAsia="fr-BE"/>
        </w:rPr>
        <w:t>with a net minimum wage</w:t>
      </w:r>
      <w:r w:rsidR="00E47DEA">
        <w:rPr>
          <w:rFonts w:eastAsia="Times New Roman" w:cstheme="minorHAnsi"/>
          <w:lang w:val="en-US" w:eastAsia="fr-BE"/>
        </w:rPr>
        <w:t xml:space="preserve">. MW needs to be set </w:t>
      </w:r>
      <w:r w:rsidRPr="002A4B7B">
        <w:rPr>
          <w:rFonts w:eastAsia="Times New Roman" w:cstheme="minorHAnsi"/>
          <w:lang w:val="en-US" w:eastAsia="fr-BE"/>
        </w:rPr>
        <w:t>above</w:t>
      </w:r>
      <w:r w:rsidR="00E47DEA">
        <w:rPr>
          <w:rFonts w:eastAsia="Times New Roman" w:cstheme="minorHAnsi"/>
          <w:lang w:val="en-US" w:eastAsia="fr-BE"/>
        </w:rPr>
        <w:t xml:space="preserve"> MI</w:t>
      </w:r>
      <w:r w:rsidRPr="002A4B7B">
        <w:rPr>
          <w:rFonts w:eastAsia="Times New Roman" w:cstheme="minorHAnsi"/>
          <w:lang w:val="en-US" w:eastAsia="fr-BE"/>
        </w:rPr>
        <w:t xml:space="preserve"> in order to provide a positive and rights-based incentive to work rather than driving down basic benefits and or setting punitive conditionalities in the context of </w:t>
      </w:r>
      <w:proofErr w:type="spellStart"/>
      <w:r w:rsidRPr="002A4B7B">
        <w:rPr>
          <w:rFonts w:eastAsia="Times New Roman" w:cstheme="minorHAnsi"/>
          <w:lang w:val="en-US" w:eastAsia="fr-BE"/>
        </w:rPr>
        <w:t>labour</w:t>
      </w:r>
      <w:proofErr w:type="spellEnd"/>
      <w:r w:rsidRPr="002A4B7B">
        <w:rPr>
          <w:rFonts w:eastAsia="Times New Roman" w:cstheme="minorHAnsi"/>
          <w:lang w:val="en-US" w:eastAsia="fr-BE"/>
        </w:rPr>
        <w:t xml:space="preserve"> market activation policies which </w:t>
      </w:r>
      <w:r w:rsidR="00E47DEA">
        <w:rPr>
          <w:rFonts w:eastAsia="Times New Roman" w:cstheme="minorHAnsi"/>
          <w:lang w:val="en-US" w:eastAsia="fr-BE"/>
        </w:rPr>
        <w:t>can</w:t>
      </w:r>
      <w:r w:rsidRPr="002A4B7B">
        <w:rPr>
          <w:rFonts w:eastAsia="Times New Roman" w:cstheme="minorHAnsi"/>
          <w:lang w:val="en-US" w:eastAsia="fr-BE"/>
        </w:rPr>
        <w:t xml:space="preserve"> push people into law quality and/or precarious employment.</w:t>
      </w:r>
    </w:p>
    <w:p w14:paraId="3D312AA4" w14:textId="02CD804C" w:rsidR="00C25F91" w:rsidRDefault="00C25F91" w:rsidP="00C25F91">
      <w:pPr>
        <w:spacing w:after="0" w:line="240" w:lineRule="auto"/>
        <w:jc w:val="both"/>
        <w:rPr>
          <w:rFonts w:eastAsia="Times New Roman" w:cstheme="minorHAnsi"/>
          <w:lang w:val="en-US" w:eastAsia="fr-BE"/>
        </w:rPr>
      </w:pPr>
      <w:r w:rsidRPr="002A4B7B">
        <w:rPr>
          <w:rFonts w:eastAsia="Times New Roman" w:cstheme="minorHAnsi"/>
          <w:lang w:val="en-US" w:eastAsia="fr-BE"/>
        </w:rPr>
        <w:t xml:space="preserve">EAPN also </w:t>
      </w:r>
      <w:r w:rsidRPr="00E81DC0">
        <w:rPr>
          <w:rFonts w:eastAsia="Times New Roman" w:cstheme="minorHAnsi"/>
          <w:b/>
          <w:bCs/>
          <w:lang w:val="en-US" w:eastAsia="fr-BE"/>
        </w:rPr>
        <w:t>supports the intention shown in the consultation document to require collective bargaining</w:t>
      </w:r>
      <w:r w:rsidRPr="002A4B7B">
        <w:rPr>
          <w:rFonts w:eastAsia="Times New Roman" w:cstheme="minorHAnsi"/>
          <w:lang w:val="en-US" w:eastAsia="fr-BE"/>
        </w:rPr>
        <w:t xml:space="preserve"> </w:t>
      </w:r>
      <w:r w:rsidRPr="00E81DC0">
        <w:rPr>
          <w:rFonts w:eastAsia="Times New Roman" w:cstheme="minorHAnsi"/>
          <w:b/>
          <w:bCs/>
          <w:lang w:val="en-US" w:eastAsia="fr-BE"/>
        </w:rPr>
        <w:t>and the ”effective involvement of social partners</w:t>
      </w:r>
      <w:r w:rsidRPr="002A4B7B">
        <w:rPr>
          <w:rFonts w:eastAsia="Times New Roman" w:cstheme="minorHAnsi"/>
          <w:lang w:val="en-US" w:eastAsia="fr-BE"/>
        </w:rPr>
        <w:t xml:space="preserve"> in the adjustment of minimum wages” </w:t>
      </w:r>
      <w:r w:rsidRPr="002A4B7B">
        <w:rPr>
          <w:rFonts w:eastAsia="Times New Roman" w:cstheme="minorHAnsi"/>
          <w:lang w:val="en-US" w:eastAsia="fr-BE"/>
        </w:rPr>
        <w:lastRenderedPageBreak/>
        <w:t>(p.10), as absolutely essential when setting MW, as well as to have ”transparent national frameworks based on clear and stable criteria” in order to achieve and upgrade MW.</w:t>
      </w:r>
    </w:p>
    <w:p w14:paraId="20BF91D8" w14:textId="77777777" w:rsidR="00E81DC0" w:rsidRPr="002A4B7B" w:rsidRDefault="00E81DC0" w:rsidP="00C25F91">
      <w:pPr>
        <w:spacing w:after="0" w:line="240" w:lineRule="auto"/>
        <w:jc w:val="both"/>
        <w:rPr>
          <w:rFonts w:eastAsia="Times New Roman" w:cstheme="minorHAnsi"/>
          <w:lang w:eastAsia="fr-BE"/>
        </w:rPr>
      </w:pPr>
    </w:p>
    <w:p w14:paraId="350EFB91" w14:textId="77777777" w:rsidR="00C25F91" w:rsidRDefault="00C25F91" w:rsidP="00C25F91">
      <w:pPr>
        <w:jc w:val="both"/>
      </w:pPr>
      <w:r w:rsidRPr="002A4B7B">
        <w:t>EAPN recognizes the current legal obstacles to a legal framework on levels under the present</w:t>
      </w:r>
      <w:r>
        <w:t xml:space="preserve"> Treaties, </w:t>
      </w:r>
      <w:r w:rsidRPr="00E81DC0">
        <w:rPr>
          <w:b/>
          <w:bCs/>
        </w:rPr>
        <w:t>however supports progress towards the establishment an EU framework</w:t>
      </w:r>
      <w:r>
        <w:t xml:space="preserve"> to ensure adequate minimum wages, and to require statutory minimum wages where no minimum wage exists and wage levels are low.</w:t>
      </w:r>
    </w:p>
    <w:p w14:paraId="1AD5C5B1" w14:textId="2AFE95C7" w:rsidR="00C25F91" w:rsidRPr="004E3CBD" w:rsidRDefault="00C25F91" w:rsidP="00C25F91">
      <w:pPr>
        <w:rPr>
          <w:i/>
          <w:iCs/>
        </w:rPr>
      </w:pPr>
      <w:r w:rsidRPr="004E3CBD">
        <w:rPr>
          <w:i/>
          <w:iCs/>
        </w:rPr>
        <w:t xml:space="preserve">For more detail on these issues, please </w:t>
      </w:r>
      <w:hyperlink r:id="rId53" w:history="1">
        <w:r w:rsidRPr="002567F8">
          <w:rPr>
            <w:rStyle w:val="Hyperlink"/>
            <w:i/>
            <w:iCs/>
          </w:rPr>
          <w:t>see EAPN’s position on adequate income – minimum income and minimum wage</w:t>
        </w:r>
      </w:hyperlink>
      <w:r w:rsidRPr="002567F8">
        <w:rPr>
          <w:i/>
          <w:iCs/>
        </w:rPr>
        <w:t>.</w:t>
      </w:r>
    </w:p>
    <w:p w14:paraId="160DCCE1" w14:textId="77777777" w:rsidR="00C25F91" w:rsidRPr="00E35E9D" w:rsidRDefault="00C25F91" w:rsidP="00C25F91">
      <w:pPr>
        <w:jc w:val="both"/>
        <w:rPr>
          <w:b/>
          <w:bCs/>
          <w:u w:val="single"/>
        </w:rPr>
      </w:pPr>
      <w:r w:rsidRPr="00E35E9D">
        <w:rPr>
          <w:b/>
          <w:bCs/>
          <w:u w:val="single"/>
        </w:rPr>
        <w:t xml:space="preserve">Soft </w:t>
      </w:r>
      <w:r>
        <w:rPr>
          <w:b/>
          <w:bCs/>
          <w:u w:val="single"/>
        </w:rPr>
        <w:t>Instruments</w:t>
      </w:r>
      <w:r w:rsidRPr="00E35E9D">
        <w:rPr>
          <w:b/>
          <w:bCs/>
          <w:u w:val="single"/>
        </w:rPr>
        <w:t xml:space="preserve"> to promote upward convergence</w:t>
      </w:r>
    </w:p>
    <w:p w14:paraId="2A798258" w14:textId="77777777" w:rsidR="00C25F91" w:rsidRDefault="00C25F91" w:rsidP="00C25F91">
      <w:pPr>
        <w:jc w:val="both"/>
        <w:rPr>
          <w:b/>
          <w:bCs/>
        </w:rPr>
      </w:pPr>
      <w:r>
        <w:rPr>
          <w:b/>
          <w:bCs/>
        </w:rPr>
        <w:t>PEP 2019 EU Meeting</w:t>
      </w:r>
    </w:p>
    <w:p w14:paraId="128A4310" w14:textId="77777777" w:rsidR="00C25F91" w:rsidRDefault="00C25F91" w:rsidP="00C25F91">
      <w:pPr>
        <w:pBdr>
          <w:top w:val="single" w:sz="4" w:space="1" w:color="auto"/>
          <w:left w:val="single" w:sz="4" w:space="4" w:color="auto"/>
          <w:bottom w:val="single" w:sz="4" w:space="1" w:color="auto"/>
          <w:right w:val="single" w:sz="4" w:space="4" w:color="auto"/>
        </w:pBdr>
        <w:jc w:val="both"/>
      </w:pPr>
      <w:r>
        <w:rPr>
          <w:b/>
          <w:bCs/>
        </w:rPr>
        <w:t>Key Messages on employment/fair wages</w:t>
      </w:r>
    </w:p>
    <w:p w14:paraId="5D3B6F2A" w14:textId="77777777" w:rsidR="00C25F91" w:rsidRPr="00E35E9D" w:rsidRDefault="00C25F91" w:rsidP="00C25F91">
      <w:pPr>
        <w:pBdr>
          <w:top w:val="single" w:sz="4" w:space="1" w:color="auto"/>
          <w:left w:val="single" w:sz="4" w:space="4" w:color="auto"/>
          <w:bottom w:val="single" w:sz="4" w:space="1" w:color="auto"/>
          <w:right w:val="single" w:sz="4" w:space="4" w:color="auto"/>
        </w:pBdr>
        <w:jc w:val="both"/>
      </w:pPr>
      <w:r>
        <w:t xml:space="preserve">1. </w:t>
      </w:r>
      <w:r w:rsidRPr="00E35E9D">
        <w:t>Governments and EU must combat low pay and unpaid work and support adequate wages for a life in dignity ending forced work and modern slavery and forced volunteering through ‘workfare’.</w:t>
      </w:r>
    </w:p>
    <w:p w14:paraId="4C247A7E" w14:textId="77777777" w:rsidR="00C25F91" w:rsidRPr="00E35E9D" w:rsidRDefault="00C25F91" w:rsidP="00C25F91">
      <w:pPr>
        <w:pBdr>
          <w:top w:val="single" w:sz="4" w:space="1" w:color="auto"/>
          <w:left w:val="single" w:sz="4" w:space="4" w:color="auto"/>
          <w:bottom w:val="single" w:sz="4" w:space="1" w:color="auto"/>
          <w:right w:val="single" w:sz="4" w:space="4" w:color="auto"/>
        </w:pBdr>
        <w:jc w:val="both"/>
      </w:pPr>
      <w:r w:rsidRPr="00E35E9D">
        <w:t>2. Need personali</w:t>
      </w:r>
      <w:r>
        <w:t>s</w:t>
      </w:r>
      <w:r w:rsidRPr="00E35E9D">
        <w:t>ed, integrated support, according to an Active Inclusion approach, with simplified bureaucracy and information.</w:t>
      </w:r>
    </w:p>
    <w:p w14:paraId="2E7C249E" w14:textId="77777777" w:rsidR="00C25F91" w:rsidRPr="00E35E9D" w:rsidRDefault="00C25F91" w:rsidP="00C25F91">
      <w:pPr>
        <w:pBdr>
          <w:top w:val="single" w:sz="4" w:space="1" w:color="auto"/>
          <w:left w:val="single" w:sz="4" w:space="4" w:color="auto"/>
          <w:bottom w:val="single" w:sz="4" w:space="1" w:color="auto"/>
          <w:right w:val="single" w:sz="4" w:space="4" w:color="auto"/>
        </w:pBdr>
        <w:jc w:val="both"/>
      </w:pPr>
      <w:r w:rsidRPr="00E35E9D">
        <w:t>3. Quality, relevant training for workers (paid for by employer) and for job seekers.</w:t>
      </w:r>
    </w:p>
    <w:p w14:paraId="6B958A00" w14:textId="77777777" w:rsidR="00C25F91" w:rsidRDefault="00C25F91" w:rsidP="00C25F91">
      <w:pPr>
        <w:pStyle w:val="ListParagraph"/>
        <w:numPr>
          <w:ilvl w:val="0"/>
          <w:numId w:val="19"/>
        </w:numPr>
        <w:jc w:val="both"/>
      </w:pPr>
      <w:r w:rsidRPr="00C25F91">
        <w:rPr>
          <w:b/>
          <w:bCs/>
        </w:rPr>
        <w:t>Prioritise progress towards quality work</w:t>
      </w:r>
      <w:r>
        <w:t>, developing quality employment principles and indicators including adequacy of wages, benchmarked to the 60% of median wage, but also reference to wage share and relation to GDP.</w:t>
      </w:r>
    </w:p>
    <w:p w14:paraId="62DC2293" w14:textId="19777EB4" w:rsidR="00C25F91" w:rsidRPr="00F4474E" w:rsidRDefault="00C25F91" w:rsidP="00C25F91">
      <w:pPr>
        <w:pStyle w:val="ListParagraph"/>
        <w:numPr>
          <w:ilvl w:val="0"/>
          <w:numId w:val="19"/>
        </w:numPr>
        <w:jc w:val="both"/>
      </w:pPr>
      <w:r w:rsidRPr="00E81DC0">
        <w:rPr>
          <w:b/>
          <w:bCs/>
        </w:rPr>
        <w:t>Through the European Semester adopt a pro fair-wage</w:t>
      </w:r>
      <w:r w:rsidR="00E81DC0">
        <w:rPr>
          <w:b/>
          <w:bCs/>
        </w:rPr>
        <w:t>/decent work</w:t>
      </w:r>
      <w:r w:rsidRPr="00E81DC0">
        <w:rPr>
          <w:b/>
          <w:bCs/>
        </w:rPr>
        <w:t xml:space="preserve"> priorit</w:t>
      </w:r>
      <w:r w:rsidRPr="008E4D73">
        <w:rPr>
          <w:b/>
          <w:bCs/>
        </w:rPr>
        <w:t>y</w:t>
      </w:r>
      <w:r w:rsidRPr="00F4474E">
        <w:t>, encouraging and providing CSRs to increase wages, and to support the establishment of a statutory minimum wage</w:t>
      </w:r>
      <w:r>
        <w:t xml:space="preserve"> at decent levels</w:t>
      </w:r>
      <w:r w:rsidRPr="00F4474E">
        <w:t>, where none exists, and wage levels are low.</w:t>
      </w:r>
    </w:p>
    <w:p w14:paraId="322755EB" w14:textId="77777777" w:rsidR="00C25F91" w:rsidRPr="00E81DC0" w:rsidRDefault="00C25F91" w:rsidP="00C25F91">
      <w:pPr>
        <w:pStyle w:val="ListParagraph"/>
        <w:numPr>
          <w:ilvl w:val="0"/>
          <w:numId w:val="19"/>
        </w:numPr>
        <w:jc w:val="both"/>
        <w:rPr>
          <w:b/>
          <w:bCs/>
        </w:rPr>
      </w:pPr>
      <w:r w:rsidRPr="00E81DC0">
        <w:rPr>
          <w:b/>
          <w:bCs/>
        </w:rPr>
        <w:t>Prioritise and examine more systematically the in-work poverty rate</w:t>
      </w:r>
      <w:r w:rsidRPr="00F4474E">
        <w:t>, in relation to gender and specific groups, and require actions to increase wages,</w:t>
      </w:r>
      <w:r>
        <w:t xml:space="preserve"> increase employment security and against involuntary part-time work,</w:t>
      </w:r>
      <w:r w:rsidRPr="00F4474E">
        <w:t xml:space="preserve"> counter</w:t>
      </w:r>
      <w:r>
        <w:t>ing</w:t>
      </w:r>
      <w:r w:rsidRPr="00F4474E">
        <w:t xml:space="preserve"> discrimination in pay rates, including closing the gender pay gap</w:t>
      </w:r>
      <w:r>
        <w:t xml:space="preserve">, in order to ensure that </w:t>
      </w:r>
      <w:r w:rsidRPr="00E81DC0">
        <w:rPr>
          <w:b/>
          <w:bCs/>
        </w:rPr>
        <w:t>decent work is a sustainable route out of poverty.</w:t>
      </w:r>
    </w:p>
    <w:p w14:paraId="2A17DD28" w14:textId="77777777" w:rsidR="00C25F91" w:rsidRDefault="00C25F91" w:rsidP="00C25F91">
      <w:pPr>
        <w:pStyle w:val="ListParagraph"/>
        <w:numPr>
          <w:ilvl w:val="0"/>
          <w:numId w:val="19"/>
        </w:numPr>
        <w:jc w:val="both"/>
      </w:pPr>
      <w:r w:rsidRPr="00E81DC0">
        <w:rPr>
          <w:b/>
          <w:bCs/>
        </w:rPr>
        <w:t>Monitor the increase of ‘forced volunteering and work’</w:t>
      </w:r>
      <w:r>
        <w:t xml:space="preserve"> as a key violation of rights, and provide recommendations requiring employment contracts and ‘decent wages for work’.</w:t>
      </w:r>
    </w:p>
    <w:p w14:paraId="708C17A1" w14:textId="77777777" w:rsidR="00C25F91" w:rsidRDefault="00C25F91" w:rsidP="00C25F91">
      <w:pPr>
        <w:pStyle w:val="ListParagraph"/>
        <w:numPr>
          <w:ilvl w:val="0"/>
          <w:numId w:val="19"/>
        </w:numPr>
        <w:jc w:val="both"/>
      </w:pPr>
      <w:r w:rsidRPr="00E81DC0">
        <w:rPr>
          <w:b/>
          <w:bCs/>
        </w:rPr>
        <w:t>Support person-centred, rights-based supportive active inclusion approaches</w:t>
      </w:r>
      <w:r>
        <w:t xml:space="preserve"> as part of an EU antipoverty strategy which support people into effective training, quality jobs and participation.</w:t>
      </w:r>
    </w:p>
    <w:p w14:paraId="49735BFF" w14:textId="61C1B39E" w:rsidR="00C25F91" w:rsidRDefault="00C25F91" w:rsidP="00C25F91">
      <w:pPr>
        <w:pStyle w:val="ListParagraph"/>
        <w:numPr>
          <w:ilvl w:val="0"/>
          <w:numId w:val="19"/>
        </w:numPr>
        <w:jc w:val="both"/>
      </w:pPr>
      <w:r w:rsidRPr="00E81DC0">
        <w:rPr>
          <w:b/>
          <w:bCs/>
        </w:rPr>
        <w:t>Set CSRs to support the increase</w:t>
      </w:r>
      <w:r w:rsidR="00E81DC0" w:rsidRPr="00E81DC0">
        <w:rPr>
          <w:b/>
          <w:bCs/>
        </w:rPr>
        <w:t xml:space="preserve"> in</w:t>
      </w:r>
      <w:r w:rsidRPr="00E81DC0">
        <w:rPr>
          <w:b/>
          <w:bCs/>
        </w:rPr>
        <w:t xml:space="preserve"> trade union membership and collective bargaining</w:t>
      </w:r>
      <w:r w:rsidRPr="00F4474E">
        <w:t>, as essential pre-requisite</w:t>
      </w:r>
      <w:r>
        <w:t>s</w:t>
      </w:r>
      <w:r w:rsidRPr="00F4474E">
        <w:t xml:space="preserve"> for achieving fair, living wages and establish a social standard floor</w:t>
      </w:r>
      <w:r>
        <w:t>.</w:t>
      </w:r>
    </w:p>
    <w:p w14:paraId="699D1DAD" w14:textId="77777777" w:rsidR="00C25F91" w:rsidRPr="00F4474E" w:rsidRDefault="00C25F91" w:rsidP="00C25F91">
      <w:pPr>
        <w:pStyle w:val="ListParagraph"/>
        <w:numPr>
          <w:ilvl w:val="0"/>
          <w:numId w:val="19"/>
        </w:numPr>
        <w:jc w:val="both"/>
      </w:pPr>
      <w:r w:rsidRPr="00E81DC0">
        <w:rPr>
          <w:b/>
          <w:bCs/>
        </w:rPr>
        <w:t>Support participation of people facing in-work poverty, and the NGOs that support them</w:t>
      </w:r>
      <w:r>
        <w:t>, ensuring consultation in the design, delivery and monitoring of both activation services and in dialogues on in-work poverty and monitor through the Semester.</w:t>
      </w:r>
    </w:p>
    <w:p w14:paraId="4B886018" w14:textId="77777777" w:rsidR="00C25F91" w:rsidRPr="004B6616" w:rsidRDefault="00C25F91" w:rsidP="00C25F91">
      <w:pPr>
        <w:jc w:val="both"/>
        <w:rPr>
          <w:b/>
          <w:bCs/>
          <w:u w:val="single"/>
        </w:rPr>
      </w:pPr>
      <w:r w:rsidRPr="004B6616">
        <w:rPr>
          <w:b/>
          <w:bCs/>
          <w:u w:val="single"/>
        </w:rPr>
        <w:t>Hard law/EU legislation</w:t>
      </w:r>
    </w:p>
    <w:p w14:paraId="49DB6849" w14:textId="77777777" w:rsidR="00C25F91" w:rsidRDefault="00C25F91" w:rsidP="00C25F91">
      <w:pPr>
        <w:pStyle w:val="ListParagraph"/>
        <w:numPr>
          <w:ilvl w:val="0"/>
          <w:numId w:val="19"/>
        </w:numPr>
        <w:jc w:val="both"/>
      </w:pPr>
      <w:r w:rsidRPr="00E81DC0">
        <w:rPr>
          <w:b/>
          <w:bCs/>
        </w:rPr>
        <w:t>Progress towards an EU obligatory legal framework, for establishing minimum living wage</w:t>
      </w:r>
      <w:r w:rsidRPr="00F4474E">
        <w:t>s, which allow for a decent standard of living for workers and their families</w:t>
      </w:r>
      <w:r>
        <w:t xml:space="preserve"> (as outlined above).</w:t>
      </w:r>
    </w:p>
    <w:p w14:paraId="013CA41F" w14:textId="77777777" w:rsidR="00C25F91" w:rsidRDefault="00C25F91" w:rsidP="00C25F91">
      <w:pPr>
        <w:pStyle w:val="ListParagraph"/>
        <w:numPr>
          <w:ilvl w:val="0"/>
          <w:numId w:val="19"/>
        </w:numPr>
        <w:jc w:val="both"/>
      </w:pPr>
      <w:r w:rsidRPr="006D199F">
        <w:rPr>
          <w:b/>
          <w:bCs/>
        </w:rPr>
        <w:t>Use the benchmark of 60% of median wage as an indicator of adequacy, alongside reference budgets</w:t>
      </w:r>
      <w:r>
        <w:t xml:space="preserve"> to reflect the real cost of living and working, whilst providing a positive hierarchy above Minimum Income. Consider also indicators reflecting wage share of GDP and wage gap.</w:t>
      </w:r>
    </w:p>
    <w:p w14:paraId="0E70E672" w14:textId="77777777" w:rsidR="00C25F91" w:rsidRDefault="00C25F91" w:rsidP="00C25F91">
      <w:pPr>
        <w:pStyle w:val="ListParagraph"/>
        <w:numPr>
          <w:ilvl w:val="0"/>
          <w:numId w:val="19"/>
        </w:numPr>
        <w:jc w:val="both"/>
      </w:pPr>
      <w:r w:rsidRPr="006D199F">
        <w:rPr>
          <w:b/>
          <w:bCs/>
        </w:rPr>
        <w:lastRenderedPageBreak/>
        <w:t>Require statutory minimum wages</w:t>
      </w:r>
      <w:r>
        <w:t xml:space="preserve"> in all countries where wage levels are below the median, and where strong collective bargaining instruments do not currently exist.</w:t>
      </w:r>
    </w:p>
    <w:p w14:paraId="1C456B33" w14:textId="77777777" w:rsidR="00C25F91" w:rsidRDefault="00C25F91" w:rsidP="00C25F91">
      <w:pPr>
        <w:pStyle w:val="ListParagraph"/>
        <w:numPr>
          <w:ilvl w:val="0"/>
          <w:numId w:val="19"/>
        </w:numPr>
        <w:jc w:val="both"/>
      </w:pPr>
      <w:r w:rsidRPr="006D199F">
        <w:rPr>
          <w:b/>
          <w:bCs/>
        </w:rPr>
        <w:t>Require the establishment of strong collective bargaining</w:t>
      </w:r>
      <w:r>
        <w:t xml:space="preserve"> as key means to ensure progress towards fair wages for all, decent </w:t>
      </w:r>
      <w:proofErr w:type="gramStart"/>
      <w:r>
        <w:t>jobs</w:t>
      </w:r>
      <w:proofErr w:type="gramEnd"/>
      <w:r>
        <w:t xml:space="preserve"> and inclusive labour markets.</w:t>
      </w:r>
    </w:p>
    <w:p w14:paraId="2E2E42F5" w14:textId="77777777" w:rsidR="00C25F91" w:rsidRPr="000D6066" w:rsidRDefault="00C25F91" w:rsidP="00C25F91">
      <w:pPr>
        <w:pStyle w:val="ListParagraph"/>
        <w:numPr>
          <w:ilvl w:val="0"/>
          <w:numId w:val="19"/>
        </w:numPr>
        <w:jc w:val="both"/>
      </w:pPr>
      <w:r w:rsidRPr="006D199F">
        <w:rPr>
          <w:b/>
          <w:bCs/>
        </w:rPr>
        <w:t>An EU directive to address the gender pay gap and binding pay-transparency measure</w:t>
      </w:r>
      <w:r w:rsidRPr="000D6066">
        <w:t xml:space="preserve">s is also needed </w:t>
      </w:r>
      <w:proofErr w:type="gramStart"/>
      <w:r w:rsidRPr="000D6066">
        <w:t>in order to</w:t>
      </w:r>
      <w:proofErr w:type="gramEnd"/>
      <w:r w:rsidRPr="000D6066">
        <w:t xml:space="preserve"> bridge the gaps that enhanced coordination within the EU Semester has been unable to address.</w:t>
      </w:r>
    </w:p>
    <w:p w14:paraId="45C30EF3" w14:textId="77777777" w:rsidR="0020529A" w:rsidRDefault="0020529A" w:rsidP="00470F90">
      <w:pPr>
        <w:rPr>
          <w:b/>
          <w:bCs/>
        </w:rPr>
      </w:pPr>
    </w:p>
    <w:p w14:paraId="6E414C74" w14:textId="77777777" w:rsidR="004B6616" w:rsidRDefault="00470F90" w:rsidP="00470F90">
      <w:pPr>
        <w:rPr>
          <w:b/>
          <w:bCs/>
        </w:rPr>
      </w:pPr>
      <w:r w:rsidRPr="00470F90">
        <w:rPr>
          <w:b/>
          <w:bCs/>
        </w:rPr>
        <w:t xml:space="preserve">PRINCIPLE </w:t>
      </w:r>
      <w:r w:rsidR="00FF2C45">
        <w:rPr>
          <w:b/>
          <w:bCs/>
        </w:rPr>
        <w:t>20 ACCESS TO ESSENTIAL SERVICES</w:t>
      </w:r>
    </w:p>
    <w:p w14:paraId="4E9F6DB0" w14:textId="03C4B310" w:rsidR="007E52B9" w:rsidRDefault="00865C72" w:rsidP="00470F90">
      <w:pPr>
        <w:rPr>
          <w:b/>
          <w:bCs/>
        </w:rPr>
      </w:pPr>
      <w:r>
        <w:rPr>
          <w:b/>
          <w:bCs/>
        </w:rPr>
        <w:t>Including Energy Poverty and l</w:t>
      </w:r>
      <w:r w:rsidR="00E15899" w:rsidRPr="00146DBF">
        <w:rPr>
          <w:b/>
          <w:bCs/>
        </w:rPr>
        <w:t>ink</w:t>
      </w:r>
      <w:r w:rsidR="004B6616">
        <w:rPr>
          <w:b/>
          <w:bCs/>
        </w:rPr>
        <w:t>ed</w:t>
      </w:r>
      <w:r w:rsidR="00E15899" w:rsidRPr="00146DBF">
        <w:rPr>
          <w:b/>
          <w:bCs/>
        </w:rPr>
        <w:t xml:space="preserve"> to </w:t>
      </w:r>
      <w:r w:rsidR="002C6818" w:rsidRPr="00146DBF">
        <w:rPr>
          <w:b/>
          <w:bCs/>
        </w:rPr>
        <w:t xml:space="preserve">Principle 19: Housing and Assistance for the homeless, </w:t>
      </w:r>
      <w:r w:rsidR="00E15899" w:rsidRPr="00146DBF">
        <w:rPr>
          <w:b/>
          <w:bCs/>
        </w:rPr>
        <w:t>Principle 1</w:t>
      </w:r>
      <w:r w:rsidR="00675C76" w:rsidRPr="00146DBF">
        <w:rPr>
          <w:b/>
          <w:bCs/>
        </w:rPr>
        <w:t xml:space="preserve">1: </w:t>
      </w:r>
      <w:r w:rsidR="00E15899" w:rsidRPr="00146DBF">
        <w:rPr>
          <w:b/>
          <w:bCs/>
        </w:rPr>
        <w:t>Childcare and support to children, and Principle 16: Health care</w:t>
      </w:r>
      <w:r w:rsidR="00FD530D">
        <w:rPr>
          <w:b/>
          <w:bCs/>
        </w:rPr>
        <w:t xml:space="preserve"> and </w:t>
      </w:r>
      <w:r w:rsidR="00C0391C">
        <w:rPr>
          <w:b/>
          <w:bCs/>
        </w:rPr>
        <w:t>Principle 18 Long-term Care</w:t>
      </w:r>
      <w:r w:rsidR="00E56B01">
        <w:rPr>
          <w:b/>
          <w:bCs/>
        </w:rPr>
        <w:t>.</w:t>
      </w:r>
    </w:p>
    <w:p w14:paraId="01E94700" w14:textId="5D7734D3" w:rsidR="00C44002" w:rsidRPr="004B6616" w:rsidRDefault="00C44002" w:rsidP="00571BD7">
      <w:pPr>
        <w:pBdr>
          <w:top w:val="single" w:sz="4" w:space="1" w:color="auto"/>
          <w:left w:val="single" w:sz="4" w:space="4" w:color="auto"/>
          <w:bottom w:val="single" w:sz="4" w:space="1" w:color="auto"/>
          <w:right w:val="single" w:sz="4" w:space="4" w:color="auto"/>
        </w:pBdr>
        <w:jc w:val="both"/>
        <w:rPr>
          <w:rFonts w:eastAsia="Times New Roman" w:cstheme="minorHAnsi"/>
          <w:i/>
          <w:iCs/>
          <w:lang w:eastAsia="en-GB"/>
        </w:rPr>
      </w:pPr>
      <w:r w:rsidRPr="004B6616">
        <w:rPr>
          <w:b/>
        </w:rPr>
        <w:t>SDG 1</w:t>
      </w:r>
      <w:r w:rsidR="004B6616">
        <w:rPr>
          <w:bCs/>
        </w:rPr>
        <w:t xml:space="preserve"> aims </w:t>
      </w:r>
      <w:r w:rsidR="004B6616" w:rsidRPr="004B6616">
        <w:rPr>
          <w:b/>
        </w:rPr>
        <w:t>to e</w:t>
      </w:r>
      <w:r w:rsidRPr="004B6616">
        <w:rPr>
          <w:b/>
        </w:rPr>
        <w:t>nd poverty in all its forms</w:t>
      </w:r>
      <w:r w:rsidRPr="00571BD7">
        <w:t xml:space="preserve"> everywhere</w:t>
      </w:r>
      <w:r w:rsidR="00571BD7" w:rsidRPr="00571BD7">
        <w:t xml:space="preserve">; </w:t>
      </w:r>
      <w:r w:rsidRPr="004B6616">
        <w:rPr>
          <w:b/>
          <w:bCs/>
        </w:rPr>
        <w:t>SDG 3</w:t>
      </w:r>
      <w:r w:rsidRPr="00571BD7">
        <w:t>: Good health and well-being</w:t>
      </w:r>
      <w:r w:rsidR="00571BD7" w:rsidRPr="00571BD7">
        <w:t xml:space="preserve">; </w:t>
      </w:r>
      <w:r w:rsidRPr="004B6616">
        <w:rPr>
          <w:b/>
          <w:bCs/>
        </w:rPr>
        <w:t>SDG 6</w:t>
      </w:r>
      <w:r w:rsidRPr="00571BD7">
        <w:t>. Ensure availability and sustainable management of water and sanitation for all</w:t>
      </w:r>
      <w:r w:rsidR="00571BD7" w:rsidRPr="00571BD7">
        <w:t xml:space="preserve">; </w:t>
      </w:r>
      <w:r w:rsidRPr="004B6616">
        <w:rPr>
          <w:b/>
          <w:bCs/>
        </w:rPr>
        <w:t>SDG 7</w:t>
      </w:r>
      <w:r w:rsidRPr="00571BD7">
        <w:t xml:space="preserve"> Ensure access to affordable, reliable, sustainable, and modern energy for all</w:t>
      </w:r>
      <w:r w:rsidR="00571BD7" w:rsidRPr="00571BD7">
        <w:t xml:space="preserve">; </w:t>
      </w:r>
      <w:r w:rsidRPr="004B6616">
        <w:rPr>
          <w:b/>
          <w:bCs/>
        </w:rPr>
        <w:t>SDG 10</w:t>
      </w:r>
      <w:r w:rsidRPr="00571BD7">
        <w:t xml:space="preserve"> Reduce inequality within and among countries</w:t>
      </w:r>
      <w:r w:rsidR="00571BD7" w:rsidRPr="00571BD7">
        <w:t xml:space="preserve">; </w:t>
      </w:r>
      <w:r w:rsidRPr="004B6616">
        <w:rPr>
          <w:b/>
          <w:bCs/>
        </w:rPr>
        <w:t>SDG 11</w:t>
      </w:r>
      <w:r w:rsidRPr="00571BD7">
        <w:t>.Make cities and human settlements inclusive, safe, resilient and sustainable including</w:t>
      </w:r>
      <w:r w:rsidRPr="00571BD7">
        <w:rPr>
          <w:rFonts w:eastAsia="Times New Roman" w:cstheme="minorHAnsi"/>
          <w:lang w:eastAsia="en-GB"/>
        </w:rPr>
        <w:t xml:space="preserve"> “</w:t>
      </w:r>
      <w:r w:rsidRPr="004B6616">
        <w:rPr>
          <w:rFonts w:eastAsia="Times New Roman" w:cstheme="minorHAnsi"/>
          <w:i/>
          <w:iCs/>
          <w:lang w:eastAsia="en-GB"/>
        </w:rPr>
        <w:t>a</w:t>
      </w:r>
      <w:r w:rsidRPr="004B6616">
        <w:rPr>
          <w:rStyle w:val="Strong"/>
          <w:b w:val="0"/>
          <w:bCs w:val="0"/>
          <w:i/>
          <w:iCs/>
        </w:rPr>
        <w:t>ccess for all to adequate, safe and affordable housing and basic services and upgrade slums</w:t>
      </w:r>
      <w:r w:rsidRPr="004B6616">
        <w:rPr>
          <w:i/>
          <w:iCs/>
        </w:rPr>
        <w:t>"</w:t>
      </w:r>
      <w:r w:rsidR="00571BD7" w:rsidRPr="004B6616">
        <w:rPr>
          <w:i/>
          <w:iCs/>
        </w:rPr>
        <w:t>.</w:t>
      </w:r>
    </w:p>
    <w:p w14:paraId="36EC51F1" w14:textId="496E3142" w:rsidR="00677109" w:rsidRPr="00FF0BC9" w:rsidRDefault="00C44002" w:rsidP="0020529A">
      <w:pPr>
        <w:spacing w:after="0"/>
        <w:jc w:val="both"/>
      </w:pPr>
      <w:r w:rsidRPr="006D199F">
        <w:rPr>
          <w:b/>
          <w:bCs/>
        </w:rPr>
        <w:t>F</w:t>
      </w:r>
      <w:r w:rsidR="000544E1" w:rsidRPr="006D199F">
        <w:rPr>
          <w:b/>
          <w:bCs/>
        </w:rPr>
        <w:t xml:space="preserve">or EAPN the provision of universal services is </w:t>
      </w:r>
      <w:r w:rsidR="006D199F">
        <w:rPr>
          <w:b/>
          <w:bCs/>
        </w:rPr>
        <w:t xml:space="preserve">the </w:t>
      </w:r>
      <w:r w:rsidR="000544E1" w:rsidRPr="006D199F">
        <w:rPr>
          <w:b/>
          <w:bCs/>
        </w:rPr>
        <w:t xml:space="preserve">vital </w:t>
      </w:r>
      <w:r w:rsidR="006D199F">
        <w:rPr>
          <w:b/>
          <w:bCs/>
        </w:rPr>
        <w:t xml:space="preserve">core </w:t>
      </w:r>
      <w:r w:rsidR="000544E1" w:rsidRPr="006D199F">
        <w:rPr>
          <w:b/>
          <w:bCs/>
        </w:rPr>
        <w:t>of social protection and welfare states</w:t>
      </w:r>
      <w:r w:rsidR="000544E1" w:rsidRPr="00FF0BC9">
        <w:t xml:space="preserve">. They are crucial in </w:t>
      </w:r>
      <w:r w:rsidR="000544E1" w:rsidRPr="006D199F">
        <w:rPr>
          <w:b/>
          <w:bCs/>
        </w:rPr>
        <w:t>preventing and tackling poverty</w:t>
      </w:r>
      <w:r w:rsidR="00571BD7">
        <w:t xml:space="preserve"> &amp;</w:t>
      </w:r>
      <w:r w:rsidR="000544E1" w:rsidRPr="00FF0BC9">
        <w:t xml:space="preserve"> social exclusion</w:t>
      </w:r>
      <w:r w:rsidR="00571BD7">
        <w:t xml:space="preserve">, and act as a lynchpin </w:t>
      </w:r>
      <w:r w:rsidR="000544E1" w:rsidRPr="00FF0BC9">
        <w:t>to the European Social Model.</w:t>
      </w:r>
      <w:r w:rsidR="004B6616">
        <w:t xml:space="preserve"> With the </w:t>
      </w:r>
      <w:r w:rsidR="004B6616" w:rsidRPr="006D199F">
        <w:rPr>
          <w:b/>
          <w:bCs/>
        </w:rPr>
        <w:t>impact of COVID-19</w:t>
      </w:r>
      <w:r w:rsidR="004B6616">
        <w:t xml:space="preserve"> this has become self-evident and emerges as a key priority for EU and national action.</w:t>
      </w:r>
      <w:r w:rsidR="000544E1" w:rsidRPr="00FF0BC9">
        <w:t xml:space="preserve"> Equal and affordable access to quality </w:t>
      </w:r>
      <w:r w:rsidR="00571BD7">
        <w:t xml:space="preserve"> universal </w:t>
      </w:r>
      <w:r w:rsidR="000544E1" w:rsidRPr="00FF0BC9">
        <w:t>education, health, social and housing services is also one of the three main pillars (in addition to income support and inclusive labour market) of the Active Inclusion Strategy</w:t>
      </w:r>
      <w:r w:rsidR="000544E1" w:rsidRPr="00FF0BC9">
        <w:rPr>
          <w:vertAlign w:val="superscript"/>
        </w:rPr>
        <w:footnoteReference w:id="47"/>
      </w:r>
      <w:r w:rsidR="000544E1" w:rsidRPr="00FF0BC9">
        <w:t xml:space="preserve"> (2008) which should underpin an Integrated </w:t>
      </w:r>
      <w:r w:rsidR="00FD42B5" w:rsidRPr="00FF0BC9">
        <w:t>Anti-Poverty</w:t>
      </w:r>
      <w:r w:rsidR="000544E1" w:rsidRPr="00FF0BC9">
        <w:t xml:space="preserve"> Strategy as highlighted above.</w:t>
      </w:r>
      <w:r w:rsidR="00677109" w:rsidRPr="00FF0BC9">
        <w:t xml:space="preserve"> </w:t>
      </w:r>
    </w:p>
    <w:p w14:paraId="476F52ED" w14:textId="77777777" w:rsidR="00677109" w:rsidRDefault="00677109" w:rsidP="00D43706">
      <w:pPr>
        <w:spacing w:after="0"/>
        <w:jc w:val="both"/>
      </w:pPr>
    </w:p>
    <w:p w14:paraId="22C2BE57" w14:textId="7FF70A59" w:rsidR="0020529A" w:rsidRDefault="005322C5" w:rsidP="0020529A">
      <w:pPr>
        <w:spacing w:after="0"/>
        <w:jc w:val="both"/>
        <w:rPr>
          <w:rFonts w:cstheme="minorHAnsi"/>
        </w:rPr>
      </w:pPr>
      <w:r w:rsidRPr="0020529A">
        <w:rPr>
          <w:rFonts w:cstheme="minorHAnsi"/>
        </w:rPr>
        <w:t>In setting future policies and strategies for implementing principle 20</w:t>
      </w:r>
      <w:r w:rsidR="00902323" w:rsidRPr="0020529A">
        <w:rPr>
          <w:rFonts w:cstheme="minorHAnsi"/>
        </w:rPr>
        <w:t xml:space="preserve"> ‘</w:t>
      </w:r>
      <w:r w:rsidRPr="006D199F">
        <w:rPr>
          <w:rFonts w:cstheme="minorHAnsi"/>
          <w:b/>
          <w:bCs/>
        </w:rPr>
        <w:t>accessibility of services</w:t>
      </w:r>
      <w:r w:rsidR="00902323" w:rsidRPr="006D199F">
        <w:rPr>
          <w:rFonts w:cstheme="minorHAnsi"/>
          <w:b/>
          <w:bCs/>
        </w:rPr>
        <w:t>’</w:t>
      </w:r>
      <w:r w:rsidRPr="006D199F">
        <w:rPr>
          <w:rFonts w:cstheme="minorHAnsi"/>
          <w:b/>
          <w:bCs/>
        </w:rPr>
        <w:t>, affordability, coverage and quality must be key criteria.</w:t>
      </w:r>
      <w:r w:rsidRPr="0020529A">
        <w:rPr>
          <w:rFonts w:cstheme="minorHAnsi"/>
        </w:rPr>
        <w:t xml:space="preserve"> There is also a need to </w:t>
      </w:r>
      <w:r w:rsidRPr="006D199F">
        <w:rPr>
          <w:rFonts w:cstheme="minorHAnsi"/>
          <w:b/>
          <w:bCs/>
        </w:rPr>
        <w:t>ensure universality, guaranteeing the right for all</w:t>
      </w:r>
      <w:r w:rsidRPr="0020529A">
        <w:rPr>
          <w:rFonts w:cstheme="minorHAnsi"/>
        </w:rPr>
        <w:t xml:space="preserve"> as part of an essential social compact to ensure quality services for everybody, combined with additional targeted measures </w:t>
      </w:r>
      <w:r w:rsidR="0020529A" w:rsidRPr="0020529A">
        <w:rPr>
          <w:rFonts w:cstheme="minorHAnsi"/>
        </w:rPr>
        <w:t>to achieve</w:t>
      </w:r>
      <w:r w:rsidRPr="0020529A">
        <w:rPr>
          <w:rFonts w:cstheme="minorHAnsi"/>
        </w:rPr>
        <w:t xml:space="preserve"> effective access for vulnerable groups and antidiscrimination measures (targeted universalism). EAPN believes that the new European Pillar of Social Rights linked to the UN Sustainable Development Goals Agenda for 2030 should provide an overarching rights-based framework</w:t>
      </w:r>
      <w:r w:rsidR="00DB0408">
        <w:rPr>
          <w:rStyle w:val="FootnoteReference"/>
          <w:rFonts w:cstheme="minorHAnsi"/>
        </w:rPr>
        <w:footnoteReference w:id="48"/>
      </w:r>
      <w:r w:rsidR="00677109" w:rsidRPr="0020529A">
        <w:rPr>
          <w:rFonts w:cstheme="minorHAnsi"/>
        </w:rPr>
        <w:t xml:space="preserve"> </w:t>
      </w:r>
      <w:r w:rsidR="0020529A" w:rsidRPr="0020529A">
        <w:rPr>
          <w:rFonts w:cstheme="minorHAnsi"/>
        </w:rPr>
        <w:t xml:space="preserve">for a post 2020 Strategy. </w:t>
      </w:r>
    </w:p>
    <w:p w14:paraId="4354FA8F" w14:textId="77777777" w:rsidR="0020529A" w:rsidRPr="0020529A" w:rsidRDefault="0020529A" w:rsidP="0020529A">
      <w:pPr>
        <w:spacing w:after="0"/>
        <w:jc w:val="both"/>
      </w:pPr>
    </w:p>
    <w:p w14:paraId="350027F1" w14:textId="5E6EEE43" w:rsidR="00770A01" w:rsidRDefault="005322C5" w:rsidP="0020529A">
      <w:pPr>
        <w:spacing w:after="0"/>
        <w:jc w:val="both"/>
      </w:pPr>
      <w:r w:rsidRPr="0020529A">
        <w:rPr>
          <w:rFonts w:cstheme="minorHAnsi"/>
        </w:rPr>
        <w:t xml:space="preserve">However, </w:t>
      </w:r>
      <w:proofErr w:type="gramStart"/>
      <w:r w:rsidRPr="0020529A">
        <w:rPr>
          <w:rFonts w:cstheme="minorHAnsi"/>
        </w:rPr>
        <w:t>in reality t</w:t>
      </w:r>
      <w:r w:rsidR="00FF2C45" w:rsidRPr="0020529A">
        <w:rPr>
          <w:rFonts w:cstheme="minorHAnsi"/>
        </w:rPr>
        <w:t>he</w:t>
      </w:r>
      <w:proofErr w:type="gramEnd"/>
      <w:r w:rsidR="00FF2C45" w:rsidRPr="0020529A">
        <w:rPr>
          <w:rFonts w:cstheme="minorHAnsi"/>
        </w:rPr>
        <w:t xml:space="preserve"> </w:t>
      </w:r>
      <w:r w:rsidR="00FF2C45" w:rsidRPr="006D199F">
        <w:rPr>
          <w:rFonts w:cstheme="minorHAnsi"/>
          <w:b/>
          <w:bCs/>
        </w:rPr>
        <w:t xml:space="preserve">right to essential services, particularly </w:t>
      </w:r>
      <w:r w:rsidR="00902323" w:rsidRPr="006D199F">
        <w:rPr>
          <w:rFonts w:cstheme="minorHAnsi"/>
          <w:b/>
          <w:bCs/>
        </w:rPr>
        <w:t xml:space="preserve">to </w:t>
      </w:r>
      <w:r w:rsidR="00FF2C45" w:rsidRPr="006D199F">
        <w:rPr>
          <w:rFonts w:cstheme="minorHAnsi"/>
          <w:b/>
          <w:bCs/>
        </w:rPr>
        <w:t>public services, has been consistently undermined by</w:t>
      </w:r>
      <w:r w:rsidR="00FF2C45" w:rsidRPr="006D199F">
        <w:rPr>
          <w:b/>
          <w:bCs/>
        </w:rPr>
        <w:t xml:space="preserve"> the</w:t>
      </w:r>
      <w:r w:rsidR="00902323" w:rsidRPr="006D199F">
        <w:rPr>
          <w:b/>
          <w:bCs/>
        </w:rPr>
        <w:t>ir</w:t>
      </w:r>
      <w:r w:rsidR="00FF2C45" w:rsidRPr="006D199F">
        <w:rPr>
          <w:b/>
          <w:bCs/>
        </w:rPr>
        <w:t xml:space="preserve"> accelerated </w:t>
      </w:r>
      <w:r w:rsidR="00113313" w:rsidRPr="006D199F">
        <w:rPr>
          <w:b/>
          <w:bCs/>
        </w:rPr>
        <w:t xml:space="preserve">privatisation and </w:t>
      </w:r>
      <w:r w:rsidR="00FF2C45" w:rsidRPr="006D199F">
        <w:rPr>
          <w:b/>
          <w:bCs/>
        </w:rPr>
        <w:t>liberalisation</w:t>
      </w:r>
      <w:r w:rsidR="00113313">
        <w:t>,</w:t>
      </w:r>
      <w:r w:rsidRPr="00770A01">
        <w:t xml:space="preserve"> seeking profit above the common good. This has</w:t>
      </w:r>
      <w:r w:rsidR="006426F9">
        <w:t xml:space="preserve"> been linked to a</w:t>
      </w:r>
      <w:r w:rsidRPr="00770A01">
        <w:t xml:space="preserve"> shift away from universalism towards targeted services, </w:t>
      </w:r>
      <w:r w:rsidR="00770A01" w:rsidRPr="00770A01">
        <w:t xml:space="preserve">under pressure from austerity </w:t>
      </w:r>
      <w:r w:rsidRPr="00770A01">
        <w:t>measures</w:t>
      </w:r>
      <w:r w:rsidR="00FF2C45" w:rsidRPr="00770A01">
        <w:t xml:space="preserve">. </w:t>
      </w:r>
      <w:r w:rsidR="00056A3E">
        <w:t>The European Semester</w:t>
      </w:r>
      <w:r w:rsidR="00902323">
        <w:t xml:space="preserve"> </w:t>
      </w:r>
      <w:r w:rsidR="00056A3E">
        <w:t xml:space="preserve">has </w:t>
      </w:r>
      <w:r w:rsidR="0018347E">
        <w:t>too often</w:t>
      </w:r>
      <w:r w:rsidR="00056A3E">
        <w:t xml:space="preserve"> supported this view.</w:t>
      </w:r>
      <w:r w:rsidR="0047234C">
        <w:t xml:space="preserve"> </w:t>
      </w:r>
      <w:r w:rsidR="0047234C">
        <w:lastRenderedPageBreak/>
        <w:t>With the impact of COVID-19, a renewed focus must be made to invest in public services, to guarantee the public good.</w:t>
      </w:r>
    </w:p>
    <w:p w14:paraId="2BB2C03B" w14:textId="77777777" w:rsidR="0020529A" w:rsidRPr="00770A01" w:rsidRDefault="0020529A" w:rsidP="0020529A">
      <w:pPr>
        <w:spacing w:after="0"/>
        <w:jc w:val="both"/>
      </w:pPr>
    </w:p>
    <w:p w14:paraId="08213DF9" w14:textId="1B446581" w:rsidR="00902323" w:rsidRDefault="00770A01" w:rsidP="0020529A">
      <w:pPr>
        <w:jc w:val="both"/>
      </w:pPr>
      <w:r w:rsidRPr="00770A01">
        <w:t>All public services,</w:t>
      </w:r>
      <w:r w:rsidR="00571BD7">
        <w:t xml:space="preserve"> health, education but also</w:t>
      </w:r>
      <w:r w:rsidRPr="00770A01">
        <w:t xml:space="preserve"> water, waste, sanitation, transport, digital and financial services as well as social services and justice systems</w:t>
      </w:r>
      <w:r w:rsidR="0018347E">
        <w:t>,</w:t>
      </w:r>
      <w:r w:rsidRPr="00770A01">
        <w:t xml:space="preserve"> provide an </w:t>
      </w:r>
      <w:r w:rsidRPr="006D199F">
        <w:rPr>
          <w:b/>
          <w:bCs/>
        </w:rPr>
        <w:t xml:space="preserve">essential public infrastructure that represent essential common </w:t>
      </w:r>
      <w:r w:rsidR="00571BD7" w:rsidRPr="006D199F">
        <w:rPr>
          <w:b/>
          <w:bCs/>
        </w:rPr>
        <w:t xml:space="preserve">public </w:t>
      </w:r>
      <w:r w:rsidRPr="006D199F">
        <w:rPr>
          <w:b/>
          <w:bCs/>
        </w:rPr>
        <w:t>goods</w:t>
      </w:r>
      <w:r w:rsidRPr="00770A01">
        <w:t xml:space="preserve"> to EU citizens, a flagstone of the European Social Model.</w:t>
      </w:r>
      <w:r w:rsidR="006426F9">
        <w:t xml:space="preserve"> T</w:t>
      </w:r>
      <w:r w:rsidR="00FF2C45" w:rsidRPr="00770A01">
        <w:t xml:space="preserve">he EAPN EU Inclusion Strategies Group </w:t>
      </w:r>
      <w:r w:rsidR="00902323">
        <w:t xml:space="preserve">(EUISG) </w:t>
      </w:r>
      <w:r w:rsidR="00FF2C45" w:rsidRPr="00770A01">
        <w:t xml:space="preserve">in 2017 </w:t>
      </w:r>
      <w:r w:rsidR="00902323">
        <w:t>elaborated</w:t>
      </w:r>
      <w:r w:rsidR="00FF2C45" w:rsidRPr="00770A01">
        <w:t xml:space="preserve"> their report</w:t>
      </w:r>
      <w:r w:rsidR="005322C5" w:rsidRPr="00770A01">
        <w:t xml:space="preserve"> </w:t>
      </w:r>
      <w:hyperlink r:id="rId54" w:history="1">
        <w:r w:rsidR="00902323">
          <w:rPr>
            <w:rStyle w:val="Hyperlink"/>
          </w:rPr>
          <w:t>’N</w:t>
        </w:r>
        <w:r w:rsidR="005322C5" w:rsidRPr="00770A01">
          <w:rPr>
            <w:rStyle w:val="Hyperlink"/>
          </w:rPr>
          <w:t>obody left behin</w:t>
        </w:r>
        <w:r w:rsidR="00902323">
          <w:rPr>
            <w:rStyle w:val="Hyperlink"/>
          </w:rPr>
          <w:t>d’</w:t>
        </w:r>
      </w:hyperlink>
      <w:r w:rsidR="005322C5" w:rsidRPr="00770A01">
        <w:t xml:space="preserve">. In the 2019 </w:t>
      </w:r>
      <w:hyperlink r:id="rId55" w:history="1">
        <w:r w:rsidR="005322C5" w:rsidRPr="00D43706">
          <w:rPr>
            <w:rStyle w:val="Hyperlink"/>
          </w:rPr>
          <w:t>People Experiencing Poverty meeting</w:t>
        </w:r>
      </w:hyperlink>
      <w:r w:rsidR="005322C5" w:rsidRPr="00770A01">
        <w:t xml:space="preserve">, health and housing where  highlighted as </w:t>
      </w:r>
      <w:hyperlink r:id="rId56" w:history="1">
        <w:r w:rsidR="005322C5" w:rsidRPr="006F7238">
          <w:rPr>
            <w:rStyle w:val="Hyperlink"/>
          </w:rPr>
          <w:t>key priorities</w:t>
        </w:r>
      </w:hyperlink>
      <w:r w:rsidR="006426F9">
        <w:t>, and facing mounting threats.</w:t>
      </w:r>
      <w:r w:rsidR="004B6616">
        <w:t xml:space="preserve"> </w:t>
      </w:r>
    </w:p>
    <w:p w14:paraId="29F6BFA2" w14:textId="70F60EF3" w:rsidR="004B6616" w:rsidRPr="00E56B01" w:rsidRDefault="004B6616" w:rsidP="0020529A">
      <w:pPr>
        <w:jc w:val="both"/>
      </w:pPr>
      <w:r>
        <w:t>We highlight here key priorities related to ‘</w:t>
      </w:r>
      <w:r w:rsidRPr="006D199F">
        <w:rPr>
          <w:b/>
          <w:bCs/>
        </w:rPr>
        <w:t>essential services’</w:t>
      </w:r>
      <w:r w:rsidR="00E56B01">
        <w:rPr>
          <w:b/>
          <w:bCs/>
        </w:rPr>
        <w:t xml:space="preserve"> </w:t>
      </w:r>
      <w:r w:rsidR="00E56B01" w:rsidRPr="00E56B01">
        <w:t>quoted Principle 20.</w:t>
      </w:r>
    </w:p>
    <w:p w14:paraId="1E5EF46F" w14:textId="1A7301BF" w:rsidR="00FF2C45" w:rsidRDefault="0020529A" w:rsidP="006D199F">
      <w:pPr>
        <w:jc w:val="both"/>
      </w:pPr>
      <w:r w:rsidRPr="006D199F">
        <w:rPr>
          <w:b/>
          <w:bCs/>
        </w:rPr>
        <w:t>Energy Poverty</w:t>
      </w:r>
      <w:r>
        <w:t xml:space="preserve">, and the right to affordable, clean energy is a key challenge, </w:t>
      </w:r>
      <w:r w:rsidR="005322C5" w:rsidRPr="00770A01">
        <w:t xml:space="preserve">with </w:t>
      </w:r>
      <w:r w:rsidR="00770A01">
        <w:t xml:space="preserve">rising energy poverty </w:t>
      </w:r>
      <w:r w:rsidR="0018347E">
        <w:t xml:space="preserve">affecting </w:t>
      </w:r>
      <w:r w:rsidR="00D43706">
        <w:t xml:space="preserve">more than 50 million people, </w:t>
      </w:r>
      <w:r w:rsidR="0018347E">
        <w:t xml:space="preserve"> and where </w:t>
      </w:r>
      <w:r w:rsidR="00D43706">
        <w:t>1 in 10 cannot heat their home properly and 1 in 5 cool them in summer</w:t>
      </w:r>
      <w:r w:rsidR="006426F9">
        <w:t>.</w:t>
      </w:r>
      <w:r w:rsidR="00D43706">
        <w:rPr>
          <w:rStyle w:val="FootnoteReference"/>
        </w:rPr>
        <w:footnoteReference w:id="49"/>
      </w:r>
      <w:r w:rsidR="006426F9">
        <w:t xml:space="preserve"> </w:t>
      </w:r>
      <w:r w:rsidR="0047234C">
        <w:t xml:space="preserve">It must be a key focus in the European Green Deal and Just Transition. </w:t>
      </w:r>
      <w:r w:rsidR="00D43706">
        <w:t xml:space="preserve">An integrated approach which supports adequate income, reduces energy </w:t>
      </w:r>
      <w:proofErr w:type="gramStart"/>
      <w:r w:rsidR="00D43706">
        <w:t>consumption</w:t>
      </w:r>
      <w:proofErr w:type="gramEnd"/>
      <w:r w:rsidR="00D43706">
        <w:t xml:space="preserve"> and</w:t>
      </w:r>
      <w:r>
        <w:t xml:space="preserve"> promotes</w:t>
      </w:r>
      <w:r w:rsidR="00D43706">
        <w:t xml:space="preserve"> </w:t>
      </w:r>
      <w:r w:rsidR="00B64BEB">
        <w:t>fair prices is crucial</w:t>
      </w:r>
      <w:r w:rsidR="0047234C">
        <w:t xml:space="preserve">. Promoting </w:t>
      </w:r>
      <w:r w:rsidR="00B64BEB">
        <w:rPr>
          <w:rStyle w:val="FootnoteReference"/>
        </w:rPr>
        <w:footnoteReference w:id="50"/>
      </w:r>
      <w:r w:rsidR="0047234C">
        <w:t>d</w:t>
      </w:r>
      <w:r w:rsidR="006426F9">
        <w:t xml:space="preserve">ecent </w:t>
      </w:r>
      <w:r w:rsidR="0047234C">
        <w:t xml:space="preserve">affordable </w:t>
      </w:r>
      <w:r w:rsidR="006426F9">
        <w:t>housing combined with energy efficient measures are key means to reduce energy consumption and energy poverty thus supporting the EP</w:t>
      </w:r>
      <w:r w:rsidR="00B64BEB">
        <w:t>SR</w:t>
      </w:r>
      <w:r w:rsidR="006426F9">
        <w:t xml:space="preserve"> and Just Transition.</w:t>
      </w:r>
      <w:r>
        <w:t xml:space="preserve"> </w:t>
      </w:r>
      <w:r w:rsidR="00571BD7">
        <w:t>Investing in s</w:t>
      </w:r>
      <w:r>
        <w:t>ocial affordable</w:t>
      </w:r>
      <w:r w:rsidR="00571BD7">
        <w:t>, energy efficient</w:t>
      </w:r>
      <w:r>
        <w:t xml:space="preserve"> housing is a clear</w:t>
      </w:r>
      <w:r w:rsidR="00571BD7">
        <w:t xml:space="preserve"> win-win for a Social and Green Deal</w:t>
      </w:r>
      <w:r w:rsidR="00E56B01">
        <w:t>.</w:t>
      </w:r>
    </w:p>
    <w:p w14:paraId="1BC25A17" w14:textId="0E1ACC7E" w:rsidR="006D199F" w:rsidRPr="006D199F" w:rsidRDefault="006D199F" w:rsidP="0020529A">
      <w:pPr>
        <w:pStyle w:val="ListParagraph"/>
        <w:ind w:left="360"/>
        <w:jc w:val="both"/>
        <w:rPr>
          <w:b/>
          <w:bCs/>
          <w:i/>
          <w:iCs/>
        </w:rPr>
      </w:pPr>
      <w:r w:rsidRPr="006D199F">
        <w:rPr>
          <w:b/>
          <w:bCs/>
          <w:i/>
          <w:iCs/>
        </w:rPr>
        <w:t>Proposals on other key public and essential Services are elaborated below by linked Principle.</w:t>
      </w:r>
    </w:p>
    <w:p w14:paraId="116EABE0" w14:textId="26A14305" w:rsidR="00770A01" w:rsidRDefault="00770A01" w:rsidP="002F2899">
      <w:pPr>
        <w:spacing w:after="0" w:line="240" w:lineRule="auto"/>
        <w:jc w:val="both"/>
        <w:rPr>
          <w:rFonts w:eastAsia="Times New Roman" w:cstheme="minorHAnsi"/>
          <w:b/>
          <w:bCs/>
          <w:u w:val="single"/>
          <w:lang w:eastAsia="en-GB"/>
        </w:rPr>
      </w:pPr>
      <w:r w:rsidRPr="00D42668">
        <w:rPr>
          <w:rFonts w:eastAsia="Times New Roman" w:cstheme="minorHAnsi"/>
          <w:b/>
          <w:bCs/>
          <w:u w:val="single"/>
          <w:lang w:eastAsia="en-GB"/>
        </w:rPr>
        <w:t>Soft Instrument</w:t>
      </w:r>
      <w:r w:rsidR="0018347E" w:rsidRPr="00D42668">
        <w:rPr>
          <w:rFonts w:eastAsia="Times New Roman" w:cstheme="minorHAnsi"/>
          <w:b/>
          <w:bCs/>
          <w:u w:val="single"/>
          <w:lang w:eastAsia="en-GB"/>
        </w:rPr>
        <w:t>s</w:t>
      </w:r>
      <w:r w:rsidRPr="00D42668">
        <w:rPr>
          <w:rFonts w:eastAsia="Times New Roman" w:cstheme="minorHAnsi"/>
          <w:b/>
          <w:bCs/>
          <w:u w:val="single"/>
          <w:lang w:eastAsia="en-GB"/>
        </w:rPr>
        <w:t xml:space="preserve"> for Upward Convergence</w:t>
      </w:r>
    </w:p>
    <w:p w14:paraId="1394E6EB" w14:textId="77777777" w:rsidR="00D42668" w:rsidRPr="00D42668" w:rsidRDefault="00D42668" w:rsidP="002F2899">
      <w:pPr>
        <w:spacing w:after="0" w:line="240" w:lineRule="auto"/>
        <w:jc w:val="both"/>
        <w:rPr>
          <w:rFonts w:eastAsia="Times New Roman" w:cstheme="minorHAnsi"/>
          <w:b/>
          <w:bCs/>
          <w:u w:val="single"/>
          <w:lang w:eastAsia="en-GB"/>
        </w:rPr>
      </w:pPr>
    </w:p>
    <w:p w14:paraId="12752C8F" w14:textId="166E3A26" w:rsidR="00056A3E" w:rsidRDefault="00056A3E" w:rsidP="002F2899">
      <w:pPr>
        <w:pStyle w:val="ListParagraph"/>
        <w:numPr>
          <w:ilvl w:val="0"/>
          <w:numId w:val="15"/>
        </w:numPr>
        <w:jc w:val="both"/>
        <w:rPr>
          <w:rFonts w:cstheme="minorHAnsi"/>
        </w:rPr>
      </w:pPr>
      <w:r w:rsidRPr="006D199F">
        <w:rPr>
          <w:rFonts w:cstheme="minorHAnsi"/>
          <w:b/>
          <w:bCs/>
        </w:rPr>
        <w:t xml:space="preserve">Rebalance the focus in the European Semester, towards ensuring </w:t>
      </w:r>
      <w:r w:rsidR="00B64BEB" w:rsidRPr="006D199F">
        <w:rPr>
          <w:rFonts w:cstheme="minorHAnsi"/>
          <w:b/>
          <w:bCs/>
        </w:rPr>
        <w:t xml:space="preserve">universal access </w:t>
      </w:r>
      <w:r w:rsidRPr="006D199F">
        <w:rPr>
          <w:rFonts w:cstheme="minorHAnsi"/>
          <w:b/>
          <w:bCs/>
        </w:rPr>
        <w:t>to affordable services in all areas,</w:t>
      </w:r>
      <w:r>
        <w:rPr>
          <w:rFonts w:cstheme="minorHAnsi"/>
        </w:rPr>
        <w:t xml:space="preserve"> rather than viewed </w:t>
      </w:r>
      <w:r w:rsidR="00B64BEB">
        <w:rPr>
          <w:rFonts w:cstheme="minorHAnsi"/>
        </w:rPr>
        <w:t xml:space="preserve">predominantly </w:t>
      </w:r>
      <w:r>
        <w:rPr>
          <w:rFonts w:cstheme="minorHAnsi"/>
        </w:rPr>
        <w:t xml:space="preserve">as a cost and </w:t>
      </w:r>
      <w:r w:rsidR="00B64BEB">
        <w:rPr>
          <w:rFonts w:cstheme="minorHAnsi"/>
        </w:rPr>
        <w:t>a</w:t>
      </w:r>
      <w:r>
        <w:rPr>
          <w:rFonts w:cstheme="minorHAnsi"/>
        </w:rPr>
        <w:t xml:space="preserve"> target for restructuring.</w:t>
      </w:r>
    </w:p>
    <w:p w14:paraId="7D551FA7" w14:textId="63D63E2F" w:rsidR="00DB0408" w:rsidRDefault="00DB0408" w:rsidP="002F2899">
      <w:pPr>
        <w:pStyle w:val="ListParagraph"/>
        <w:numPr>
          <w:ilvl w:val="0"/>
          <w:numId w:val="15"/>
        </w:numPr>
        <w:jc w:val="both"/>
        <w:rPr>
          <w:rFonts w:cstheme="minorHAnsi"/>
        </w:rPr>
      </w:pPr>
      <w:r>
        <w:rPr>
          <w:rFonts w:cstheme="minorHAnsi"/>
        </w:rPr>
        <w:t xml:space="preserve">Include </w:t>
      </w:r>
      <w:r w:rsidR="00146DBF">
        <w:rPr>
          <w:rFonts w:cstheme="minorHAnsi"/>
        </w:rPr>
        <w:t>access to all key services as a</w:t>
      </w:r>
      <w:r>
        <w:rPr>
          <w:rFonts w:cstheme="minorHAnsi"/>
        </w:rPr>
        <w:t xml:space="preserve"> </w:t>
      </w:r>
      <w:r w:rsidR="00E56B01">
        <w:rPr>
          <w:rFonts w:cstheme="minorHAnsi"/>
        </w:rPr>
        <w:t>priority pillar</w:t>
      </w:r>
      <w:r>
        <w:rPr>
          <w:rFonts w:cstheme="minorHAnsi"/>
        </w:rPr>
        <w:t xml:space="preserve"> </w:t>
      </w:r>
      <w:r w:rsidR="00B64BEB">
        <w:rPr>
          <w:rFonts w:cstheme="minorHAnsi"/>
        </w:rPr>
        <w:t xml:space="preserve">in </w:t>
      </w:r>
      <w:r w:rsidR="00146DBF">
        <w:rPr>
          <w:rFonts w:cstheme="minorHAnsi"/>
        </w:rPr>
        <w:t xml:space="preserve">an integrated EU antipoverty strategy as outlined </w:t>
      </w:r>
      <w:proofErr w:type="gramStart"/>
      <w:r w:rsidR="00146DBF">
        <w:rPr>
          <w:rFonts w:cstheme="minorHAnsi"/>
        </w:rPr>
        <w:t>above</w:t>
      </w:r>
      <w:r w:rsidR="00E56B01">
        <w:rPr>
          <w:rFonts w:cstheme="minorHAnsi"/>
        </w:rPr>
        <w:t>,</w:t>
      </w:r>
      <w:r w:rsidR="00146DBF">
        <w:rPr>
          <w:rFonts w:cstheme="minorHAnsi"/>
        </w:rPr>
        <w:t xml:space="preserve"> and</w:t>
      </w:r>
      <w:proofErr w:type="gramEnd"/>
      <w:r w:rsidR="00146DBF">
        <w:rPr>
          <w:rFonts w:cstheme="minorHAnsi"/>
        </w:rPr>
        <w:t xml:space="preserve"> monitor comprehensively.</w:t>
      </w:r>
    </w:p>
    <w:p w14:paraId="3B1ADB2C" w14:textId="01D1C9F3" w:rsidR="00056A3E" w:rsidRDefault="00056A3E" w:rsidP="002F2899">
      <w:pPr>
        <w:pStyle w:val="ListParagraph"/>
        <w:numPr>
          <w:ilvl w:val="0"/>
          <w:numId w:val="15"/>
        </w:numPr>
        <w:jc w:val="both"/>
        <w:rPr>
          <w:rFonts w:cstheme="minorHAnsi"/>
        </w:rPr>
      </w:pPr>
      <w:r w:rsidRPr="00056A3E">
        <w:rPr>
          <w:rFonts w:cstheme="minorHAnsi"/>
        </w:rPr>
        <w:t xml:space="preserve">Access to services must cover </w:t>
      </w:r>
      <w:r w:rsidRPr="006D199F">
        <w:rPr>
          <w:rFonts w:cstheme="minorHAnsi"/>
          <w:b/>
          <w:bCs/>
        </w:rPr>
        <w:t>accessible as well as affordable, quality</w:t>
      </w:r>
      <w:r w:rsidR="006D199F">
        <w:rPr>
          <w:rFonts w:cstheme="minorHAnsi"/>
          <w:b/>
          <w:bCs/>
        </w:rPr>
        <w:t xml:space="preserve"> universal</w:t>
      </w:r>
      <w:r w:rsidRPr="006D199F">
        <w:rPr>
          <w:rFonts w:cstheme="minorHAnsi"/>
          <w:b/>
          <w:bCs/>
        </w:rPr>
        <w:t xml:space="preserve"> services</w:t>
      </w:r>
      <w:r w:rsidRPr="00056A3E">
        <w:rPr>
          <w:rFonts w:cstheme="minorHAnsi"/>
        </w:rPr>
        <w:t xml:space="preserve"> i.e.</w:t>
      </w:r>
      <w:r w:rsidR="002F2899">
        <w:rPr>
          <w:rFonts w:cstheme="minorHAnsi"/>
        </w:rPr>
        <w:t xml:space="preserve"> </w:t>
      </w:r>
      <w:r w:rsidRPr="00056A3E">
        <w:rPr>
          <w:rFonts w:cstheme="minorHAnsi"/>
        </w:rPr>
        <w:t>geographical coverage, disability access, as well as access to waiting lists and for all groups.</w:t>
      </w:r>
      <w:r w:rsidR="00B64BEB">
        <w:t xml:space="preserve"> </w:t>
      </w:r>
      <w:r w:rsidRPr="00056A3E">
        <w:rPr>
          <w:rFonts w:cstheme="minorHAnsi"/>
        </w:rPr>
        <w:t>It must also be environmentally sustainable i.e.</w:t>
      </w:r>
      <w:r w:rsidR="002F2899">
        <w:rPr>
          <w:rFonts w:cstheme="minorHAnsi"/>
        </w:rPr>
        <w:t xml:space="preserve"> </w:t>
      </w:r>
      <w:r w:rsidRPr="00056A3E">
        <w:rPr>
          <w:rFonts w:cstheme="minorHAnsi"/>
        </w:rPr>
        <w:t>support the circular economy.</w:t>
      </w:r>
    </w:p>
    <w:p w14:paraId="47EF4CF2" w14:textId="1E5E204B" w:rsidR="007E61F4" w:rsidRDefault="00146DBF" w:rsidP="00F15FB1">
      <w:pPr>
        <w:pStyle w:val="ListParagraph"/>
        <w:numPr>
          <w:ilvl w:val="0"/>
          <w:numId w:val="15"/>
        </w:numPr>
        <w:jc w:val="both"/>
        <w:rPr>
          <w:rFonts w:cstheme="minorHAnsi"/>
        </w:rPr>
      </w:pPr>
      <w:r>
        <w:rPr>
          <w:rFonts w:cstheme="minorHAnsi"/>
        </w:rPr>
        <w:t xml:space="preserve">In the area of </w:t>
      </w:r>
      <w:r w:rsidRPr="004B6616">
        <w:rPr>
          <w:rFonts w:cstheme="minorHAnsi"/>
          <w:b/>
          <w:bCs/>
        </w:rPr>
        <w:t>Energy Poverty</w:t>
      </w:r>
      <w:r>
        <w:rPr>
          <w:rFonts w:cstheme="minorHAnsi"/>
        </w:rPr>
        <w:t>,</w:t>
      </w:r>
      <w:r w:rsidR="007C4924">
        <w:rPr>
          <w:rFonts w:cstheme="minorHAnsi"/>
        </w:rPr>
        <w:t xml:space="preserve"> to ensure that the </w:t>
      </w:r>
      <w:r w:rsidR="0047234C">
        <w:rPr>
          <w:rFonts w:cstheme="minorHAnsi"/>
        </w:rPr>
        <w:t xml:space="preserve">European Green Deal </w:t>
      </w:r>
      <w:r w:rsidR="007C4924">
        <w:rPr>
          <w:rFonts w:cstheme="minorHAnsi"/>
        </w:rPr>
        <w:t xml:space="preserve">delivers a </w:t>
      </w:r>
      <w:r w:rsidR="0047234C">
        <w:rPr>
          <w:rFonts w:cstheme="minorHAnsi"/>
        </w:rPr>
        <w:t xml:space="preserve">Just Transition </w:t>
      </w:r>
      <w:r>
        <w:rPr>
          <w:rFonts w:cstheme="minorHAnsi"/>
        </w:rPr>
        <w:t xml:space="preserve">assert the right to </w:t>
      </w:r>
      <w:r w:rsidRPr="00146DBF">
        <w:rPr>
          <w:rFonts w:cstheme="minorHAnsi"/>
          <w:i/>
          <w:iCs/>
        </w:rPr>
        <w:t>affordable</w:t>
      </w:r>
      <w:r>
        <w:rPr>
          <w:rFonts w:cstheme="minorHAnsi"/>
        </w:rPr>
        <w:t>, clean energy</w:t>
      </w:r>
      <w:r w:rsidR="007E61F4">
        <w:rPr>
          <w:rFonts w:cstheme="minorHAnsi"/>
        </w:rPr>
        <w:t xml:space="preserve"> and </w:t>
      </w:r>
      <w:r>
        <w:rPr>
          <w:rFonts w:cstheme="minorHAnsi"/>
        </w:rPr>
        <w:t>develop obligatory EU guidelines</w:t>
      </w:r>
      <w:r w:rsidR="007E61F4">
        <w:rPr>
          <w:rFonts w:cstheme="minorHAnsi"/>
        </w:rPr>
        <w:t>/guidance</w:t>
      </w:r>
      <w:r>
        <w:rPr>
          <w:rFonts w:cstheme="minorHAnsi"/>
        </w:rPr>
        <w:t xml:space="preserve"> to ensure the development</w:t>
      </w:r>
      <w:r w:rsidR="00F15FB1">
        <w:rPr>
          <w:rFonts w:cstheme="minorHAnsi"/>
        </w:rPr>
        <w:t xml:space="preserve"> of effective</w:t>
      </w:r>
      <w:r w:rsidR="007E61F4">
        <w:rPr>
          <w:rFonts w:cstheme="minorHAnsi"/>
        </w:rPr>
        <w:t>, rights-based</w:t>
      </w:r>
      <w:r w:rsidR="00F15FB1">
        <w:rPr>
          <w:rFonts w:cstheme="minorHAnsi"/>
        </w:rPr>
        <w:t xml:space="preserve"> approaches to fight energy poverty in the national </w:t>
      </w:r>
      <w:hyperlink r:id="rId57" w:history="1">
        <w:r w:rsidR="00F15FB1" w:rsidRPr="00F15FB1">
          <w:rPr>
            <w:rStyle w:val="Hyperlink"/>
            <w:rFonts w:cstheme="minorHAnsi"/>
          </w:rPr>
          <w:t>climate and energy plans</w:t>
        </w:r>
      </w:hyperlink>
      <w:r w:rsidR="00F15FB1">
        <w:rPr>
          <w:rFonts w:cstheme="minorHAnsi"/>
        </w:rPr>
        <w:t>, based on the</w:t>
      </w:r>
      <w:r>
        <w:rPr>
          <w:rFonts w:cstheme="minorHAnsi"/>
        </w:rPr>
        <w:t xml:space="preserve"> 3 </w:t>
      </w:r>
      <w:r w:rsidR="0047234C">
        <w:rPr>
          <w:rFonts w:cstheme="minorHAnsi"/>
        </w:rPr>
        <w:t>p</w:t>
      </w:r>
      <w:r>
        <w:rPr>
          <w:rFonts w:cstheme="minorHAnsi"/>
        </w:rPr>
        <w:t>illar approach (adequate income, reducing consumption/energy efficiency and fair prices)</w:t>
      </w:r>
      <w:r w:rsidR="0094490A">
        <w:rPr>
          <w:rFonts w:cstheme="minorHAnsi"/>
        </w:rPr>
        <w:t>,</w:t>
      </w:r>
      <w:r w:rsidR="007E61F4">
        <w:rPr>
          <w:rFonts w:cstheme="minorHAnsi"/>
        </w:rPr>
        <w:t xml:space="preserve"> consistent with Principle 20 of the EPSR.</w:t>
      </w:r>
      <w:r w:rsidR="00F15FB1">
        <w:rPr>
          <w:rFonts w:cstheme="minorHAnsi"/>
        </w:rPr>
        <w:t xml:space="preserve"> </w:t>
      </w:r>
    </w:p>
    <w:p w14:paraId="5768BB68" w14:textId="77777777" w:rsidR="0047234C" w:rsidRDefault="007E61F4" w:rsidP="00F15FB1">
      <w:pPr>
        <w:pStyle w:val="ListParagraph"/>
        <w:numPr>
          <w:ilvl w:val="0"/>
          <w:numId w:val="15"/>
        </w:numPr>
        <w:jc w:val="both"/>
        <w:rPr>
          <w:rFonts w:cstheme="minorHAnsi"/>
        </w:rPr>
      </w:pPr>
      <w:r w:rsidRPr="006D199F">
        <w:rPr>
          <w:rFonts w:cstheme="minorHAnsi"/>
          <w:b/>
          <w:bCs/>
        </w:rPr>
        <w:t xml:space="preserve">Further EU </w:t>
      </w:r>
      <w:r w:rsidR="00F15FB1" w:rsidRPr="006D199F">
        <w:rPr>
          <w:rFonts w:cstheme="minorHAnsi"/>
          <w:b/>
          <w:bCs/>
        </w:rPr>
        <w:t>action is needed to ban disconnections</w:t>
      </w:r>
      <w:r w:rsidR="00F15FB1">
        <w:rPr>
          <w:rFonts w:cstheme="minorHAnsi"/>
        </w:rPr>
        <w:t xml:space="preserve">, which deprive people </w:t>
      </w:r>
      <w:r>
        <w:rPr>
          <w:rFonts w:cstheme="minorHAnsi"/>
        </w:rPr>
        <w:t>of</w:t>
      </w:r>
      <w:r w:rsidR="00F15FB1">
        <w:rPr>
          <w:rFonts w:cstheme="minorHAnsi"/>
        </w:rPr>
        <w:t xml:space="preserve"> their right to energy, stop the phasing out of regulated prices in the energy sector for domestic households and support social tariffs for vulnerable customers.</w:t>
      </w:r>
    </w:p>
    <w:p w14:paraId="65A77684" w14:textId="259974A8" w:rsidR="00F15FB1" w:rsidRPr="00D42668" w:rsidRDefault="00F15FB1" w:rsidP="00F15FB1">
      <w:pPr>
        <w:pStyle w:val="ListParagraph"/>
        <w:numPr>
          <w:ilvl w:val="0"/>
          <w:numId w:val="15"/>
        </w:numPr>
        <w:jc w:val="both"/>
        <w:rPr>
          <w:rFonts w:cstheme="minorHAnsi"/>
        </w:rPr>
      </w:pPr>
      <w:r w:rsidRPr="006D199F">
        <w:rPr>
          <w:rFonts w:eastAsia="Times New Roman" w:cstheme="minorHAnsi"/>
          <w:b/>
          <w:bCs/>
          <w:lang w:eastAsia="en-GB"/>
        </w:rPr>
        <w:t xml:space="preserve">Assign an ambitious share of EU Just Transition and EU </w:t>
      </w:r>
      <w:r w:rsidR="0047234C" w:rsidRPr="006D199F">
        <w:rPr>
          <w:rFonts w:eastAsia="Times New Roman" w:cstheme="minorHAnsi"/>
          <w:b/>
          <w:bCs/>
          <w:lang w:eastAsia="en-GB"/>
        </w:rPr>
        <w:t>I</w:t>
      </w:r>
      <w:r w:rsidRPr="006D199F">
        <w:rPr>
          <w:rFonts w:eastAsia="Times New Roman" w:cstheme="minorHAnsi"/>
          <w:b/>
          <w:bCs/>
          <w:lang w:eastAsia="en-GB"/>
        </w:rPr>
        <w:t>nvest financing to support energy efficiency and decent housing,</w:t>
      </w:r>
      <w:r w:rsidRPr="00F15FB1">
        <w:rPr>
          <w:rFonts w:eastAsia="Times New Roman" w:cstheme="minorHAnsi"/>
          <w:lang w:eastAsia="en-GB"/>
        </w:rPr>
        <w:t xml:space="preserve"> including expansion of social housing measures targeting low income households ensuring no additional costs in housing or bills for these households.</w:t>
      </w:r>
      <w:r w:rsidR="007E61F4">
        <w:rPr>
          <w:rStyle w:val="FootnoteReference"/>
          <w:rFonts w:eastAsia="Times New Roman" w:cstheme="minorHAnsi"/>
          <w:lang w:eastAsia="en-GB"/>
        </w:rPr>
        <w:footnoteReference w:id="51"/>
      </w:r>
      <w:r w:rsidR="007E61F4">
        <w:rPr>
          <w:rFonts w:eastAsia="Times New Roman" w:cstheme="minorHAnsi"/>
          <w:lang w:eastAsia="en-GB"/>
        </w:rPr>
        <w:t xml:space="preserve"> </w:t>
      </w:r>
      <w:r w:rsidR="007E61F4">
        <w:rPr>
          <w:rStyle w:val="FootnoteReference"/>
          <w:rFonts w:eastAsia="Times New Roman" w:cstheme="minorHAnsi"/>
          <w:lang w:eastAsia="en-GB"/>
        </w:rPr>
        <w:footnoteReference w:id="52"/>
      </w:r>
    </w:p>
    <w:p w14:paraId="40CD1591" w14:textId="0F346294" w:rsidR="00146DBF" w:rsidRDefault="00146DBF" w:rsidP="00F15FB1">
      <w:pPr>
        <w:pStyle w:val="ListParagraph"/>
        <w:ind w:left="360"/>
        <w:jc w:val="both"/>
        <w:rPr>
          <w:rFonts w:cstheme="minorHAnsi"/>
        </w:rPr>
      </w:pPr>
    </w:p>
    <w:p w14:paraId="67B689A0" w14:textId="2F3D66B6" w:rsidR="00D42668" w:rsidRPr="00D42668" w:rsidRDefault="00D42668" w:rsidP="00D42668">
      <w:pPr>
        <w:pStyle w:val="ListParagraph"/>
        <w:ind w:left="0"/>
        <w:jc w:val="both"/>
        <w:rPr>
          <w:rFonts w:cstheme="minorHAnsi"/>
          <w:b/>
          <w:bCs/>
          <w:sz w:val="24"/>
          <w:szCs w:val="24"/>
        </w:rPr>
      </w:pPr>
      <w:r w:rsidRPr="00D42668">
        <w:rPr>
          <w:rFonts w:cstheme="minorHAnsi"/>
          <w:b/>
          <w:bCs/>
          <w:sz w:val="24"/>
          <w:szCs w:val="24"/>
        </w:rPr>
        <w:t>Connected Principles</w:t>
      </w:r>
    </w:p>
    <w:p w14:paraId="56ACB7FA" w14:textId="1621FD86" w:rsidR="00056A3E" w:rsidRPr="008E4D73" w:rsidRDefault="00056A3E" w:rsidP="002F2899">
      <w:pPr>
        <w:spacing w:after="0" w:line="240" w:lineRule="auto"/>
        <w:jc w:val="both"/>
        <w:rPr>
          <w:rFonts w:eastAsia="Times New Roman" w:cstheme="minorHAnsi"/>
          <w:b/>
          <w:bCs/>
          <w:i/>
          <w:iCs/>
          <w:lang w:eastAsia="en-GB"/>
        </w:rPr>
      </w:pPr>
      <w:r w:rsidRPr="008E4D73">
        <w:rPr>
          <w:rFonts w:eastAsia="Times New Roman" w:cstheme="minorHAnsi"/>
          <w:b/>
          <w:bCs/>
          <w:i/>
          <w:iCs/>
          <w:lang w:eastAsia="en-GB"/>
        </w:rPr>
        <w:lastRenderedPageBreak/>
        <w:t>Housing</w:t>
      </w:r>
      <w:r w:rsidR="00E15899" w:rsidRPr="008E4D73">
        <w:rPr>
          <w:rFonts w:eastAsia="Times New Roman" w:cstheme="minorHAnsi"/>
          <w:b/>
          <w:bCs/>
          <w:i/>
          <w:iCs/>
          <w:lang w:eastAsia="en-GB"/>
        </w:rPr>
        <w:t xml:space="preserve"> and Assistance for the homeless (Principle 19)</w:t>
      </w:r>
    </w:p>
    <w:p w14:paraId="3BE01288" w14:textId="77777777" w:rsidR="00E15899" w:rsidRPr="00B85E63" w:rsidRDefault="00E15899" w:rsidP="002F2899">
      <w:pPr>
        <w:spacing w:after="0" w:line="240" w:lineRule="auto"/>
        <w:jc w:val="both"/>
        <w:rPr>
          <w:rFonts w:eastAsia="Times New Roman" w:cstheme="minorHAnsi"/>
          <w:b/>
          <w:bCs/>
          <w:u w:val="single"/>
          <w:lang w:eastAsia="en-GB"/>
        </w:rPr>
      </w:pPr>
    </w:p>
    <w:p w14:paraId="195C9E10" w14:textId="45C1EE4E" w:rsidR="0018347E" w:rsidRPr="00056A3E" w:rsidRDefault="0018347E" w:rsidP="002F2899">
      <w:pPr>
        <w:spacing w:after="0" w:line="240" w:lineRule="auto"/>
        <w:jc w:val="both"/>
        <w:rPr>
          <w:rFonts w:eastAsia="Times New Roman" w:cstheme="minorHAnsi"/>
          <w:b/>
          <w:bCs/>
          <w:lang w:eastAsia="en-GB"/>
        </w:rPr>
      </w:pPr>
      <w:proofErr w:type="spellStart"/>
      <w:r>
        <w:rPr>
          <w:rFonts w:eastAsia="Times New Roman" w:cstheme="minorHAnsi"/>
          <w:b/>
          <w:bCs/>
          <w:lang w:eastAsia="en-GB"/>
        </w:rPr>
        <w:t>PeP</w:t>
      </w:r>
      <w:proofErr w:type="spellEnd"/>
      <w:r>
        <w:rPr>
          <w:rFonts w:eastAsia="Times New Roman" w:cstheme="minorHAnsi"/>
          <w:b/>
          <w:bCs/>
          <w:lang w:eastAsia="en-GB"/>
        </w:rPr>
        <w:t xml:space="preserve"> 2019 EU Meeting</w:t>
      </w:r>
    </w:p>
    <w:p w14:paraId="089766ED" w14:textId="682D8669" w:rsidR="00B64BEB" w:rsidRPr="00B64BEB" w:rsidRDefault="0018347E" w:rsidP="00B64BE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lang w:eastAsia="en-GB"/>
        </w:rPr>
      </w:pPr>
      <w:r>
        <w:rPr>
          <w:rFonts w:eastAsia="Times New Roman" w:cstheme="minorHAnsi"/>
          <w:b/>
          <w:bCs/>
          <w:lang w:eastAsia="en-GB"/>
        </w:rPr>
        <w:t>K</w:t>
      </w:r>
      <w:r w:rsidR="00B64BEB" w:rsidRPr="00B64BEB">
        <w:rPr>
          <w:rFonts w:eastAsia="Times New Roman" w:cstheme="minorHAnsi"/>
          <w:b/>
          <w:bCs/>
          <w:lang w:eastAsia="en-GB"/>
        </w:rPr>
        <w:t>ey messages</w:t>
      </w:r>
      <w:r w:rsidR="006F7238">
        <w:rPr>
          <w:rFonts w:eastAsia="Times New Roman" w:cstheme="minorHAnsi"/>
          <w:b/>
          <w:bCs/>
          <w:lang w:eastAsia="en-GB"/>
        </w:rPr>
        <w:t xml:space="preserve"> on housing</w:t>
      </w:r>
      <w:r w:rsidR="006F7238">
        <w:rPr>
          <w:rStyle w:val="FootnoteReference"/>
          <w:rFonts w:eastAsia="Times New Roman" w:cstheme="minorHAnsi"/>
          <w:b/>
          <w:bCs/>
          <w:lang w:eastAsia="en-GB"/>
        </w:rPr>
        <w:footnoteReference w:id="53"/>
      </w:r>
    </w:p>
    <w:p w14:paraId="679647A4" w14:textId="3DF811B8" w:rsidR="00B64BEB" w:rsidRPr="006F7238" w:rsidRDefault="00B64BEB" w:rsidP="006F7238">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en-GB"/>
        </w:rPr>
      </w:pPr>
      <w:r w:rsidRPr="006F7238">
        <w:rPr>
          <w:rFonts w:eastAsia="Times New Roman" w:cstheme="minorHAnsi"/>
          <w:lang w:eastAsia="en-GB"/>
        </w:rPr>
        <w:t>Treat housing as a fundamental right not a financial good.</w:t>
      </w:r>
    </w:p>
    <w:p w14:paraId="4C602821" w14:textId="3939559D" w:rsidR="00B64BEB" w:rsidRPr="006F7238" w:rsidRDefault="00B64BEB" w:rsidP="006F7238">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en-GB"/>
        </w:rPr>
      </w:pPr>
      <w:r w:rsidRPr="006F7238">
        <w:rPr>
          <w:rFonts w:eastAsia="Times New Roman" w:cstheme="minorHAnsi"/>
          <w:lang w:eastAsia="en-GB"/>
        </w:rPr>
        <w:t>Ensure Access to decent social housing</w:t>
      </w:r>
    </w:p>
    <w:p w14:paraId="54D57A44" w14:textId="7EB56504" w:rsidR="00B64BEB" w:rsidRPr="006F7238" w:rsidRDefault="00B64BEB" w:rsidP="006F7238">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en-GB"/>
        </w:rPr>
      </w:pPr>
      <w:r w:rsidRPr="006F7238">
        <w:rPr>
          <w:rFonts w:eastAsia="Times New Roman" w:cstheme="minorHAnsi"/>
          <w:lang w:eastAsia="en-GB"/>
        </w:rPr>
        <w:t>Make decent housing affordable</w:t>
      </w:r>
    </w:p>
    <w:p w14:paraId="0FF13634" w14:textId="36C18CE9" w:rsidR="00B64BEB" w:rsidRDefault="00B64BEB" w:rsidP="006F7238">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en-GB"/>
        </w:rPr>
      </w:pPr>
      <w:r w:rsidRPr="006F7238">
        <w:rPr>
          <w:rFonts w:eastAsia="Times New Roman" w:cstheme="minorHAnsi"/>
          <w:lang w:eastAsia="en-GB"/>
        </w:rPr>
        <w:t>Address speculation</w:t>
      </w:r>
    </w:p>
    <w:p w14:paraId="4EEB7020" w14:textId="526B7F84" w:rsidR="00B64BEB" w:rsidRDefault="00B64BEB" w:rsidP="002F2899">
      <w:pPr>
        <w:spacing w:after="0" w:line="240" w:lineRule="auto"/>
        <w:jc w:val="both"/>
        <w:rPr>
          <w:rFonts w:eastAsia="Times New Roman" w:cstheme="minorHAnsi"/>
          <w:lang w:eastAsia="en-GB"/>
        </w:rPr>
      </w:pPr>
    </w:p>
    <w:p w14:paraId="0107C2FF" w14:textId="5C5B5664" w:rsidR="00D42668" w:rsidRPr="00D42668" w:rsidRDefault="00D42668" w:rsidP="002F2899">
      <w:pPr>
        <w:spacing w:after="0" w:line="240" w:lineRule="auto"/>
        <w:jc w:val="both"/>
        <w:rPr>
          <w:rFonts w:eastAsia="Times New Roman" w:cstheme="minorHAnsi"/>
          <w:b/>
          <w:bCs/>
          <w:u w:val="single"/>
          <w:lang w:eastAsia="en-GB"/>
        </w:rPr>
      </w:pPr>
      <w:r w:rsidRPr="00D42668">
        <w:rPr>
          <w:rFonts w:eastAsia="Times New Roman" w:cstheme="minorHAnsi"/>
          <w:b/>
          <w:bCs/>
          <w:u w:val="single"/>
          <w:lang w:eastAsia="en-GB"/>
        </w:rPr>
        <w:t xml:space="preserve">Soft </w:t>
      </w:r>
      <w:r>
        <w:rPr>
          <w:rFonts w:eastAsia="Times New Roman" w:cstheme="minorHAnsi"/>
          <w:b/>
          <w:bCs/>
          <w:u w:val="single"/>
          <w:lang w:eastAsia="en-GB"/>
        </w:rPr>
        <w:t>Instruments</w:t>
      </w:r>
      <w:r w:rsidRPr="00D42668">
        <w:rPr>
          <w:rFonts w:eastAsia="Times New Roman" w:cstheme="minorHAnsi"/>
          <w:b/>
          <w:bCs/>
          <w:u w:val="single"/>
          <w:lang w:eastAsia="en-GB"/>
        </w:rPr>
        <w:t xml:space="preserve"> to support upward convergence</w:t>
      </w:r>
    </w:p>
    <w:p w14:paraId="447A2AAB" w14:textId="77777777" w:rsidR="00D42668" w:rsidRPr="00D42668" w:rsidRDefault="00D42668" w:rsidP="002F2899">
      <w:pPr>
        <w:spacing w:after="0" w:line="240" w:lineRule="auto"/>
        <w:jc w:val="both"/>
        <w:rPr>
          <w:rFonts w:eastAsia="Times New Roman" w:cstheme="minorHAnsi"/>
          <w:b/>
          <w:bCs/>
          <w:u w:val="single"/>
          <w:lang w:eastAsia="en-GB"/>
        </w:rPr>
      </w:pPr>
    </w:p>
    <w:p w14:paraId="111C745D" w14:textId="5D789168" w:rsidR="00C0391C" w:rsidRPr="0094490A" w:rsidRDefault="00C0391C" w:rsidP="00C0391C">
      <w:pPr>
        <w:pStyle w:val="ListParagraph"/>
        <w:numPr>
          <w:ilvl w:val="0"/>
          <w:numId w:val="15"/>
        </w:numPr>
        <w:spacing w:after="0" w:line="240" w:lineRule="auto"/>
        <w:jc w:val="both"/>
        <w:rPr>
          <w:rFonts w:eastAsia="Times New Roman" w:cstheme="minorHAnsi"/>
          <w:lang w:eastAsia="en-GB"/>
        </w:rPr>
      </w:pPr>
      <w:r w:rsidRPr="006D199F">
        <w:rPr>
          <w:rFonts w:eastAsia="Times New Roman" w:cstheme="minorHAnsi"/>
          <w:b/>
          <w:bCs/>
          <w:lang w:eastAsia="en-GB"/>
        </w:rPr>
        <w:t>For EAPN, Access to decent, affordable housing</w:t>
      </w:r>
      <w:r w:rsidR="0094490A" w:rsidRPr="006D199F">
        <w:rPr>
          <w:rFonts w:eastAsia="Times New Roman" w:cstheme="minorHAnsi"/>
          <w:b/>
          <w:bCs/>
          <w:lang w:eastAsia="en-GB"/>
        </w:rPr>
        <w:t>, guaranteeing</w:t>
      </w:r>
      <w:r w:rsidRPr="006D199F">
        <w:rPr>
          <w:rFonts w:eastAsia="Times New Roman" w:cstheme="minorHAnsi"/>
          <w:b/>
          <w:bCs/>
          <w:lang w:eastAsia="en-GB"/>
        </w:rPr>
        <w:t xml:space="preserve"> protection and support against homelessness is a major priority</w:t>
      </w:r>
      <w:r w:rsidRPr="0094490A">
        <w:rPr>
          <w:rFonts w:eastAsia="Times New Roman" w:cstheme="minorHAnsi"/>
          <w:lang w:eastAsia="en-GB"/>
        </w:rPr>
        <w:t xml:space="preserve"> in the fight against poverty and in relation to guaranteeing the right to key essential services. COVID-19 has only exposed the vulnerability of this right, for low income households, under threat from eviction </w:t>
      </w:r>
      <w:r w:rsidR="0094490A">
        <w:rPr>
          <w:rFonts w:eastAsia="Times New Roman" w:cstheme="minorHAnsi"/>
          <w:lang w:eastAsia="en-GB"/>
        </w:rPr>
        <w:t xml:space="preserve">as they are </w:t>
      </w:r>
      <w:r w:rsidRPr="0094490A">
        <w:rPr>
          <w:rFonts w:eastAsia="Times New Roman" w:cstheme="minorHAnsi"/>
          <w:lang w:eastAsia="en-GB"/>
        </w:rPr>
        <w:t>unable to pay rent, increasing risk of homelessness. Homeless people themselves are particularly vulnerable to infection, on the streets and in shelters</w:t>
      </w:r>
      <w:r w:rsidR="0094490A">
        <w:rPr>
          <w:rFonts w:eastAsia="Times New Roman" w:cstheme="minorHAnsi"/>
          <w:lang w:eastAsia="en-GB"/>
        </w:rPr>
        <w:t>, unable to follow hygiene or social-distancing rules</w:t>
      </w:r>
      <w:r w:rsidRPr="0094490A">
        <w:rPr>
          <w:rFonts w:eastAsia="Times New Roman" w:cstheme="minorHAnsi"/>
          <w:lang w:eastAsia="en-GB"/>
        </w:rPr>
        <w:t>. This must provide a new push to reinforce the right to affordable housing and protection from homelessness</w:t>
      </w:r>
      <w:r w:rsidR="0094490A">
        <w:rPr>
          <w:rFonts w:eastAsia="Times New Roman" w:cstheme="minorHAnsi"/>
          <w:lang w:eastAsia="en-GB"/>
        </w:rPr>
        <w:t xml:space="preserve"> across the EU.</w:t>
      </w:r>
    </w:p>
    <w:p w14:paraId="67EBF4DB" w14:textId="71657CFB" w:rsidR="00F2207B" w:rsidRPr="00B85E63" w:rsidRDefault="006F7238" w:rsidP="00B85E63">
      <w:pPr>
        <w:pStyle w:val="ListParagraph"/>
        <w:numPr>
          <w:ilvl w:val="0"/>
          <w:numId w:val="15"/>
        </w:numPr>
        <w:spacing w:after="0" w:line="240" w:lineRule="auto"/>
        <w:jc w:val="both"/>
        <w:rPr>
          <w:rFonts w:eastAsia="Times New Roman" w:cstheme="minorHAnsi"/>
          <w:b/>
          <w:bCs/>
          <w:lang w:eastAsia="en-GB"/>
        </w:rPr>
      </w:pPr>
      <w:r w:rsidRPr="00F2207B">
        <w:rPr>
          <w:rFonts w:eastAsia="Times New Roman" w:cstheme="minorHAnsi"/>
          <w:lang w:eastAsia="en-GB"/>
        </w:rPr>
        <w:t>The European Semester should</w:t>
      </w:r>
      <w:r w:rsidR="00064EBB" w:rsidRPr="00F2207B">
        <w:rPr>
          <w:rFonts w:eastAsia="Times New Roman" w:cstheme="minorHAnsi"/>
          <w:lang w:eastAsia="en-GB"/>
        </w:rPr>
        <w:t xml:space="preserve"> ensure that the</w:t>
      </w:r>
      <w:r w:rsidRPr="00F2207B">
        <w:rPr>
          <w:rFonts w:eastAsia="Times New Roman" w:cstheme="minorHAnsi"/>
          <w:lang w:eastAsia="en-GB"/>
        </w:rPr>
        <w:t xml:space="preserve"> Country-Specific Recommendations</w:t>
      </w:r>
      <w:r w:rsidR="0094490A">
        <w:rPr>
          <w:rFonts w:eastAsia="Times New Roman" w:cstheme="minorHAnsi"/>
          <w:lang w:eastAsia="en-GB"/>
        </w:rPr>
        <w:t xml:space="preserve"> </w:t>
      </w:r>
      <w:r w:rsidRPr="00F2207B">
        <w:rPr>
          <w:rFonts w:eastAsia="Times New Roman" w:cstheme="minorHAnsi"/>
          <w:lang w:eastAsia="en-GB"/>
        </w:rPr>
        <w:t xml:space="preserve">(CSRs) </w:t>
      </w:r>
      <w:r w:rsidRPr="006D199F">
        <w:rPr>
          <w:rFonts w:eastAsia="Times New Roman" w:cstheme="minorHAnsi"/>
          <w:b/>
          <w:bCs/>
          <w:lang w:eastAsia="en-GB"/>
        </w:rPr>
        <w:t xml:space="preserve">treat housing as a social right, </w:t>
      </w:r>
      <w:r w:rsidRPr="00F2207B">
        <w:rPr>
          <w:rFonts w:eastAsia="Times New Roman" w:cstheme="minorHAnsi"/>
          <w:lang w:eastAsia="en-GB"/>
        </w:rPr>
        <w:t>rather than</w:t>
      </w:r>
      <w:r w:rsidR="00934B6C" w:rsidRPr="00F2207B">
        <w:rPr>
          <w:rFonts w:eastAsia="Times New Roman" w:cstheme="minorHAnsi"/>
          <w:lang w:eastAsia="en-GB"/>
        </w:rPr>
        <w:t xml:space="preserve"> primarily as </w:t>
      </w:r>
      <w:r w:rsidRPr="00F2207B">
        <w:rPr>
          <w:rFonts w:eastAsia="Times New Roman" w:cstheme="minorHAnsi"/>
          <w:lang w:eastAsia="en-GB"/>
        </w:rPr>
        <w:t>a market</w:t>
      </w:r>
      <w:r w:rsidR="00934B6C" w:rsidRPr="00F2207B">
        <w:rPr>
          <w:rFonts w:eastAsia="Times New Roman" w:cstheme="minorHAnsi"/>
          <w:lang w:eastAsia="en-GB"/>
        </w:rPr>
        <w:t xml:space="preserve"> for growth</w:t>
      </w:r>
      <w:r w:rsidR="008E2A91" w:rsidRPr="00F2207B">
        <w:rPr>
          <w:rFonts w:eastAsia="Times New Roman" w:cstheme="minorHAnsi"/>
          <w:lang w:eastAsia="en-GB"/>
        </w:rPr>
        <w:t>. It must</w:t>
      </w:r>
      <w:r w:rsidRPr="00F2207B">
        <w:rPr>
          <w:rFonts w:eastAsia="Times New Roman" w:cstheme="minorHAnsi"/>
          <w:lang w:eastAsia="en-GB"/>
        </w:rPr>
        <w:t xml:space="preserve"> </w:t>
      </w:r>
      <w:r w:rsidRPr="006D199F">
        <w:rPr>
          <w:rFonts w:eastAsia="Times New Roman" w:cstheme="minorHAnsi"/>
          <w:b/>
          <w:bCs/>
          <w:lang w:eastAsia="en-GB"/>
        </w:rPr>
        <w:t>address speculation</w:t>
      </w:r>
      <w:r w:rsidR="008E2A91" w:rsidRPr="006D199F">
        <w:rPr>
          <w:rFonts w:eastAsia="Times New Roman" w:cstheme="minorHAnsi"/>
          <w:b/>
          <w:bCs/>
          <w:lang w:eastAsia="en-GB"/>
        </w:rPr>
        <w:t xml:space="preserve"> and</w:t>
      </w:r>
      <w:r w:rsidRPr="006D199F">
        <w:rPr>
          <w:rFonts w:eastAsia="Times New Roman" w:cstheme="minorHAnsi"/>
          <w:b/>
          <w:bCs/>
          <w:lang w:eastAsia="en-GB"/>
        </w:rPr>
        <w:t xml:space="preserve"> support the increase of adequate and affordable housing</w:t>
      </w:r>
      <w:r w:rsidRPr="00F2207B">
        <w:rPr>
          <w:rFonts w:eastAsia="Times New Roman" w:cstheme="minorHAnsi"/>
          <w:lang w:eastAsia="en-GB"/>
        </w:rPr>
        <w:t xml:space="preserve"> for low income groups, including through </w:t>
      </w:r>
      <w:r w:rsidR="00934B6C" w:rsidRPr="00F2207B">
        <w:rPr>
          <w:rFonts w:eastAsia="Times New Roman" w:cstheme="minorHAnsi"/>
          <w:lang w:eastAsia="en-GB"/>
        </w:rPr>
        <w:t xml:space="preserve">significant </w:t>
      </w:r>
      <w:r w:rsidRPr="00F2207B">
        <w:rPr>
          <w:rFonts w:eastAsia="Times New Roman" w:cstheme="minorHAnsi"/>
          <w:lang w:eastAsia="en-GB"/>
        </w:rPr>
        <w:t xml:space="preserve">investment in </w:t>
      </w:r>
      <w:r w:rsidRPr="006D199F">
        <w:rPr>
          <w:rFonts w:eastAsia="Times New Roman" w:cstheme="minorHAnsi"/>
          <w:b/>
          <w:bCs/>
          <w:lang w:eastAsia="en-GB"/>
        </w:rPr>
        <w:t>social housing</w:t>
      </w:r>
      <w:r w:rsidR="00934B6C" w:rsidRPr="00F2207B">
        <w:rPr>
          <w:rFonts w:eastAsia="Times New Roman" w:cstheme="minorHAnsi"/>
          <w:lang w:eastAsia="en-GB"/>
        </w:rPr>
        <w:t xml:space="preserve">. </w:t>
      </w:r>
      <w:r w:rsidR="00F2207B" w:rsidRPr="00F2207B">
        <w:rPr>
          <w:rFonts w:eastAsia="Times New Roman" w:cstheme="minorHAnsi"/>
          <w:lang w:eastAsia="en-GB"/>
        </w:rPr>
        <w:t>EU funds</w:t>
      </w:r>
      <w:r w:rsidR="002C6818">
        <w:rPr>
          <w:rFonts w:eastAsia="Times New Roman" w:cstheme="minorHAnsi"/>
          <w:lang w:eastAsia="en-GB"/>
        </w:rPr>
        <w:t xml:space="preserve"> including ESF, ERDF and EU Invest</w:t>
      </w:r>
      <w:r w:rsidR="00F2207B" w:rsidRPr="002C6818">
        <w:rPr>
          <w:rFonts w:eastAsia="Times New Roman" w:cstheme="minorHAnsi"/>
          <w:lang w:eastAsia="en-GB"/>
        </w:rPr>
        <w:t xml:space="preserve"> should support the growth of </w:t>
      </w:r>
      <w:r w:rsidR="00F2207B" w:rsidRPr="006D199F">
        <w:rPr>
          <w:rFonts w:eastAsia="Times New Roman" w:cstheme="minorHAnsi"/>
          <w:b/>
          <w:bCs/>
          <w:lang w:eastAsia="en-GB"/>
        </w:rPr>
        <w:t>new housing</w:t>
      </w:r>
      <w:r w:rsidR="00D72D9B" w:rsidRPr="006D199F">
        <w:rPr>
          <w:rFonts w:eastAsia="Times New Roman" w:cstheme="minorHAnsi"/>
          <w:b/>
          <w:bCs/>
          <w:lang w:eastAsia="en-GB"/>
        </w:rPr>
        <w:t xml:space="preserve"> provision</w:t>
      </w:r>
      <w:r w:rsidR="002C6818">
        <w:rPr>
          <w:rFonts w:eastAsia="Times New Roman" w:cstheme="minorHAnsi"/>
          <w:lang w:eastAsia="en-GB"/>
        </w:rPr>
        <w:t xml:space="preserve"> including</w:t>
      </w:r>
      <w:r w:rsidR="00F2207B" w:rsidRPr="002C6818">
        <w:rPr>
          <w:rFonts w:eastAsia="Times New Roman" w:cstheme="minorHAnsi"/>
          <w:lang w:eastAsia="en-GB"/>
        </w:rPr>
        <w:t xml:space="preserve"> local/regional social housing cooperatives owned by people themselves</w:t>
      </w:r>
      <w:r w:rsidR="00F2207B">
        <w:rPr>
          <w:rFonts w:eastAsia="Times New Roman" w:cstheme="minorHAnsi"/>
          <w:lang w:eastAsia="en-GB"/>
        </w:rPr>
        <w:t>.</w:t>
      </w:r>
    </w:p>
    <w:p w14:paraId="40EC2D74" w14:textId="36AAB0B4" w:rsidR="006F7238" w:rsidRPr="00934B6C" w:rsidRDefault="00D72D9B" w:rsidP="002F2899">
      <w:pPr>
        <w:pStyle w:val="ListParagraph"/>
        <w:numPr>
          <w:ilvl w:val="0"/>
          <w:numId w:val="15"/>
        </w:numPr>
        <w:jc w:val="both"/>
        <w:rPr>
          <w:rFonts w:cstheme="minorHAnsi"/>
          <w:b/>
          <w:bCs/>
        </w:rPr>
      </w:pPr>
      <w:r w:rsidRPr="00B85E63">
        <w:rPr>
          <w:rFonts w:cstheme="minorHAnsi"/>
        </w:rPr>
        <w:t xml:space="preserve">The Semester should give strong </w:t>
      </w:r>
      <w:r w:rsidR="00C0391C">
        <w:rPr>
          <w:rFonts w:cstheme="minorHAnsi"/>
        </w:rPr>
        <w:t>backing</w:t>
      </w:r>
      <w:r>
        <w:rPr>
          <w:rFonts w:cstheme="minorHAnsi"/>
        </w:rPr>
        <w:t xml:space="preserve"> in the Country Reports</w:t>
      </w:r>
      <w:r w:rsidRPr="00B85E63">
        <w:rPr>
          <w:rFonts w:cstheme="minorHAnsi"/>
        </w:rPr>
        <w:t xml:space="preserve"> </w:t>
      </w:r>
      <w:r>
        <w:rPr>
          <w:rFonts w:cstheme="minorHAnsi"/>
        </w:rPr>
        <w:t xml:space="preserve">with CSRs </w:t>
      </w:r>
      <w:r w:rsidRPr="00B85E63">
        <w:rPr>
          <w:rFonts w:cstheme="minorHAnsi"/>
        </w:rPr>
        <w:t>to</w:t>
      </w:r>
      <w:r w:rsidR="00934B6C">
        <w:rPr>
          <w:rFonts w:eastAsia="Times New Roman" w:cstheme="minorHAnsi"/>
          <w:lang w:eastAsia="en-GB"/>
        </w:rPr>
        <w:t xml:space="preserve"> the</w:t>
      </w:r>
      <w:r w:rsidR="00C0391C">
        <w:rPr>
          <w:rFonts w:eastAsia="Times New Roman" w:cstheme="minorHAnsi"/>
          <w:lang w:eastAsia="en-GB"/>
        </w:rPr>
        <w:t xml:space="preserve"> </w:t>
      </w:r>
      <w:r w:rsidR="00C0391C" w:rsidRPr="006D199F">
        <w:rPr>
          <w:rFonts w:eastAsia="Times New Roman" w:cstheme="minorHAnsi"/>
          <w:b/>
          <w:bCs/>
          <w:lang w:eastAsia="en-GB"/>
        </w:rPr>
        <w:t>prevention of evictions, the</w:t>
      </w:r>
      <w:r w:rsidR="00934B6C" w:rsidRPr="006D199F">
        <w:rPr>
          <w:rFonts w:eastAsia="Times New Roman" w:cstheme="minorHAnsi"/>
          <w:b/>
          <w:bCs/>
          <w:lang w:eastAsia="en-GB"/>
        </w:rPr>
        <w:t xml:space="preserve"> </w:t>
      </w:r>
      <w:r w:rsidR="006F7238" w:rsidRPr="006D199F">
        <w:rPr>
          <w:rFonts w:eastAsia="Times New Roman" w:cstheme="minorHAnsi"/>
          <w:b/>
          <w:bCs/>
          <w:lang w:eastAsia="en-GB"/>
        </w:rPr>
        <w:t>promotion of national cross-sectoral strategies to tackle homelessness</w:t>
      </w:r>
      <w:r w:rsidR="006F7238">
        <w:rPr>
          <w:rStyle w:val="FootnoteReference"/>
          <w:rFonts w:eastAsia="Times New Roman" w:cstheme="minorHAnsi"/>
          <w:lang w:eastAsia="en-GB"/>
        </w:rPr>
        <w:footnoteReference w:id="54"/>
      </w:r>
      <w:r w:rsidR="00934B6C">
        <w:rPr>
          <w:rFonts w:eastAsia="Times New Roman" w:cstheme="minorHAnsi"/>
          <w:lang w:eastAsia="en-GB"/>
        </w:rPr>
        <w:t>,</w:t>
      </w:r>
      <w:r w:rsidR="006F7238" w:rsidRPr="00002477">
        <w:rPr>
          <w:rFonts w:eastAsia="Times New Roman" w:cstheme="minorHAnsi"/>
          <w:lang w:eastAsia="en-GB"/>
        </w:rPr>
        <w:t xml:space="preserve"> </w:t>
      </w:r>
      <w:r w:rsidR="00064EBB">
        <w:rPr>
          <w:rFonts w:eastAsia="Times New Roman" w:cstheme="minorHAnsi"/>
          <w:lang w:eastAsia="en-GB"/>
        </w:rPr>
        <w:t xml:space="preserve">investing </w:t>
      </w:r>
      <w:r w:rsidR="006F7238">
        <w:rPr>
          <w:rFonts w:eastAsia="Times New Roman" w:cstheme="minorHAnsi"/>
          <w:lang w:eastAsia="en-GB"/>
        </w:rPr>
        <w:t xml:space="preserve">in </w:t>
      </w:r>
      <w:r w:rsidR="00934B6C" w:rsidRPr="00934B6C">
        <w:rPr>
          <w:rFonts w:eastAsia="Times New Roman" w:cstheme="minorHAnsi"/>
          <w:i/>
          <w:iCs/>
          <w:lang w:eastAsia="en-GB"/>
        </w:rPr>
        <w:t>H</w:t>
      </w:r>
      <w:r w:rsidR="006F7238" w:rsidRPr="00934B6C">
        <w:rPr>
          <w:rFonts w:eastAsia="Times New Roman" w:cstheme="minorHAnsi"/>
          <w:i/>
          <w:iCs/>
          <w:lang w:eastAsia="en-GB"/>
        </w:rPr>
        <w:t xml:space="preserve">ousing </w:t>
      </w:r>
      <w:r w:rsidR="00934B6C" w:rsidRPr="00934B6C">
        <w:rPr>
          <w:rFonts w:eastAsia="Times New Roman" w:cstheme="minorHAnsi"/>
          <w:i/>
          <w:iCs/>
          <w:lang w:eastAsia="en-GB"/>
        </w:rPr>
        <w:t>F</w:t>
      </w:r>
      <w:r w:rsidR="006F7238" w:rsidRPr="00934B6C">
        <w:rPr>
          <w:rFonts w:eastAsia="Times New Roman" w:cstheme="minorHAnsi"/>
          <w:i/>
          <w:iCs/>
          <w:lang w:eastAsia="en-GB"/>
        </w:rPr>
        <w:t>irst</w:t>
      </w:r>
      <w:r w:rsidR="0094490A">
        <w:rPr>
          <w:rFonts w:eastAsia="Times New Roman" w:cstheme="minorHAnsi"/>
          <w:i/>
          <w:iCs/>
          <w:lang w:eastAsia="en-GB"/>
        </w:rPr>
        <w:t xml:space="preserve"> strategies</w:t>
      </w:r>
      <w:r w:rsidR="006F7238">
        <w:rPr>
          <w:rFonts w:eastAsia="Times New Roman" w:cstheme="minorHAnsi"/>
          <w:lang w:eastAsia="en-GB"/>
        </w:rPr>
        <w:t xml:space="preserve"> </w:t>
      </w:r>
      <w:r w:rsidR="006F7238" w:rsidRPr="00002477">
        <w:rPr>
          <w:rFonts w:eastAsia="Times New Roman" w:cstheme="minorHAnsi"/>
          <w:lang w:eastAsia="en-GB"/>
        </w:rPr>
        <w:t xml:space="preserve">and </w:t>
      </w:r>
      <w:r w:rsidR="00934B6C">
        <w:rPr>
          <w:rFonts w:eastAsia="Times New Roman" w:cstheme="minorHAnsi"/>
          <w:lang w:eastAsia="en-GB"/>
        </w:rPr>
        <w:t xml:space="preserve">ensuring a </w:t>
      </w:r>
      <w:r w:rsidR="006F7238" w:rsidRPr="00056A3E">
        <w:rPr>
          <w:rFonts w:eastAsia="Times New Roman" w:cstheme="minorHAnsi"/>
          <w:i/>
          <w:iCs/>
          <w:lang w:eastAsia="en-GB"/>
        </w:rPr>
        <w:t>stop</w:t>
      </w:r>
      <w:r w:rsidR="002F2899">
        <w:rPr>
          <w:rFonts w:eastAsia="Times New Roman" w:cstheme="minorHAnsi"/>
          <w:i/>
          <w:iCs/>
          <w:lang w:eastAsia="en-GB"/>
        </w:rPr>
        <w:t xml:space="preserve"> </w:t>
      </w:r>
      <w:r w:rsidR="006F7238" w:rsidRPr="00056A3E">
        <w:rPr>
          <w:rFonts w:eastAsia="Times New Roman" w:cstheme="minorHAnsi"/>
          <w:i/>
          <w:iCs/>
          <w:lang w:eastAsia="en-GB"/>
        </w:rPr>
        <w:t>to</w:t>
      </w:r>
      <w:r w:rsidR="002F2899">
        <w:rPr>
          <w:rFonts w:eastAsia="Times New Roman" w:cstheme="minorHAnsi"/>
          <w:i/>
          <w:iCs/>
          <w:lang w:eastAsia="en-GB"/>
        </w:rPr>
        <w:t xml:space="preserve"> </w:t>
      </w:r>
      <w:r w:rsidR="006F7238" w:rsidRPr="00056A3E">
        <w:rPr>
          <w:rFonts w:eastAsia="Times New Roman" w:cstheme="minorHAnsi"/>
          <w:i/>
          <w:iCs/>
          <w:lang w:eastAsia="en-GB"/>
        </w:rPr>
        <w:t>criminali</w:t>
      </w:r>
      <w:r w:rsidR="002F2899">
        <w:rPr>
          <w:rFonts w:eastAsia="Times New Roman" w:cstheme="minorHAnsi"/>
          <w:i/>
          <w:iCs/>
          <w:lang w:eastAsia="en-GB"/>
        </w:rPr>
        <w:t>s</w:t>
      </w:r>
      <w:r w:rsidR="006F7238" w:rsidRPr="00056A3E">
        <w:rPr>
          <w:rFonts w:eastAsia="Times New Roman" w:cstheme="minorHAnsi"/>
          <w:i/>
          <w:iCs/>
          <w:lang w:eastAsia="en-GB"/>
        </w:rPr>
        <w:t>ation</w:t>
      </w:r>
      <w:r w:rsidR="006F7238" w:rsidRPr="00002477">
        <w:rPr>
          <w:rFonts w:eastAsia="Times New Roman" w:cstheme="minorHAnsi"/>
          <w:lang w:eastAsia="en-GB"/>
        </w:rPr>
        <w:t xml:space="preserve"> of the homeless.</w:t>
      </w:r>
    </w:p>
    <w:p w14:paraId="16DA4906" w14:textId="3A7236AF" w:rsidR="0047234C" w:rsidRPr="00B85E63" w:rsidRDefault="00934B6C" w:rsidP="00D72D9B">
      <w:pPr>
        <w:pStyle w:val="ListParagraph"/>
        <w:numPr>
          <w:ilvl w:val="0"/>
          <w:numId w:val="15"/>
        </w:numPr>
        <w:spacing w:after="0" w:line="240" w:lineRule="auto"/>
        <w:jc w:val="both"/>
        <w:rPr>
          <w:rFonts w:ascii="Times New Roman" w:eastAsia="Times New Roman" w:hAnsi="Times New Roman" w:cs="Times New Roman"/>
          <w:sz w:val="24"/>
          <w:szCs w:val="24"/>
          <w:lang w:eastAsia="en-GB"/>
        </w:rPr>
      </w:pPr>
      <w:r w:rsidRPr="006D199F">
        <w:rPr>
          <w:rFonts w:eastAsia="Times New Roman" w:cstheme="minorHAnsi"/>
          <w:b/>
          <w:bCs/>
          <w:lang w:eastAsia="en-GB"/>
        </w:rPr>
        <w:t>The EU should support regulation of rents</w:t>
      </w:r>
      <w:r w:rsidR="001D72AA" w:rsidRPr="006D199F">
        <w:rPr>
          <w:rFonts w:eastAsia="Times New Roman" w:cstheme="minorHAnsi"/>
          <w:b/>
          <w:bCs/>
          <w:lang w:eastAsia="en-GB"/>
        </w:rPr>
        <w:t xml:space="preserve"> </w:t>
      </w:r>
      <w:r w:rsidR="00C0391C">
        <w:rPr>
          <w:rFonts w:eastAsia="Times New Roman" w:cstheme="minorHAnsi"/>
          <w:lang w:eastAsia="en-GB"/>
        </w:rPr>
        <w:t>particularly</w:t>
      </w:r>
      <w:r w:rsidR="00D72D9B" w:rsidRPr="00C0391C">
        <w:rPr>
          <w:rFonts w:eastAsia="Times New Roman" w:cstheme="minorHAnsi"/>
          <w:lang w:eastAsia="en-GB"/>
        </w:rPr>
        <w:t xml:space="preserve"> where there is evidence of market failure</w:t>
      </w:r>
      <w:r w:rsidR="00C0391C">
        <w:rPr>
          <w:rFonts w:eastAsia="Times New Roman" w:cstheme="minorHAnsi"/>
          <w:lang w:eastAsia="en-GB"/>
        </w:rPr>
        <w:t xml:space="preserve">, increasing support for tenant’s rights and the right to </w:t>
      </w:r>
      <w:r w:rsidRPr="00D72D9B">
        <w:rPr>
          <w:rFonts w:eastAsia="Times New Roman" w:cstheme="minorHAnsi"/>
          <w:lang w:eastAsia="en-GB"/>
        </w:rPr>
        <w:t xml:space="preserve">access to </w:t>
      </w:r>
      <w:r w:rsidR="001D72AA" w:rsidRPr="00D72D9B">
        <w:rPr>
          <w:rFonts w:eastAsia="Times New Roman" w:cstheme="minorHAnsi"/>
          <w:lang w:eastAsia="en-GB"/>
        </w:rPr>
        <w:t xml:space="preserve">affordable </w:t>
      </w:r>
      <w:r w:rsidRPr="00D72D9B">
        <w:rPr>
          <w:rFonts w:eastAsia="Times New Roman" w:cstheme="minorHAnsi"/>
          <w:lang w:eastAsia="en-GB"/>
        </w:rPr>
        <w:t xml:space="preserve">private rented housing </w:t>
      </w:r>
      <w:r w:rsidR="0094490A">
        <w:rPr>
          <w:rFonts w:eastAsia="Times New Roman" w:cstheme="minorHAnsi"/>
          <w:lang w:eastAsia="en-GB"/>
        </w:rPr>
        <w:t>so as to guarantee the right to</w:t>
      </w:r>
      <w:r w:rsidRPr="00D72D9B">
        <w:rPr>
          <w:rFonts w:eastAsia="Times New Roman" w:cstheme="minorHAnsi"/>
          <w:lang w:eastAsia="en-GB"/>
        </w:rPr>
        <w:t xml:space="preserve"> decent affordable housing particularly for low income households</w:t>
      </w:r>
      <w:r w:rsidR="00D72D9B" w:rsidRPr="00D72D9B">
        <w:rPr>
          <w:rFonts w:eastAsia="Times New Roman" w:cstheme="minorHAnsi"/>
          <w:lang w:eastAsia="en-GB"/>
        </w:rPr>
        <w:t xml:space="preserve">. Actions should be taken to incentivise owners to make accommodation available and prevent empty property.  </w:t>
      </w:r>
    </w:p>
    <w:p w14:paraId="0A3DD4A8" w14:textId="6D4170BD" w:rsidR="00934B6C" w:rsidRPr="00D72D9B" w:rsidRDefault="00D72D9B" w:rsidP="00D72D9B">
      <w:pPr>
        <w:pStyle w:val="ListParagraph"/>
        <w:numPr>
          <w:ilvl w:val="0"/>
          <w:numId w:val="15"/>
        </w:numPr>
        <w:spacing w:after="0" w:line="240" w:lineRule="auto"/>
        <w:jc w:val="both"/>
        <w:rPr>
          <w:rFonts w:ascii="Times New Roman" w:eastAsia="Times New Roman" w:hAnsi="Times New Roman" w:cs="Times New Roman"/>
          <w:sz w:val="24"/>
          <w:szCs w:val="24"/>
          <w:lang w:eastAsia="en-GB"/>
        </w:rPr>
      </w:pPr>
      <w:r w:rsidRPr="006D199F">
        <w:rPr>
          <w:rFonts w:eastAsia="Times New Roman" w:cstheme="minorHAnsi"/>
          <w:b/>
          <w:bCs/>
          <w:lang w:eastAsia="en-GB"/>
        </w:rPr>
        <w:t>Progress should be made on a common EU definition and indicator for ‘affordable’ housing</w:t>
      </w:r>
      <w:r w:rsidRPr="00D72D9B">
        <w:rPr>
          <w:rFonts w:eastAsia="Times New Roman" w:cstheme="minorHAnsi"/>
          <w:lang w:eastAsia="en-GB"/>
        </w:rPr>
        <w:t xml:space="preserve"> costs, which should not go beyond 25% of household income</w:t>
      </w:r>
      <w:r>
        <w:rPr>
          <w:rFonts w:eastAsia="Times New Roman" w:cstheme="minorHAnsi"/>
          <w:lang w:eastAsia="en-GB"/>
        </w:rPr>
        <w:t>, rather than the current calculation of housing overburden of 40%</w:t>
      </w:r>
      <w:r w:rsidR="0094490A">
        <w:rPr>
          <w:rFonts w:eastAsia="Times New Roman" w:cstheme="minorHAnsi"/>
          <w:lang w:eastAsia="en-GB"/>
        </w:rPr>
        <w:t>, which does not take sufficient account of other household expenses.</w:t>
      </w:r>
    </w:p>
    <w:p w14:paraId="671D67C3" w14:textId="7ECA67ED" w:rsidR="00770A01" w:rsidRPr="00E6521B" w:rsidRDefault="00770A01" w:rsidP="002F2899">
      <w:pPr>
        <w:pStyle w:val="ListParagraph"/>
        <w:numPr>
          <w:ilvl w:val="0"/>
          <w:numId w:val="15"/>
        </w:numPr>
        <w:spacing w:after="0" w:line="240" w:lineRule="auto"/>
        <w:jc w:val="both"/>
        <w:rPr>
          <w:rFonts w:eastAsia="Times New Roman" w:cstheme="minorHAnsi"/>
          <w:lang w:eastAsia="en-GB"/>
        </w:rPr>
      </w:pPr>
      <w:r w:rsidRPr="006D199F">
        <w:rPr>
          <w:rFonts w:eastAsia="Times New Roman" w:cstheme="minorHAnsi"/>
          <w:b/>
          <w:bCs/>
          <w:lang w:eastAsia="en-GB"/>
        </w:rPr>
        <w:t>EU minimum quality standards o</w:t>
      </w:r>
      <w:r w:rsidR="00934B6C" w:rsidRPr="006D199F">
        <w:rPr>
          <w:rFonts w:eastAsia="Times New Roman" w:cstheme="minorHAnsi"/>
          <w:b/>
          <w:bCs/>
          <w:lang w:eastAsia="en-GB"/>
        </w:rPr>
        <w:t xml:space="preserve">n </w:t>
      </w:r>
      <w:r w:rsidRPr="006D199F">
        <w:rPr>
          <w:rFonts w:eastAsia="Times New Roman" w:cstheme="minorHAnsi"/>
          <w:b/>
          <w:bCs/>
          <w:lang w:eastAsia="en-GB"/>
        </w:rPr>
        <w:t>housing</w:t>
      </w:r>
      <w:r w:rsidRPr="00002477">
        <w:rPr>
          <w:rFonts w:eastAsia="Times New Roman" w:cstheme="minorHAnsi"/>
          <w:lang w:eastAsia="en-GB"/>
        </w:rPr>
        <w:t xml:space="preserve"> should be agreed and monitored, taking the indicators from the EU SILC as a minimum</w:t>
      </w:r>
      <w:r w:rsidRPr="003060BB">
        <w:rPr>
          <w:rFonts w:eastAsia="Times New Roman" w:cstheme="minorHAnsi"/>
          <w:lang w:eastAsia="en-GB"/>
        </w:rPr>
        <w:t>. Such absolute standards should also be benchmarked in relative terms in relation to country norms.</w:t>
      </w:r>
    </w:p>
    <w:p w14:paraId="5EF74584" w14:textId="43E0A4DC" w:rsidR="002C6818" w:rsidRPr="002C6818" w:rsidRDefault="002C6818" w:rsidP="002C6818">
      <w:pPr>
        <w:pStyle w:val="ListParagraph"/>
        <w:numPr>
          <w:ilvl w:val="0"/>
          <w:numId w:val="15"/>
        </w:numPr>
        <w:spacing w:after="0" w:line="240" w:lineRule="auto"/>
        <w:jc w:val="both"/>
        <w:rPr>
          <w:rFonts w:eastAsia="Times New Roman" w:cstheme="minorHAnsi"/>
          <w:lang w:eastAsia="en-GB"/>
        </w:rPr>
      </w:pPr>
      <w:r w:rsidRPr="006D199F">
        <w:rPr>
          <w:rFonts w:eastAsia="Times New Roman" w:cstheme="minorHAnsi"/>
          <w:b/>
          <w:bCs/>
          <w:lang w:eastAsia="en-GB"/>
        </w:rPr>
        <w:t xml:space="preserve"> </w:t>
      </w:r>
      <w:r w:rsidR="00002477" w:rsidRPr="006D199F">
        <w:rPr>
          <w:rFonts w:eastAsia="Times New Roman" w:cstheme="minorHAnsi"/>
          <w:b/>
          <w:bCs/>
          <w:lang w:eastAsia="en-GB"/>
        </w:rPr>
        <w:t>A strong priority should be given to increasing public investment in social housing</w:t>
      </w:r>
      <w:r w:rsidR="008E2A91" w:rsidRPr="002C6818">
        <w:rPr>
          <w:rFonts w:eastAsia="Times New Roman" w:cstheme="minorHAnsi"/>
          <w:lang w:eastAsia="en-GB"/>
        </w:rPr>
        <w:t xml:space="preserve"> rather than relying </w:t>
      </w:r>
      <w:r w:rsidR="00D72D9B">
        <w:rPr>
          <w:rFonts w:eastAsia="Times New Roman" w:cstheme="minorHAnsi"/>
          <w:lang w:eastAsia="en-GB"/>
        </w:rPr>
        <w:t>mainly on</w:t>
      </w:r>
      <w:r w:rsidR="008E2A91" w:rsidRPr="002C6818">
        <w:rPr>
          <w:rFonts w:eastAsia="Times New Roman" w:cstheme="minorHAnsi"/>
          <w:lang w:eastAsia="en-GB"/>
        </w:rPr>
        <w:t xml:space="preserve"> the privat</w:t>
      </w:r>
      <w:r w:rsidR="008E2A91" w:rsidRPr="00D72D9B">
        <w:rPr>
          <w:rFonts w:eastAsia="Times New Roman" w:cstheme="minorHAnsi"/>
          <w:lang w:eastAsia="en-GB"/>
        </w:rPr>
        <w:t>e market</w:t>
      </w:r>
      <w:r w:rsidR="00180724" w:rsidRPr="00D72D9B">
        <w:rPr>
          <w:rFonts w:eastAsia="Times New Roman" w:cstheme="minorHAnsi"/>
          <w:lang w:eastAsia="en-GB"/>
        </w:rPr>
        <w:t xml:space="preserve"> to address social housing need, </w:t>
      </w:r>
      <w:r w:rsidR="00002477" w:rsidRPr="00D72D9B">
        <w:rPr>
          <w:rFonts w:eastAsia="Times New Roman" w:cstheme="minorHAnsi"/>
          <w:lang w:eastAsia="en-GB"/>
        </w:rPr>
        <w:t>with support from EU funds</w:t>
      </w:r>
      <w:r w:rsidR="006F7238" w:rsidRPr="00D72D9B">
        <w:rPr>
          <w:rFonts w:eastAsia="Times New Roman" w:cstheme="minorHAnsi"/>
          <w:lang w:eastAsia="en-GB"/>
        </w:rPr>
        <w:t xml:space="preserve"> </w:t>
      </w:r>
      <w:proofErr w:type="spellStart"/>
      <w:r w:rsidR="006F7238" w:rsidRPr="00D72D9B">
        <w:rPr>
          <w:rFonts w:eastAsia="Times New Roman" w:cstheme="minorHAnsi"/>
          <w:lang w:eastAsia="en-GB"/>
        </w:rPr>
        <w:t>eg</w:t>
      </w:r>
      <w:proofErr w:type="spellEnd"/>
      <w:r w:rsidR="006F7238" w:rsidRPr="00D72D9B">
        <w:rPr>
          <w:rFonts w:eastAsia="Times New Roman" w:cstheme="minorHAnsi"/>
          <w:lang w:eastAsia="en-GB"/>
        </w:rPr>
        <w:t xml:space="preserve"> EU </w:t>
      </w:r>
      <w:r w:rsidR="00180724" w:rsidRPr="00D72D9B">
        <w:rPr>
          <w:rFonts w:eastAsia="Times New Roman" w:cstheme="minorHAnsi"/>
          <w:lang w:eastAsia="en-GB"/>
        </w:rPr>
        <w:t>I</w:t>
      </w:r>
      <w:r w:rsidR="006F7238" w:rsidRPr="002C6818">
        <w:rPr>
          <w:rFonts w:eastAsia="Times New Roman" w:cstheme="minorHAnsi"/>
          <w:lang w:eastAsia="en-GB"/>
        </w:rPr>
        <w:t>nvest and ERDF.</w:t>
      </w:r>
      <w:r w:rsidR="00002477" w:rsidRPr="002C6818">
        <w:rPr>
          <w:rFonts w:eastAsia="Times New Roman" w:cstheme="minorHAnsi"/>
          <w:lang w:eastAsia="en-GB"/>
        </w:rPr>
        <w:t xml:space="preserve"> These should be recognized as key social investments and part of a Just Transition and discounted as deficit calculations, </w:t>
      </w:r>
      <w:r w:rsidR="00180724" w:rsidRPr="002C6818">
        <w:rPr>
          <w:rFonts w:eastAsia="Times New Roman" w:cstheme="minorHAnsi"/>
          <w:lang w:eastAsia="en-GB"/>
        </w:rPr>
        <w:t xml:space="preserve">within the </w:t>
      </w:r>
      <w:r w:rsidR="00002477" w:rsidRPr="002C6818">
        <w:rPr>
          <w:rFonts w:eastAsia="Times New Roman" w:cstheme="minorHAnsi"/>
          <w:lang w:eastAsia="en-GB"/>
        </w:rPr>
        <w:t>Stabi</w:t>
      </w:r>
      <w:r w:rsidR="002F2899" w:rsidRPr="002C6818">
        <w:rPr>
          <w:rFonts w:eastAsia="Times New Roman" w:cstheme="minorHAnsi"/>
          <w:lang w:eastAsia="en-GB"/>
        </w:rPr>
        <w:t>li</w:t>
      </w:r>
      <w:r w:rsidR="00002477" w:rsidRPr="002C6818">
        <w:rPr>
          <w:rFonts w:eastAsia="Times New Roman" w:cstheme="minorHAnsi"/>
          <w:lang w:eastAsia="en-GB"/>
        </w:rPr>
        <w:t>ty and Growth Pact.</w:t>
      </w:r>
      <w:r w:rsidR="000C6C7A" w:rsidRPr="002C6818">
        <w:rPr>
          <w:rFonts w:eastAsia="Times New Roman" w:cstheme="minorHAnsi"/>
          <w:lang w:eastAsia="en-GB"/>
        </w:rPr>
        <w:t xml:space="preserve"> </w:t>
      </w:r>
    </w:p>
    <w:p w14:paraId="4E771115" w14:textId="6FD8B7E4" w:rsidR="002C6818" w:rsidRPr="007C4924" w:rsidRDefault="000C6C7A" w:rsidP="00D72D9B">
      <w:pPr>
        <w:pStyle w:val="ListParagraph"/>
        <w:numPr>
          <w:ilvl w:val="0"/>
          <w:numId w:val="15"/>
        </w:numPr>
        <w:spacing w:after="0" w:line="240" w:lineRule="auto"/>
        <w:jc w:val="both"/>
        <w:rPr>
          <w:rFonts w:eastAsia="Times New Roman" w:cstheme="minorHAnsi"/>
          <w:lang w:eastAsia="en-GB"/>
        </w:rPr>
      </w:pPr>
      <w:r w:rsidRPr="006D199F">
        <w:rPr>
          <w:rFonts w:eastAsia="Times New Roman" w:cstheme="minorHAnsi"/>
          <w:b/>
          <w:bCs/>
          <w:lang w:eastAsia="en-GB"/>
        </w:rPr>
        <w:t xml:space="preserve">An </w:t>
      </w:r>
      <w:r w:rsidR="002C6818" w:rsidRPr="006D199F">
        <w:rPr>
          <w:rFonts w:eastAsia="Times New Roman" w:cstheme="minorHAnsi"/>
          <w:b/>
          <w:bCs/>
          <w:lang w:eastAsia="en-GB"/>
        </w:rPr>
        <w:t xml:space="preserve">EU wide </w:t>
      </w:r>
      <w:r w:rsidRPr="006D199F">
        <w:rPr>
          <w:rFonts w:eastAsia="Times New Roman" w:cstheme="minorHAnsi"/>
          <w:b/>
          <w:bCs/>
          <w:lang w:eastAsia="en-GB"/>
        </w:rPr>
        <w:t>indicator should be introduced to monitor social housing provision and its impact on housing need a</w:t>
      </w:r>
      <w:r w:rsidR="002C6818" w:rsidRPr="006D199F">
        <w:rPr>
          <w:rFonts w:eastAsia="Times New Roman" w:cstheme="minorHAnsi"/>
          <w:b/>
          <w:bCs/>
          <w:lang w:eastAsia="en-GB"/>
        </w:rPr>
        <w:t>s well as a concrete indicator to measure</w:t>
      </w:r>
      <w:r w:rsidRPr="006D199F">
        <w:rPr>
          <w:rFonts w:eastAsia="Times New Roman" w:cstheme="minorHAnsi"/>
          <w:b/>
          <w:bCs/>
          <w:lang w:eastAsia="en-GB"/>
        </w:rPr>
        <w:t xml:space="preserve"> homelessness</w:t>
      </w:r>
      <w:r w:rsidR="002C6818">
        <w:t xml:space="preserve">, covering the widest scope of homelessness defined by the </w:t>
      </w:r>
      <w:hyperlink r:id="rId58" w:history="1">
        <w:r w:rsidR="002C6818" w:rsidRPr="0065618D">
          <w:rPr>
            <w:rStyle w:val="Hyperlink"/>
          </w:rPr>
          <w:t>ETHOS</w:t>
        </w:r>
      </w:hyperlink>
      <w:r w:rsidR="002C6818">
        <w:rPr>
          <w:rStyle w:val="FootnoteReference"/>
        </w:rPr>
        <w:footnoteReference w:id="55"/>
      </w:r>
      <w:r w:rsidR="002C6818">
        <w:t xml:space="preserve"> framework</w:t>
      </w:r>
      <w:r w:rsidR="002C6818" w:rsidRPr="00955F21">
        <w:t>.</w:t>
      </w:r>
      <w:r w:rsidR="00D72D9B">
        <w:t xml:space="preserve"> </w:t>
      </w:r>
      <w:r w:rsidR="002C6818" w:rsidRPr="00D72D9B">
        <w:rPr>
          <w:rFonts w:eastAsia="Times New Roman" w:cstheme="minorHAnsi"/>
          <w:lang w:eastAsia="en-GB"/>
        </w:rPr>
        <w:t xml:space="preserve">A composite housing exclusion </w:t>
      </w:r>
      <w:r w:rsidR="002C6818" w:rsidRPr="00D72D9B">
        <w:rPr>
          <w:rFonts w:eastAsia="Times New Roman" w:cstheme="minorHAnsi"/>
          <w:lang w:eastAsia="en-GB"/>
        </w:rPr>
        <w:lastRenderedPageBreak/>
        <w:t xml:space="preserve">indicator should be developed </w:t>
      </w:r>
      <w:r w:rsidR="002C6818" w:rsidRPr="00C0391C">
        <w:rPr>
          <w:rFonts w:eastAsia="Times New Roman" w:cstheme="minorHAnsi"/>
          <w:lang w:eastAsia="en-GB"/>
        </w:rPr>
        <w:t>linking existing EU SILC indicators (</w:t>
      </w:r>
      <w:proofErr w:type="spellStart"/>
      <w:proofErr w:type="gramStart"/>
      <w:r w:rsidR="002C6818" w:rsidRPr="00C0391C">
        <w:rPr>
          <w:rFonts w:eastAsia="Times New Roman" w:cstheme="minorHAnsi"/>
          <w:lang w:eastAsia="en-GB"/>
        </w:rPr>
        <w:t>e.g</w:t>
      </w:r>
      <w:proofErr w:type="spellEnd"/>
      <w:proofErr w:type="gramEnd"/>
      <w:r w:rsidR="002C6818" w:rsidRPr="00C0391C">
        <w:rPr>
          <w:rFonts w:eastAsia="Times New Roman" w:cstheme="minorHAnsi"/>
          <w:lang w:eastAsia="en-GB"/>
        </w:rPr>
        <w:t xml:space="preserve"> .on housing cost, rent arrears, overcrowding</w:t>
      </w:r>
      <w:r w:rsidR="002C6818" w:rsidRPr="0047234C">
        <w:rPr>
          <w:rFonts w:eastAsia="Times New Roman" w:cstheme="minorHAnsi"/>
          <w:lang w:eastAsia="en-GB"/>
        </w:rPr>
        <w:t>).</w:t>
      </w:r>
    </w:p>
    <w:p w14:paraId="55DD84EE" w14:textId="619A1202" w:rsidR="006F7238" w:rsidRPr="00D42668" w:rsidRDefault="006F7238" w:rsidP="002F2899">
      <w:pPr>
        <w:pStyle w:val="ListParagraph"/>
        <w:numPr>
          <w:ilvl w:val="0"/>
          <w:numId w:val="15"/>
        </w:numPr>
        <w:jc w:val="both"/>
        <w:rPr>
          <w:rFonts w:cstheme="minorHAnsi"/>
          <w:b/>
          <w:bCs/>
        </w:rPr>
      </w:pPr>
      <w:r w:rsidRPr="006D199F">
        <w:rPr>
          <w:rFonts w:eastAsia="Times New Roman" w:cstheme="minorHAnsi"/>
          <w:b/>
          <w:bCs/>
          <w:lang w:eastAsia="en-GB"/>
        </w:rPr>
        <w:t xml:space="preserve">The participation of </w:t>
      </w:r>
      <w:r w:rsidR="002C6818" w:rsidRPr="006D199F">
        <w:rPr>
          <w:rFonts w:eastAsia="Times New Roman" w:cstheme="minorHAnsi"/>
          <w:b/>
          <w:bCs/>
          <w:lang w:eastAsia="en-GB"/>
        </w:rPr>
        <w:t>peo</w:t>
      </w:r>
      <w:r w:rsidRPr="006D199F">
        <w:rPr>
          <w:rFonts w:eastAsia="Times New Roman" w:cstheme="minorHAnsi"/>
          <w:b/>
          <w:bCs/>
          <w:lang w:eastAsia="en-GB"/>
        </w:rPr>
        <w:t>ple facing homelessness and housing exclusion</w:t>
      </w:r>
      <w:r>
        <w:rPr>
          <w:rFonts w:eastAsia="Times New Roman" w:cstheme="minorHAnsi"/>
          <w:lang w:eastAsia="en-GB"/>
        </w:rPr>
        <w:t xml:space="preserve"> is crucial to achieve viable policy solutions</w:t>
      </w:r>
      <w:r w:rsidR="002C6818">
        <w:rPr>
          <w:rFonts w:eastAsia="Times New Roman" w:cstheme="minorHAnsi"/>
          <w:lang w:eastAsia="en-GB"/>
        </w:rPr>
        <w:t xml:space="preserve"> in national and EU decision-making processes</w:t>
      </w:r>
      <w:r>
        <w:rPr>
          <w:rFonts w:eastAsia="Times New Roman" w:cstheme="minorHAnsi"/>
          <w:lang w:eastAsia="en-GB"/>
        </w:rPr>
        <w:t>, together with the NGOs that support them.</w:t>
      </w:r>
    </w:p>
    <w:p w14:paraId="6EB1B1E9" w14:textId="77777777" w:rsidR="00D42668" w:rsidRPr="00056A3E" w:rsidRDefault="00D42668" w:rsidP="00D42668">
      <w:pPr>
        <w:pStyle w:val="ListParagraph"/>
        <w:ind w:left="360"/>
        <w:jc w:val="both"/>
        <w:rPr>
          <w:rFonts w:cstheme="minorHAnsi"/>
          <w:b/>
          <w:bCs/>
        </w:rPr>
      </w:pPr>
    </w:p>
    <w:p w14:paraId="18C85EB0" w14:textId="59F4F42D" w:rsidR="00056A3E" w:rsidRPr="008E4D73" w:rsidRDefault="00056A3E" w:rsidP="00056A3E">
      <w:pPr>
        <w:rPr>
          <w:rFonts w:cstheme="minorHAnsi"/>
          <w:b/>
          <w:bCs/>
          <w:i/>
          <w:iCs/>
          <w:sz w:val="24"/>
          <w:szCs w:val="24"/>
        </w:rPr>
      </w:pPr>
      <w:r w:rsidRPr="008E4D73">
        <w:rPr>
          <w:rFonts w:cstheme="minorHAnsi"/>
          <w:b/>
          <w:bCs/>
          <w:i/>
          <w:iCs/>
          <w:sz w:val="24"/>
          <w:szCs w:val="24"/>
        </w:rPr>
        <w:t>Health</w:t>
      </w:r>
      <w:r w:rsidR="00E15899" w:rsidRPr="008E4D73">
        <w:rPr>
          <w:rFonts w:cstheme="minorHAnsi"/>
          <w:b/>
          <w:bCs/>
          <w:i/>
          <w:iCs/>
          <w:sz w:val="24"/>
          <w:szCs w:val="24"/>
        </w:rPr>
        <w:t xml:space="preserve">care (Principle 16) </w:t>
      </w:r>
      <w:r w:rsidR="00865C72" w:rsidRPr="008E4D73">
        <w:rPr>
          <w:rFonts w:cstheme="minorHAnsi"/>
          <w:b/>
          <w:bCs/>
          <w:i/>
          <w:iCs/>
          <w:sz w:val="24"/>
          <w:szCs w:val="24"/>
        </w:rPr>
        <w:t>and Long-term care (Principle 18)</w:t>
      </w:r>
    </w:p>
    <w:p w14:paraId="650D1A14" w14:textId="11CE2C11" w:rsidR="000C6C7A" w:rsidRDefault="0018347E" w:rsidP="00056A3E">
      <w:pPr>
        <w:rPr>
          <w:rFonts w:cstheme="minorHAnsi"/>
          <w:b/>
          <w:bCs/>
        </w:rPr>
      </w:pPr>
      <w:r>
        <w:rPr>
          <w:rFonts w:cstheme="minorHAnsi"/>
          <w:b/>
          <w:bCs/>
        </w:rPr>
        <w:t xml:space="preserve"> </w:t>
      </w:r>
      <w:proofErr w:type="spellStart"/>
      <w:r w:rsidR="000C6C7A">
        <w:rPr>
          <w:rFonts w:cstheme="minorHAnsi"/>
          <w:b/>
          <w:bCs/>
        </w:rPr>
        <w:t>P</w:t>
      </w:r>
      <w:r w:rsidR="004E7B56">
        <w:rPr>
          <w:rFonts w:cstheme="minorHAnsi"/>
          <w:b/>
          <w:bCs/>
        </w:rPr>
        <w:t>e</w:t>
      </w:r>
      <w:r w:rsidR="000C6C7A">
        <w:rPr>
          <w:rFonts w:cstheme="minorHAnsi"/>
          <w:b/>
          <w:bCs/>
        </w:rPr>
        <w:t>P</w:t>
      </w:r>
      <w:proofErr w:type="spellEnd"/>
      <w:r w:rsidR="000C6C7A">
        <w:rPr>
          <w:rFonts w:cstheme="minorHAnsi"/>
          <w:b/>
          <w:bCs/>
        </w:rPr>
        <w:t xml:space="preserve"> 2019</w:t>
      </w:r>
      <w:r w:rsidR="004E7B56">
        <w:rPr>
          <w:rFonts w:cstheme="minorHAnsi"/>
          <w:b/>
          <w:bCs/>
        </w:rPr>
        <w:t xml:space="preserve"> EU</w:t>
      </w:r>
      <w:r>
        <w:rPr>
          <w:rFonts w:cstheme="minorHAnsi"/>
          <w:b/>
          <w:bCs/>
        </w:rPr>
        <w:t xml:space="preserve"> Meeting</w:t>
      </w:r>
    </w:p>
    <w:p w14:paraId="3BA7E1D6" w14:textId="3C5606A1" w:rsidR="004E7B56" w:rsidRDefault="004E7B56" w:rsidP="000C6C7A">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Key Messages on Health</w:t>
      </w:r>
      <w:r w:rsidR="00FD530D">
        <w:rPr>
          <w:rFonts w:cstheme="minorHAnsi"/>
          <w:b/>
          <w:bCs/>
        </w:rPr>
        <w:t xml:space="preserve"> and Social Care</w:t>
      </w:r>
    </w:p>
    <w:p w14:paraId="1F7CDD63" w14:textId="7A70C7BB" w:rsidR="000C6C7A" w:rsidRDefault="000C6C7A" w:rsidP="000C6C7A">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1. Good Quality Health</w:t>
      </w:r>
      <w:r w:rsidR="00FD530D">
        <w:rPr>
          <w:rFonts w:cstheme="minorHAnsi"/>
          <w:b/>
          <w:bCs/>
        </w:rPr>
        <w:t xml:space="preserve"> and Social </w:t>
      </w:r>
      <w:r>
        <w:rPr>
          <w:rFonts w:cstheme="minorHAnsi"/>
          <w:b/>
          <w:bCs/>
        </w:rPr>
        <w:t xml:space="preserve">care for </w:t>
      </w:r>
      <w:r w:rsidR="00E6521B">
        <w:rPr>
          <w:rFonts w:cstheme="minorHAnsi"/>
          <w:b/>
          <w:bCs/>
        </w:rPr>
        <w:t xml:space="preserve">all, including for </w:t>
      </w:r>
      <w:r>
        <w:rPr>
          <w:rFonts w:cstheme="minorHAnsi"/>
          <w:b/>
          <w:bCs/>
        </w:rPr>
        <w:t>vulnerable groups</w:t>
      </w:r>
    </w:p>
    <w:p w14:paraId="00E0DB27" w14:textId="154D6A06" w:rsidR="000C6C7A" w:rsidRDefault="000C6C7A" w:rsidP="000C6C7A">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2. Government to fight and reverse privatisation</w:t>
      </w:r>
    </w:p>
    <w:p w14:paraId="55E92F49" w14:textId="37867FA4" w:rsidR="000C6C7A" w:rsidRDefault="000C6C7A" w:rsidP="000C6C7A">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3. Overcome the lack of political will and implement existing legislation</w:t>
      </w:r>
    </w:p>
    <w:p w14:paraId="52FD91AD" w14:textId="1BFDA645" w:rsidR="00FD530D" w:rsidRDefault="00D42668" w:rsidP="00B85E63">
      <w:pPr>
        <w:pStyle w:val="ListParagraph"/>
        <w:spacing w:after="0" w:line="240" w:lineRule="auto"/>
        <w:ind w:left="360"/>
        <w:jc w:val="both"/>
        <w:rPr>
          <w:rFonts w:eastAsia="Times New Roman" w:cstheme="minorHAnsi"/>
          <w:b/>
          <w:bCs/>
          <w:u w:val="single"/>
          <w:lang w:eastAsia="en-GB"/>
        </w:rPr>
      </w:pPr>
      <w:r w:rsidRPr="00D42668">
        <w:rPr>
          <w:rFonts w:eastAsia="Times New Roman" w:cstheme="minorHAnsi"/>
          <w:b/>
          <w:bCs/>
          <w:u w:val="single"/>
          <w:lang w:eastAsia="en-GB"/>
        </w:rPr>
        <w:t>Soft law</w:t>
      </w:r>
      <w:r>
        <w:rPr>
          <w:rFonts w:eastAsia="Times New Roman" w:cstheme="minorHAnsi"/>
          <w:b/>
          <w:bCs/>
          <w:u w:val="single"/>
          <w:lang w:eastAsia="en-GB"/>
        </w:rPr>
        <w:t xml:space="preserve"> to support upward convergence</w:t>
      </w:r>
    </w:p>
    <w:p w14:paraId="2CD29B6C" w14:textId="77777777" w:rsidR="00D42668" w:rsidRPr="00D42668" w:rsidRDefault="00D42668" w:rsidP="00B85E63">
      <w:pPr>
        <w:pStyle w:val="ListParagraph"/>
        <w:spacing w:after="0" w:line="240" w:lineRule="auto"/>
        <w:ind w:left="360"/>
        <w:jc w:val="both"/>
        <w:rPr>
          <w:rFonts w:eastAsia="Times New Roman" w:cstheme="minorHAnsi"/>
          <w:b/>
          <w:bCs/>
          <w:u w:val="single"/>
          <w:lang w:eastAsia="en-GB"/>
        </w:rPr>
      </w:pPr>
    </w:p>
    <w:p w14:paraId="501F4E82" w14:textId="77777777" w:rsidR="006D199F" w:rsidRDefault="00FD530D" w:rsidP="004D6376">
      <w:pPr>
        <w:pStyle w:val="ListParagraph"/>
        <w:numPr>
          <w:ilvl w:val="0"/>
          <w:numId w:val="23"/>
        </w:numPr>
        <w:spacing w:after="0" w:line="240" w:lineRule="auto"/>
        <w:jc w:val="both"/>
        <w:rPr>
          <w:rFonts w:eastAsia="Times New Roman" w:cstheme="minorHAnsi"/>
          <w:lang w:eastAsia="en-GB"/>
        </w:rPr>
      </w:pPr>
      <w:r w:rsidRPr="006D199F">
        <w:rPr>
          <w:rFonts w:eastAsia="Times New Roman" w:cstheme="minorHAnsi"/>
          <w:b/>
          <w:bCs/>
          <w:lang w:eastAsia="en-GB"/>
        </w:rPr>
        <w:t>The current distinction between health and care services is problematic</w:t>
      </w:r>
      <w:r w:rsidRPr="006D199F">
        <w:rPr>
          <w:rFonts w:eastAsia="Times New Roman" w:cstheme="minorHAnsi"/>
          <w:lang w:eastAsia="en-GB"/>
        </w:rPr>
        <w:t>, including in the EPSR. The COVID-19 epidemic has only underlined the need for a holistic definition and strategy to cover both services as an integrated</w:t>
      </w:r>
      <w:r w:rsidR="0094490A" w:rsidRPr="006D199F">
        <w:rPr>
          <w:rFonts w:eastAsia="Times New Roman" w:cstheme="minorHAnsi"/>
          <w:lang w:eastAsia="en-GB"/>
        </w:rPr>
        <w:t xml:space="preserve"> and universal</w:t>
      </w:r>
      <w:r w:rsidRPr="006D199F">
        <w:rPr>
          <w:rFonts w:eastAsia="Times New Roman" w:cstheme="minorHAnsi"/>
          <w:lang w:eastAsia="en-GB"/>
        </w:rPr>
        <w:t xml:space="preserve"> public provision.</w:t>
      </w:r>
    </w:p>
    <w:p w14:paraId="0EED189A" w14:textId="4F56CDBB" w:rsidR="00056A3E" w:rsidRPr="006D199F" w:rsidRDefault="00056A3E" w:rsidP="004D6376">
      <w:pPr>
        <w:pStyle w:val="ListParagraph"/>
        <w:numPr>
          <w:ilvl w:val="0"/>
          <w:numId w:val="23"/>
        </w:numPr>
        <w:spacing w:after="0" w:line="240" w:lineRule="auto"/>
        <w:jc w:val="both"/>
        <w:rPr>
          <w:rFonts w:eastAsia="Times New Roman" w:cstheme="minorHAnsi"/>
          <w:lang w:eastAsia="en-GB"/>
        </w:rPr>
      </w:pPr>
      <w:r w:rsidRPr="006D199F">
        <w:rPr>
          <w:rFonts w:eastAsia="Times New Roman" w:cstheme="minorHAnsi"/>
          <w:lang w:eastAsia="en-GB"/>
        </w:rPr>
        <w:t>T</w:t>
      </w:r>
      <w:r w:rsidRPr="006D199F">
        <w:rPr>
          <w:rFonts w:eastAsia="Times New Roman" w:cstheme="minorHAnsi"/>
          <w:b/>
          <w:bCs/>
          <w:lang w:eastAsia="en-GB"/>
        </w:rPr>
        <w:t>he EU should create an adequate framework to guarantee the right to</w:t>
      </w:r>
      <w:r w:rsidR="00116003" w:rsidRPr="006D199F">
        <w:rPr>
          <w:rFonts w:eastAsia="Times New Roman" w:cstheme="minorHAnsi"/>
          <w:b/>
          <w:bCs/>
          <w:lang w:eastAsia="en-GB"/>
        </w:rPr>
        <w:t xml:space="preserve"> </w:t>
      </w:r>
      <w:r w:rsidRPr="006D199F">
        <w:rPr>
          <w:rFonts w:eastAsia="Times New Roman" w:cstheme="minorHAnsi"/>
          <w:b/>
          <w:bCs/>
          <w:lang w:eastAsia="en-GB"/>
        </w:rPr>
        <w:t>affordable, universal, quality health</w:t>
      </w:r>
      <w:r w:rsidR="00116003" w:rsidRPr="006D199F">
        <w:rPr>
          <w:rFonts w:eastAsia="Times New Roman" w:cstheme="minorHAnsi"/>
          <w:b/>
          <w:bCs/>
          <w:lang w:eastAsia="en-GB"/>
        </w:rPr>
        <w:t xml:space="preserve"> </w:t>
      </w:r>
      <w:r w:rsidRPr="006D199F">
        <w:rPr>
          <w:rFonts w:eastAsia="Times New Roman" w:cstheme="minorHAnsi"/>
          <w:b/>
          <w:bCs/>
          <w:lang w:eastAsia="en-GB"/>
        </w:rPr>
        <w:t xml:space="preserve">and </w:t>
      </w:r>
      <w:r w:rsidR="0094490A" w:rsidRPr="006D199F">
        <w:rPr>
          <w:rFonts w:eastAsia="Times New Roman" w:cstheme="minorHAnsi"/>
          <w:b/>
          <w:bCs/>
          <w:lang w:eastAsia="en-GB"/>
        </w:rPr>
        <w:t xml:space="preserve">social </w:t>
      </w:r>
      <w:r w:rsidRPr="006D199F">
        <w:rPr>
          <w:rFonts w:eastAsia="Times New Roman" w:cstheme="minorHAnsi"/>
          <w:b/>
          <w:bCs/>
          <w:lang w:eastAsia="en-GB"/>
        </w:rPr>
        <w:t>care</w:t>
      </w:r>
      <w:r w:rsidR="00116003" w:rsidRPr="006D199F">
        <w:rPr>
          <w:rFonts w:eastAsia="Times New Roman" w:cstheme="minorHAnsi"/>
          <w:lang w:eastAsia="en-GB"/>
        </w:rPr>
        <w:t xml:space="preserve"> </w:t>
      </w:r>
      <w:r w:rsidRPr="006D199F">
        <w:rPr>
          <w:rFonts w:eastAsia="Times New Roman" w:cstheme="minorHAnsi"/>
          <w:lang w:eastAsia="en-GB"/>
        </w:rPr>
        <w:t>services for all,</w:t>
      </w:r>
      <w:r w:rsidR="00116003" w:rsidRPr="006D199F">
        <w:rPr>
          <w:rFonts w:eastAsia="Times New Roman" w:cstheme="minorHAnsi"/>
          <w:lang w:eastAsia="en-GB"/>
        </w:rPr>
        <w:t xml:space="preserve"> </w:t>
      </w:r>
      <w:r w:rsidRPr="006D199F">
        <w:rPr>
          <w:rFonts w:eastAsia="Times New Roman" w:cstheme="minorHAnsi"/>
          <w:lang w:eastAsia="en-GB"/>
        </w:rPr>
        <w:t xml:space="preserve">covering all essential health and care services (including prevention, primary, </w:t>
      </w:r>
      <w:r w:rsidR="00552BC8" w:rsidRPr="006D199F">
        <w:rPr>
          <w:rFonts w:eastAsia="Times New Roman" w:cstheme="minorHAnsi"/>
          <w:lang w:eastAsia="en-GB"/>
        </w:rPr>
        <w:t xml:space="preserve">community, </w:t>
      </w:r>
      <w:r w:rsidRPr="006D199F">
        <w:rPr>
          <w:rFonts w:eastAsia="Times New Roman" w:cstheme="minorHAnsi"/>
          <w:lang w:eastAsia="en-GB"/>
        </w:rPr>
        <w:t>hospital and specialist care, dental,</w:t>
      </w:r>
      <w:r w:rsidR="00116003" w:rsidRPr="006D199F">
        <w:rPr>
          <w:rFonts w:eastAsia="Times New Roman" w:cstheme="minorHAnsi"/>
          <w:lang w:eastAsia="en-GB"/>
        </w:rPr>
        <w:t xml:space="preserve"> </w:t>
      </w:r>
      <w:r w:rsidRPr="006D199F">
        <w:rPr>
          <w:rFonts w:eastAsia="Times New Roman" w:cstheme="minorHAnsi"/>
          <w:lang w:eastAsia="en-GB"/>
        </w:rPr>
        <w:t>mental health,</w:t>
      </w:r>
      <w:r w:rsidR="00116003" w:rsidRPr="006D199F">
        <w:rPr>
          <w:rFonts w:eastAsia="Times New Roman" w:cstheme="minorHAnsi"/>
          <w:lang w:eastAsia="en-GB"/>
        </w:rPr>
        <w:t xml:space="preserve"> </w:t>
      </w:r>
      <w:r w:rsidR="00FD530D" w:rsidRPr="006D199F">
        <w:rPr>
          <w:rFonts w:eastAsia="Times New Roman" w:cstheme="minorHAnsi"/>
          <w:lang w:eastAsia="en-GB"/>
        </w:rPr>
        <w:t xml:space="preserve">social and </w:t>
      </w:r>
      <w:r w:rsidRPr="006D199F">
        <w:rPr>
          <w:rFonts w:eastAsia="Times New Roman" w:cstheme="minorHAnsi"/>
          <w:lang w:eastAsia="en-GB"/>
        </w:rPr>
        <w:t>long-term care</w:t>
      </w:r>
      <w:r w:rsidR="00116003" w:rsidRPr="006D199F">
        <w:rPr>
          <w:rFonts w:eastAsia="Times New Roman" w:cstheme="minorHAnsi"/>
          <w:lang w:eastAsia="en-GB"/>
        </w:rPr>
        <w:t xml:space="preserve"> </w:t>
      </w:r>
      <w:r w:rsidRPr="006D199F">
        <w:rPr>
          <w:rFonts w:eastAsia="Times New Roman" w:cstheme="minorHAnsi"/>
          <w:lang w:eastAsia="en-GB"/>
        </w:rPr>
        <w:t>and the cost of medicines).</w:t>
      </w:r>
      <w:r w:rsidR="000C6C7A" w:rsidRPr="006D199F">
        <w:rPr>
          <w:rFonts w:eastAsia="Times New Roman" w:cstheme="minorHAnsi"/>
          <w:lang w:eastAsia="en-GB"/>
        </w:rPr>
        <w:t xml:space="preserve"> The Semester should give specific focus </w:t>
      </w:r>
      <w:r w:rsidR="00934B6C" w:rsidRPr="006D199F">
        <w:rPr>
          <w:rFonts w:eastAsia="Times New Roman" w:cstheme="minorHAnsi"/>
          <w:lang w:eastAsia="en-GB"/>
        </w:rPr>
        <w:t>to defending</w:t>
      </w:r>
      <w:r w:rsidR="000C6C7A" w:rsidRPr="006D199F">
        <w:rPr>
          <w:rFonts w:eastAsia="Times New Roman" w:cstheme="minorHAnsi"/>
          <w:lang w:eastAsia="en-GB"/>
        </w:rPr>
        <w:t xml:space="preserve"> universal provision, as a public good.</w:t>
      </w:r>
    </w:p>
    <w:p w14:paraId="2EE0594E" w14:textId="2006A4FF" w:rsidR="00056A3E" w:rsidRPr="00934B6C" w:rsidRDefault="00056A3E" w:rsidP="00934B6C">
      <w:pPr>
        <w:pStyle w:val="ListParagraph"/>
        <w:numPr>
          <w:ilvl w:val="0"/>
          <w:numId w:val="23"/>
        </w:numPr>
        <w:spacing w:after="0" w:line="240" w:lineRule="auto"/>
        <w:jc w:val="both"/>
        <w:rPr>
          <w:rFonts w:eastAsia="Times New Roman" w:cstheme="minorHAnsi"/>
          <w:lang w:eastAsia="en-GB"/>
        </w:rPr>
      </w:pPr>
      <w:r w:rsidRPr="006D199F">
        <w:rPr>
          <w:rFonts w:eastAsia="Times New Roman" w:cstheme="minorHAnsi"/>
          <w:b/>
          <w:bCs/>
          <w:lang w:eastAsia="en-GB"/>
        </w:rPr>
        <w:t>Equal access for all groups and in all areas must be ensured</w:t>
      </w:r>
      <w:r w:rsidRPr="00934B6C">
        <w:rPr>
          <w:rFonts w:eastAsia="Times New Roman" w:cstheme="minorHAnsi"/>
          <w:lang w:eastAsia="en-GB"/>
        </w:rPr>
        <w:t>, in terms of disability but also</w:t>
      </w:r>
      <w:r w:rsidR="000C6C7A" w:rsidRPr="00934B6C">
        <w:rPr>
          <w:rFonts w:eastAsia="Times New Roman" w:cstheme="minorHAnsi"/>
          <w:lang w:eastAsia="en-GB"/>
        </w:rPr>
        <w:t xml:space="preserve"> rural/city divide</w:t>
      </w:r>
      <w:r w:rsidRPr="00934B6C">
        <w:rPr>
          <w:rFonts w:eastAsia="Times New Roman" w:cstheme="minorHAnsi"/>
          <w:lang w:eastAsia="en-GB"/>
        </w:rPr>
        <w:t xml:space="preserve">, </w:t>
      </w:r>
      <w:r w:rsidR="000C6C7A" w:rsidRPr="00934B6C">
        <w:rPr>
          <w:rFonts w:eastAsia="Times New Roman" w:cstheme="minorHAnsi"/>
          <w:lang w:eastAsia="en-GB"/>
        </w:rPr>
        <w:t>for key target groups: including Roma, migrants, homeless etc.</w:t>
      </w:r>
    </w:p>
    <w:p w14:paraId="4C5A7CB4" w14:textId="56486C99" w:rsidR="00056A3E" w:rsidRPr="00D72D9B" w:rsidRDefault="00056A3E" w:rsidP="00D72D9B">
      <w:pPr>
        <w:pStyle w:val="ListParagraph"/>
        <w:numPr>
          <w:ilvl w:val="0"/>
          <w:numId w:val="23"/>
        </w:numPr>
        <w:spacing w:after="0" w:line="240" w:lineRule="auto"/>
        <w:jc w:val="both"/>
        <w:rPr>
          <w:rFonts w:eastAsia="Times New Roman" w:cstheme="minorHAnsi"/>
          <w:lang w:eastAsia="en-GB"/>
        </w:rPr>
      </w:pPr>
      <w:r w:rsidRPr="006D199F">
        <w:rPr>
          <w:rFonts w:eastAsia="Times New Roman" w:cstheme="minorHAnsi"/>
          <w:b/>
          <w:bCs/>
          <w:lang w:eastAsia="en-GB"/>
        </w:rPr>
        <w:t xml:space="preserve">A specific commitment should be made to </w:t>
      </w:r>
      <w:r w:rsidR="000C6C7A" w:rsidRPr="006D199F">
        <w:rPr>
          <w:rFonts w:eastAsia="Times New Roman" w:cstheme="minorHAnsi"/>
          <w:b/>
          <w:bCs/>
          <w:lang w:eastAsia="en-GB"/>
        </w:rPr>
        <w:t xml:space="preserve">universal </w:t>
      </w:r>
      <w:r w:rsidRPr="006D199F">
        <w:rPr>
          <w:rFonts w:eastAsia="Times New Roman" w:cstheme="minorHAnsi"/>
          <w:b/>
          <w:bCs/>
          <w:lang w:eastAsia="en-GB"/>
        </w:rPr>
        <w:t>public health</w:t>
      </w:r>
      <w:r w:rsidRPr="0047234C">
        <w:rPr>
          <w:rFonts w:eastAsia="Times New Roman" w:cstheme="minorHAnsi"/>
          <w:lang w:eastAsia="en-GB"/>
        </w:rPr>
        <w:t xml:space="preserve"> and an independent assessment </w:t>
      </w:r>
      <w:r w:rsidR="00934B6C" w:rsidRPr="00D72D9B">
        <w:rPr>
          <w:rFonts w:eastAsia="Times New Roman" w:cstheme="minorHAnsi"/>
          <w:lang w:eastAsia="en-GB"/>
        </w:rPr>
        <w:t xml:space="preserve">carried out </w:t>
      </w:r>
      <w:r w:rsidRPr="00D72D9B">
        <w:rPr>
          <w:rFonts w:eastAsia="Times New Roman" w:cstheme="minorHAnsi"/>
          <w:lang w:eastAsia="en-GB"/>
        </w:rPr>
        <w:t>of the impact of privatisation and liberalisation on access to affordable, quality health care.</w:t>
      </w:r>
      <w:r w:rsidR="00F2207B" w:rsidRPr="00D72D9B">
        <w:rPr>
          <w:rFonts w:eastAsia="Times New Roman" w:cstheme="minorHAnsi"/>
          <w:lang w:eastAsia="en-GB"/>
        </w:rPr>
        <w:t xml:space="preserve"> </w:t>
      </w:r>
      <w:r w:rsidR="00D72D9B" w:rsidRPr="00D72D9B">
        <w:rPr>
          <w:rFonts w:eastAsia="Times New Roman" w:cstheme="minorHAnsi"/>
          <w:lang w:eastAsia="en-GB"/>
        </w:rPr>
        <w:t>Recommendations should be made to support the f</w:t>
      </w:r>
      <w:r w:rsidR="00F2207B" w:rsidRPr="00D72D9B">
        <w:rPr>
          <w:rFonts w:eastAsia="Times New Roman" w:cstheme="minorHAnsi"/>
          <w:lang w:eastAsia="en-GB"/>
        </w:rPr>
        <w:t xml:space="preserve">inancing of </w:t>
      </w:r>
      <w:r w:rsidR="00FD530D">
        <w:rPr>
          <w:rFonts w:eastAsia="Times New Roman" w:cstheme="minorHAnsi"/>
          <w:lang w:eastAsia="en-GB"/>
        </w:rPr>
        <w:t>u</w:t>
      </w:r>
      <w:r w:rsidR="00F2207B" w:rsidRPr="00FD530D">
        <w:rPr>
          <w:rFonts w:eastAsia="Times New Roman" w:cstheme="minorHAnsi"/>
          <w:lang w:eastAsia="en-GB"/>
        </w:rPr>
        <w:t xml:space="preserve">niversal systems </w:t>
      </w:r>
      <w:r w:rsidR="00D72D9B" w:rsidRPr="0047234C">
        <w:rPr>
          <w:rFonts w:eastAsia="Times New Roman" w:cstheme="minorHAnsi"/>
          <w:lang w:eastAsia="en-GB"/>
        </w:rPr>
        <w:t>through</w:t>
      </w:r>
      <w:r w:rsidR="00D72D9B" w:rsidRPr="007C4924">
        <w:rPr>
          <w:rFonts w:eastAsia="Times New Roman" w:cstheme="minorHAnsi"/>
          <w:lang w:eastAsia="en-GB"/>
        </w:rPr>
        <w:t xml:space="preserve"> </w:t>
      </w:r>
      <w:r w:rsidR="00D72D9B" w:rsidRPr="00C44002">
        <w:rPr>
          <w:rFonts w:eastAsia="Times New Roman" w:cstheme="minorHAnsi"/>
          <w:lang w:eastAsia="en-GB"/>
        </w:rPr>
        <w:t>either progressive tax systems or</w:t>
      </w:r>
      <w:r w:rsidR="00F2207B" w:rsidRPr="00C44002">
        <w:rPr>
          <w:rFonts w:eastAsia="Times New Roman" w:cstheme="minorHAnsi"/>
          <w:lang w:eastAsia="en-GB"/>
        </w:rPr>
        <w:t xml:space="preserve"> national health insurance schemes where </w:t>
      </w:r>
      <w:r w:rsidR="00F2207B" w:rsidRPr="00D72D9B">
        <w:rPr>
          <w:rFonts w:eastAsia="Times New Roman" w:cstheme="minorHAnsi"/>
          <w:lang w:eastAsia="en-GB"/>
        </w:rPr>
        <w:t>all pay into the system according to their means</w:t>
      </w:r>
      <w:r w:rsidR="00D72D9B">
        <w:rPr>
          <w:rFonts w:eastAsia="Times New Roman" w:cstheme="minorHAnsi"/>
          <w:lang w:eastAsia="en-GB"/>
        </w:rPr>
        <w:t>.</w:t>
      </w:r>
    </w:p>
    <w:p w14:paraId="165BD368" w14:textId="673670C5" w:rsidR="00056A3E" w:rsidRPr="00934B6C" w:rsidRDefault="00056A3E" w:rsidP="00934B6C">
      <w:pPr>
        <w:pStyle w:val="ListParagraph"/>
        <w:numPr>
          <w:ilvl w:val="0"/>
          <w:numId w:val="23"/>
        </w:numPr>
        <w:spacing w:after="0" w:line="240" w:lineRule="auto"/>
        <w:jc w:val="both"/>
        <w:rPr>
          <w:rFonts w:eastAsia="Times New Roman" w:cstheme="minorHAnsi"/>
          <w:lang w:eastAsia="en-GB"/>
        </w:rPr>
      </w:pPr>
      <w:r w:rsidRPr="006D199F">
        <w:rPr>
          <w:rFonts w:eastAsia="Times New Roman" w:cstheme="minorHAnsi"/>
          <w:b/>
          <w:bCs/>
          <w:lang w:eastAsia="en-GB"/>
        </w:rPr>
        <w:t xml:space="preserve">EU macroeconomic policy </w:t>
      </w:r>
      <w:r w:rsidR="00D837F2" w:rsidRPr="006D199F">
        <w:rPr>
          <w:rFonts w:eastAsia="Times New Roman" w:cstheme="minorHAnsi"/>
          <w:b/>
          <w:bCs/>
          <w:lang w:eastAsia="en-GB"/>
        </w:rPr>
        <w:t xml:space="preserve">as shown through the European Semester </w:t>
      </w:r>
      <w:r w:rsidRPr="006D199F">
        <w:rPr>
          <w:rFonts w:eastAsia="Times New Roman" w:cstheme="minorHAnsi"/>
          <w:b/>
          <w:bCs/>
          <w:lang w:eastAsia="en-GB"/>
        </w:rPr>
        <w:t>must visibly move away from an austerity</w:t>
      </w:r>
      <w:r w:rsidR="00D837F2" w:rsidRPr="006D199F">
        <w:rPr>
          <w:rFonts w:eastAsia="Times New Roman" w:cstheme="minorHAnsi"/>
          <w:b/>
          <w:bCs/>
          <w:lang w:eastAsia="en-GB"/>
        </w:rPr>
        <w:t xml:space="preserve"> and market</w:t>
      </w:r>
      <w:r w:rsidR="00116003" w:rsidRPr="00934B6C">
        <w:rPr>
          <w:rFonts w:eastAsia="Times New Roman" w:cstheme="minorHAnsi"/>
          <w:lang w:eastAsia="en-GB"/>
        </w:rPr>
        <w:t xml:space="preserve"> </w:t>
      </w:r>
      <w:r w:rsidRPr="00934B6C">
        <w:rPr>
          <w:rFonts w:eastAsia="Times New Roman" w:cstheme="minorHAnsi"/>
          <w:lang w:eastAsia="en-GB"/>
        </w:rPr>
        <w:t>focus</w:t>
      </w:r>
      <w:r w:rsidR="00116003" w:rsidRPr="00934B6C">
        <w:rPr>
          <w:rFonts w:eastAsia="Times New Roman" w:cstheme="minorHAnsi"/>
          <w:lang w:eastAsia="en-GB"/>
        </w:rPr>
        <w:t xml:space="preserve"> </w:t>
      </w:r>
      <w:r w:rsidRPr="00934B6C">
        <w:rPr>
          <w:rFonts w:eastAsia="Times New Roman" w:cstheme="minorHAnsi"/>
          <w:lang w:eastAsia="en-GB"/>
        </w:rPr>
        <w:t>on only cost-effectiveness</w:t>
      </w:r>
      <w:r w:rsidR="00116003" w:rsidRPr="00934B6C">
        <w:rPr>
          <w:rFonts w:eastAsia="Times New Roman" w:cstheme="minorHAnsi"/>
          <w:lang w:eastAsia="en-GB"/>
        </w:rPr>
        <w:t xml:space="preserve"> </w:t>
      </w:r>
      <w:r w:rsidRPr="00934B6C">
        <w:rPr>
          <w:rFonts w:eastAsia="Times New Roman" w:cstheme="minorHAnsi"/>
          <w:lang w:eastAsia="en-GB"/>
        </w:rPr>
        <w:t>and efficiency</w:t>
      </w:r>
      <w:r w:rsidR="00116003" w:rsidRPr="00934B6C">
        <w:rPr>
          <w:rFonts w:eastAsia="Times New Roman" w:cstheme="minorHAnsi"/>
          <w:lang w:eastAsia="en-GB"/>
        </w:rPr>
        <w:t xml:space="preserve"> </w:t>
      </w:r>
      <w:r w:rsidRPr="00934B6C">
        <w:rPr>
          <w:rFonts w:eastAsia="Times New Roman" w:cstheme="minorHAnsi"/>
          <w:lang w:eastAsia="en-GB"/>
        </w:rPr>
        <w:t>in health services, giving a</w:t>
      </w:r>
      <w:r w:rsidR="00D837F2" w:rsidRPr="00934B6C">
        <w:rPr>
          <w:rFonts w:eastAsia="Times New Roman" w:cstheme="minorHAnsi"/>
          <w:lang w:eastAsia="en-GB"/>
        </w:rPr>
        <w:t xml:space="preserve"> </w:t>
      </w:r>
      <w:r w:rsidRPr="00934B6C">
        <w:rPr>
          <w:rFonts w:eastAsia="Times New Roman" w:cstheme="minorHAnsi"/>
          <w:lang w:eastAsia="en-GB"/>
        </w:rPr>
        <w:t>new priority</w:t>
      </w:r>
      <w:r w:rsidR="00116003" w:rsidRPr="00934B6C">
        <w:rPr>
          <w:rFonts w:eastAsia="Times New Roman" w:cstheme="minorHAnsi"/>
          <w:lang w:eastAsia="en-GB"/>
        </w:rPr>
        <w:t xml:space="preserve"> </w:t>
      </w:r>
      <w:r w:rsidRPr="00934B6C">
        <w:rPr>
          <w:rFonts w:eastAsia="Times New Roman" w:cstheme="minorHAnsi"/>
          <w:lang w:eastAsia="en-GB"/>
        </w:rPr>
        <w:t xml:space="preserve">to </w:t>
      </w:r>
      <w:r w:rsidR="00934B6C">
        <w:rPr>
          <w:rFonts w:eastAsia="Times New Roman" w:cstheme="minorHAnsi"/>
          <w:lang w:eastAsia="en-GB"/>
        </w:rPr>
        <w:t xml:space="preserve">the right to health/care ensuring </w:t>
      </w:r>
      <w:r w:rsidR="00D837F2" w:rsidRPr="00934B6C">
        <w:rPr>
          <w:rFonts w:eastAsia="Times New Roman" w:cstheme="minorHAnsi"/>
          <w:lang w:eastAsia="en-GB"/>
        </w:rPr>
        <w:t>quality</w:t>
      </w:r>
      <w:r w:rsidRPr="00934B6C">
        <w:rPr>
          <w:rFonts w:eastAsia="Times New Roman" w:cstheme="minorHAnsi"/>
          <w:lang w:eastAsia="en-GB"/>
        </w:rPr>
        <w:t>, equity and</w:t>
      </w:r>
      <w:r w:rsidR="00D837F2" w:rsidRPr="00934B6C">
        <w:rPr>
          <w:rFonts w:eastAsia="Times New Roman" w:cstheme="minorHAnsi"/>
          <w:lang w:eastAsia="en-GB"/>
        </w:rPr>
        <w:t xml:space="preserve"> affordable</w:t>
      </w:r>
      <w:r w:rsidRPr="00934B6C">
        <w:rPr>
          <w:rFonts w:eastAsia="Times New Roman" w:cstheme="minorHAnsi"/>
          <w:lang w:eastAsia="en-GB"/>
        </w:rPr>
        <w:t xml:space="preserve"> access. </w:t>
      </w:r>
      <w:r w:rsidR="00D837F2" w:rsidRPr="00934B6C">
        <w:rPr>
          <w:rFonts w:eastAsia="Times New Roman" w:cstheme="minorHAnsi"/>
          <w:lang w:eastAsia="en-GB"/>
        </w:rPr>
        <w:t xml:space="preserve"> </w:t>
      </w:r>
    </w:p>
    <w:p w14:paraId="20199D67" w14:textId="5324BAE6" w:rsidR="00116003" w:rsidRPr="00934B6C" w:rsidRDefault="00056A3E" w:rsidP="00934B6C">
      <w:pPr>
        <w:pStyle w:val="ListParagraph"/>
        <w:numPr>
          <w:ilvl w:val="0"/>
          <w:numId w:val="23"/>
        </w:numPr>
        <w:spacing w:after="0" w:line="240" w:lineRule="auto"/>
        <w:jc w:val="both"/>
        <w:rPr>
          <w:rFonts w:eastAsia="Times New Roman" w:cstheme="minorHAnsi"/>
          <w:lang w:eastAsia="en-GB"/>
        </w:rPr>
      </w:pPr>
      <w:r w:rsidRPr="006D199F">
        <w:rPr>
          <w:rFonts w:eastAsia="Times New Roman" w:cstheme="minorHAnsi"/>
          <w:b/>
          <w:bCs/>
          <w:lang w:eastAsia="en-GB"/>
        </w:rPr>
        <w:t xml:space="preserve">EU mobility and transferability of rights </w:t>
      </w:r>
      <w:r w:rsidRPr="00934B6C">
        <w:rPr>
          <w:rFonts w:eastAsia="Times New Roman" w:cstheme="minorHAnsi"/>
          <w:lang w:eastAsia="en-GB"/>
        </w:rPr>
        <w:t>to affordable health services must be clarified</w:t>
      </w:r>
      <w:r w:rsidR="00116003" w:rsidRPr="00934B6C">
        <w:rPr>
          <w:rFonts w:eastAsia="Times New Roman" w:cstheme="minorHAnsi"/>
          <w:lang w:eastAsia="en-GB"/>
        </w:rPr>
        <w:t xml:space="preserve"> </w:t>
      </w:r>
      <w:r w:rsidRPr="00934B6C">
        <w:rPr>
          <w:rFonts w:eastAsia="Times New Roman" w:cstheme="minorHAnsi"/>
          <w:lang w:eastAsia="en-GB"/>
        </w:rPr>
        <w:t>and guaranteed as part of the support to</w:t>
      </w:r>
      <w:r w:rsidR="00116003" w:rsidRPr="00934B6C">
        <w:rPr>
          <w:rFonts w:eastAsia="Times New Roman" w:cstheme="minorHAnsi"/>
          <w:lang w:eastAsia="en-GB"/>
        </w:rPr>
        <w:t xml:space="preserve"> </w:t>
      </w:r>
      <w:r w:rsidRPr="00934B6C">
        <w:rPr>
          <w:rFonts w:eastAsia="Times New Roman" w:cstheme="minorHAnsi"/>
          <w:lang w:eastAsia="en-GB"/>
        </w:rPr>
        <w:t>EU people</w:t>
      </w:r>
      <w:r w:rsidR="0094490A">
        <w:rPr>
          <w:rFonts w:eastAsia="Times New Roman" w:cstheme="minorHAnsi"/>
          <w:lang w:eastAsia="en-GB"/>
        </w:rPr>
        <w:t>’s</w:t>
      </w:r>
      <w:r w:rsidRPr="00934B6C">
        <w:rPr>
          <w:rFonts w:eastAsia="Times New Roman" w:cstheme="minorHAnsi"/>
          <w:lang w:eastAsia="en-GB"/>
        </w:rPr>
        <w:t xml:space="preserve"> mobility,</w:t>
      </w:r>
      <w:r w:rsidR="00116003" w:rsidRPr="00934B6C">
        <w:rPr>
          <w:rFonts w:eastAsia="Times New Roman" w:cstheme="minorHAnsi"/>
          <w:lang w:eastAsia="en-GB"/>
        </w:rPr>
        <w:t xml:space="preserve"> </w:t>
      </w:r>
      <w:r w:rsidRPr="00934B6C">
        <w:rPr>
          <w:rFonts w:eastAsia="Times New Roman" w:cstheme="minorHAnsi"/>
          <w:lang w:eastAsia="en-GB"/>
        </w:rPr>
        <w:t>ensuring that all groups can access rights, including undocumented migrants.</w:t>
      </w:r>
    </w:p>
    <w:p w14:paraId="14CCF498" w14:textId="363CE382" w:rsidR="00D837F2" w:rsidRPr="00934B6C" w:rsidRDefault="00D837F2" w:rsidP="00934B6C">
      <w:pPr>
        <w:pStyle w:val="ListParagraph"/>
        <w:numPr>
          <w:ilvl w:val="0"/>
          <w:numId w:val="23"/>
        </w:numPr>
        <w:spacing w:after="0" w:line="240" w:lineRule="auto"/>
        <w:jc w:val="both"/>
        <w:rPr>
          <w:rFonts w:eastAsia="Times New Roman" w:cstheme="minorHAnsi"/>
          <w:lang w:eastAsia="en-GB"/>
        </w:rPr>
      </w:pPr>
      <w:r w:rsidRPr="006D199F">
        <w:rPr>
          <w:rFonts w:eastAsia="Times New Roman" w:cstheme="minorHAnsi"/>
          <w:b/>
          <w:bCs/>
          <w:lang w:eastAsia="en-GB"/>
        </w:rPr>
        <w:t>Increase</w:t>
      </w:r>
      <w:r w:rsidR="0094490A" w:rsidRPr="006D199F">
        <w:rPr>
          <w:rFonts w:eastAsia="Times New Roman" w:cstheme="minorHAnsi"/>
          <w:b/>
          <w:bCs/>
          <w:lang w:eastAsia="en-GB"/>
        </w:rPr>
        <w:t xml:space="preserve"> </w:t>
      </w:r>
      <w:r w:rsidRPr="006D199F">
        <w:rPr>
          <w:rFonts w:eastAsia="Times New Roman" w:cstheme="minorHAnsi"/>
          <w:b/>
          <w:bCs/>
          <w:lang w:eastAsia="en-GB"/>
        </w:rPr>
        <w:t>monitoring of national legal frameworks</w:t>
      </w:r>
      <w:r w:rsidRPr="00934B6C">
        <w:rPr>
          <w:rFonts w:eastAsia="Times New Roman" w:cstheme="minorHAnsi"/>
          <w:lang w:eastAsia="en-GB"/>
        </w:rPr>
        <w:t xml:space="preserve"> and obligations, including commitments to universality, non-discrimination, reimbursement of costs, waiting lists etc.</w:t>
      </w:r>
    </w:p>
    <w:p w14:paraId="4B46FE3E" w14:textId="6DC2FD8D" w:rsidR="00116003" w:rsidRPr="00934B6C" w:rsidRDefault="00056A3E" w:rsidP="00934B6C">
      <w:pPr>
        <w:pStyle w:val="ListParagraph"/>
        <w:numPr>
          <w:ilvl w:val="0"/>
          <w:numId w:val="23"/>
        </w:numPr>
        <w:spacing w:after="0" w:line="240" w:lineRule="auto"/>
        <w:jc w:val="both"/>
        <w:rPr>
          <w:rFonts w:eastAsia="Times New Roman" w:cstheme="minorHAnsi"/>
          <w:lang w:eastAsia="en-GB"/>
        </w:rPr>
      </w:pPr>
      <w:r w:rsidRPr="006D199F">
        <w:rPr>
          <w:rFonts w:eastAsia="Times New Roman" w:cstheme="minorHAnsi"/>
          <w:b/>
          <w:bCs/>
          <w:lang w:eastAsia="en-GB"/>
        </w:rPr>
        <w:t>Transparent monitoring</w:t>
      </w:r>
      <w:r w:rsidR="00116003" w:rsidRPr="006D199F">
        <w:rPr>
          <w:rFonts w:eastAsia="Times New Roman" w:cstheme="minorHAnsi"/>
          <w:b/>
          <w:bCs/>
          <w:lang w:eastAsia="en-GB"/>
        </w:rPr>
        <w:t xml:space="preserve"> </w:t>
      </w:r>
      <w:r w:rsidRPr="006D199F">
        <w:rPr>
          <w:rFonts w:eastAsia="Times New Roman" w:cstheme="minorHAnsi"/>
          <w:b/>
          <w:bCs/>
          <w:lang w:eastAsia="en-GB"/>
        </w:rPr>
        <w:t>of EU funds spending on health</w:t>
      </w:r>
      <w:r w:rsidRPr="00934B6C">
        <w:rPr>
          <w:rFonts w:eastAsia="Times New Roman" w:cstheme="minorHAnsi"/>
          <w:lang w:eastAsia="en-GB"/>
        </w:rPr>
        <w:t xml:space="preserve"> (</w:t>
      </w:r>
      <w:r w:rsidR="00116003" w:rsidRPr="00934B6C">
        <w:rPr>
          <w:rFonts w:eastAsia="Times New Roman" w:cstheme="minorHAnsi"/>
          <w:lang w:eastAsia="en-GB"/>
        </w:rPr>
        <w:t>New MFF</w:t>
      </w:r>
      <w:r w:rsidRPr="00934B6C">
        <w:rPr>
          <w:rFonts w:eastAsia="Times New Roman" w:cstheme="minorHAnsi"/>
          <w:lang w:eastAsia="en-GB"/>
        </w:rPr>
        <w:t>) should be carried out with the involvement of civil society</w:t>
      </w:r>
      <w:r w:rsidR="00116003" w:rsidRPr="00934B6C">
        <w:rPr>
          <w:rFonts w:eastAsia="Times New Roman" w:cstheme="minorHAnsi"/>
          <w:lang w:eastAsia="en-GB"/>
        </w:rPr>
        <w:t xml:space="preserve"> </w:t>
      </w:r>
      <w:r w:rsidRPr="00934B6C">
        <w:rPr>
          <w:rFonts w:eastAsia="Times New Roman" w:cstheme="minorHAnsi"/>
          <w:lang w:eastAsia="en-GB"/>
        </w:rPr>
        <w:t>to ensure</w:t>
      </w:r>
      <w:r w:rsidR="00116003" w:rsidRPr="00934B6C">
        <w:rPr>
          <w:rFonts w:eastAsia="Times New Roman" w:cstheme="minorHAnsi"/>
          <w:lang w:eastAsia="en-GB"/>
        </w:rPr>
        <w:t xml:space="preserve"> </w:t>
      </w:r>
      <w:r w:rsidRPr="00934B6C">
        <w:rPr>
          <w:rFonts w:eastAsia="Times New Roman" w:cstheme="minorHAnsi"/>
          <w:lang w:eastAsia="en-GB"/>
        </w:rPr>
        <w:t>that</w:t>
      </w:r>
      <w:r w:rsidR="00934B6C">
        <w:rPr>
          <w:rFonts w:eastAsia="Times New Roman" w:cstheme="minorHAnsi"/>
          <w:lang w:eastAsia="en-GB"/>
        </w:rPr>
        <w:t xml:space="preserve"> EU</w:t>
      </w:r>
      <w:r w:rsidR="00116003" w:rsidRPr="00934B6C">
        <w:rPr>
          <w:rFonts w:eastAsia="Times New Roman" w:cstheme="minorHAnsi"/>
          <w:lang w:eastAsia="en-GB"/>
        </w:rPr>
        <w:t xml:space="preserve"> </w:t>
      </w:r>
      <w:r w:rsidRPr="00934B6C">
        <w:rPr>
          <w:rFonts w:eastAsia="Times New Roman" w:cstheme="minorHAnsi"/>
          <w:lang w:eastAsia="en-GB"/>
        </w:rPr>
        <w:t>funding supports</w:t>
      </w:r>
      <w:r w:rsidR="00116003" w:rsidRPr="00934B6C">
        <w:rPr>
          <w:rFonts w:eastAsia="Times New Roman" w:cstheme="minorHAnsi"/>
          <w:lang w:eastAsia="en-GB"/>
        </w:rPr>
        <w:t xml:space="preserve"> </w:t>
      </w:r>
      <w:r w:rsidRPr="00934B6C">
        <w:rPr>
          <w:rFonts w:eastAsia="Times New Roman" w:cstheme="minorHAnsi"/>
          <w:lang w:eastAsia="en-GB"/>
        </w:rPr>
        <w:t>affordable</w:t>
      </w:r>
      <w:r w:rsidR="00116003" w:rsidRPr="00934B6C">
        <w:rPr>
          <w:rFonts w:eastAsia="Times New Roman" w:cstheme="minorHAnsi"/>
          <w:lang w:eastAsia="en-GB"/>
        </w:rPr>
        <w:t xml:space="preserve"> </w:t>
      </w:r>
      <w:r w:rsidRPr="00934B6C">
        <w:rPr>
          <w:rFonts w:eastAsia="Times New Roman" w:cstheme="minorHAnsi"/>
          <w:lang w:eastAsia="en-GB"/>
        </w:rPr>
        <w:t>access to quality</w:t>
      </w:r>
      <w:r w:rsidR="00116003" w:rsidRPr="00934B6C">
        <w:rPr>
          <w:rFonts w:eastAsia="Times New Roman" w:cstheme="minorHAnsi"/>
          <w:lang w:eastAsia="en-GB"/>
        </w:rPr>
        <w:t xml:space="preserve"> public </w:t>
      </w:r>
      <w:r w:rsidRPr="00934B6C">
        <w:rPr>
          <w:rFonts w:eastAsia="Times New Roman" w:cstheme="minorHAnsi"/>
          <w:lang w:eastAsia="en-GB"/>
        </w:rPr>
        <w:t>health for all.</w:t>
      </w:r>
    </w:p>
    <w:p w14:paraId="3C611442" w14:textId="023E9540" w:rsidR="00FD530D" w:rsidRDefault="00056A3E" w:rsidP="00934B6C">
      <w:pPr>
        <w:pStyle w:val="ListParagraph"/>
        <w:numPr>
          <w:ilvl w:val="0"/>
          <w:numId w:val="23"/>
        </w:numPr>
        <w:spacing w:after="0" w:line="240" w:lineRule="auto"/>
        <w:jc w:val="both"/>
        <w:rPr>
          <w:rFonts w:eastAsia="Times New Roman" w:cstheme="minorHAnsi"/>
          <w:lang w:eastAsia="en-GB"/>
        </w:rPr>
      </w:pPr>
      <w:r w:rsidRPr="006D199F">
        <w:rPr>
          <w:rFonts w:eastAsia="Times New Roman" w:cstheme="minorHAnsi"/>
          <w:b/>
          <w:bCs/>
          <w:lang w:eastAsia="en-GB"/>
        </w:rPr>
        <w:t>Poverty and social exclusion</w:t>
      </w:r>
      <w:r w:rsidR="00116003" w:rsidRPr="006D199F">
        <w:rPr>
          <w:rFonts w:eastAsia="Times New Roman" w:cstheme="minorHAnsi"/>
          <w:b/>
          <w:bCs/>
          <w:lang w:eastAsia="en-GB"/>
        </w:rPr>
        <w:t xml:space="preserve"> </w:t>
      </w:r>
      <w:r w:rsidRPr="006D199F">
        <w:rPr>
          <w:rFonts w:eastAsia="Times New Roman" w:cstheme="minorHAnsi"/>
          <w:b/>
          <w:bCs/>
          <w:lang w:eastAsia="en-GB"/>
        </w:rPr>
        <w:t>must be recognised as major social determinants of health inequality</w:t>
      </w:r>
      <w:r w:rsidR="00116003" w:rsidRPr="00934B6C">
        <w:rPr>
          <w:rFonts w:eastAsia="Times New Roman" w:cstheme="minorHAnsi"/>
          <w:lang w:eastAsia="en-GB"/>
        </w:rPr>
        <w:t xml:space="preserve"> </w:t>
      </w:r>
      <w:r w:rsidRPr="00934B6C">
        <w:rPr>
          <w:rFonts w:eastAsia="Times New Roman" w:cstheme="minorHAnsi"/>
          <w:lang w:eastAsia="en-GB"/>
        </w:rPr>
        <w:t>which lead to long-term social and economic costs</w:t>
      </w:r>
      <w:r w:rsidR="00FD530D">
        <w:rPr>
          <w:rFonts w:eastAsia="Times New Roman" w:cstheme="minorHAnsi"/>
          <w:lang w:eastAsia="en-GB"/>
        </w:rPr>
        <w:t>. T</w:t>
      </w:r>
      <w:r w:rsidR="00DB0408" w:rsidRPr="00934B6C">
        <w:rPr>
          <w:rFonts w:eastAsia="Times New Roman" w:cstheme="minorHAnsi"/>
          <w:lang w:eastAsia="en-GB"/>
        </w:rPr>
        <w:t xml:space="preserve">he link between the </w:t>
      </w:r>
      <w:r w:rsidR="006F1BF7">
        <w:rPr>
          <w:rFonts w:eastAsia="Times New Roman" w:cstheme="minorHAnsi"/>
          <w:lang w:eastAsia="en-GB"/>
        </w:rPr>
        <w:t>two</w:t>
      </w:r>
      <w:r w:rsidR="0094490A">
        <w:rPr>
          <w:rFonts w:eastAsia="Times New Roman" w:cstheme="minorHAnsi"/>
          <w:lang w:eastAsia="en-GB"/>
        </w:rPr>
        <w:t xml:space="preserve"> must be </w:t>
      </w:r>
      <w:r w:rsidR="00DB0408" w:rsidRPr="00934B6C">
        <w:rPr>
          <w:rFonts w:eastAsia="Times New Roman" w:cstheme="minorHAnsi"/>
          <w:lang w:eastAsia="en-GB"/>
        </w:rPr>
        <w:t>closely monitored and mainstreamed, building on key new studies.</w:t>
      </w:r>
      <w:r w:rsidR="00180724">
        <w:rPr>
          <w:rFonts w:eastAsia="Times New Roman" w:cstheme="minorHAnsi"/>
          <w:lang w:eastAsia="en-GB"/>
        </w:rPr>
        <w:t xml:space="preserve"> It is a key example where the multidimensionality of poverty and inequality intersect. There are 2 key aspects. Firstly, social determinants of health linked to poverty and social exclusion, and inadequate access to key services like decent housing, directly impacts on people’s health outcomes. Secondly, the </w:t>
      </w:r>
      <w:r w:rsidR="00180724">
        <w:rPr>
          <w:rFonts w:eastAsia="Times New Roman" w:cstheme="minorHAnsi"/>
          <w:lang w:eastAsia="en-GB"/>
        </w:rPr>
        <w:lastRenderedPageBreak/>
        <w:t>determinants also impact on how people access or receive health care. This includes affordability, but also additional or targeted services which they might need to address health disadvantage. This can be at community or individual level.</w:t>
      </w:r>
      <w:r w:rsidR="00FD530D">
        <w:rPr>
          <w:rFonts w:eastAsia="Times New Roman" w:cstheme="minorHAnsi"/>
          <w:lang w:eastAsia="en-GB"/>
        </w:rPr>
        <w:t xml:space="preserve"> </w:t>
      </w:r>
    </w:p>
    <w:p w14:paraId="0EF9C43A" w14:textId="7B69B1F2" w:rsidR="00116003" w:rsidRPr="00934B6C" w:rsidRDefault="00FD530D" w:rsidP="00934B6C">
      <w:pPr>
        <w:pStyle w:val="ListParagraph"/>
        <w:numPr>
          <w:ilvl w:val="0"/>
          <w:numId w:val="23"/>
        </w:numPr>
        <w:spacing w:after="0" w:line="240" w:lineRule="auto"/>
        <w:jc w:val="both"/>
        <w:rPr>
          <w:rFonts w:eastAsia="Times New Roman" w:cstheme="minorHAnsi"/>
          <w:lang w:eastAsia="en-GB"/>
        </w:rPr>
      </w:pPr>
      <w:r w:rsidRPr="006F1BF7">
        <w:rPr>
          <w:rFonts w:eastAsia="Times New Roman" w:cstheme="minorHAnsi"/>
          <w:b/>
          <w:bCs/>
          <w:lang w:eastAsia="en-GB"/>
        </w:rPr>
        <w:t>The COVID-19 epidemic has exposed the impact of pre-existing health inequalities as well as unequal access to health and care services. A full study</w:t>
      </w:r>
      <w:r>
        <w:rPr>
          <w:rFonts w:eastAsia="Times New Roman" w:cstheme="minorHAnsi"/>
          <w:lang w:eastAsia="en-GB"/>
        </w:rPr>
        <w:t xml:space="preserve"> </w:t>
      </w:r>
      <w:r w:rsidRPr="006F1BF7">
        <w:rPr>
          <w:rFonts w:eastAsia="Times New Roman" w:cstheme="minorHAnsi"/>
          <w:b/>
          <w:bCs/>
          <w:lang w:eastAsia="en-GB"/>
        </w:rPr>
        <w:t>must be made</w:t>
      </w:r>
      <w:r>
        <w:rPr>
          <w:rFonts w:eastAsia="Times New Roman" w:cstheme="minorHAnsi"/>
          <w:lang w:eastAsia="en-GB"/>
        </w:rPr>
        <w:t xml:space="preserve"> to assess the key factors and links to social determinants, with core Recommendations for future investment to ensure universal coverage of health and care services, as well as targeted action to compensate for inequalities.</w:t>
      </w:r>
    </w:p>
    <w:p w14:paraId="6A1D8381" w14:textId="36300BA1" w:rsidR="00056A3E" w:rsidRPr="00934B6C" w:rsidRDefault="00056A3E" w:rsidP="00934B6C">
      <w:pPr>
        <w:pStyle w:val="ListParagraph"/>
        <w:numPr>
          <w:ilvl w:val="0"/>
          <w:numId w:val="23"/>
        </w:numPr>
        <w:spacing w:after="0" w:line="240" w:lineRule="auto"/>
        <w:jc w:val="both"/>
        <w:rPr>
          <w:rFonts w:eastAsia="Times New Roman" w:cstheme="minorHAnsi"/>
          <w:lang w:eastAsia="en-GB"/>
        </w:rPr>
      </w:pPr>
      <w:r w:rsidRPr="006F1BF7">
        <w:rPr>
          <w:rFonts w:eastAsia="Times New Roman" w:cstheme="minorHAnsi"/>
          <w:b/>
          <w:bCs/>
          <w:lang w:eastAsia="en-GB"/>
        </w:rPr>
        <w:t>The users</w:t>
      </w:r>
      <w:r w:rsidRPr="00934B6C">
        <w:rPr>
          <w:rFonts w:eastAsia="Times New Roman" w:cstheme="minorHAnsi"/>
          <w:lang w:eastAsia="en-GB"/>
        </w:rPr>
        <w:t xml:space="preserve"> (patient</w:t>
      </w:r>
      <w:r w:rsidR="00D837F2" w:rsidRPr="00934B6C">
        <w:rPr>
          <w:rFonts w:eastAsia="Times New Roman" w:cstheme="minorHAnsi"/>
          <w:lang w:eastAsia="en-GB"/>
        </w:rPr>
        <w:t>, people facing poverty and social exc</w:t>
      </w:r>
      <w:r w:rsidR="00E6521B" w:rsidRPr="00934B6C">
        <w:rPr>
          <w:rFonts w:eastAsia="Times New Roman" w:cstheme="minorHAnsi"/>
          <w:lang w:eastAsia="en-GB"/>
        </w:rPr>
        <w:t>l</w:t>
      </w:r>
      <w:r w:rsidR="00D837F2" w:rsidRPr="00934B6C">
        <w:rPr>
          <w:rFonts w:eastAsia="Times New Roman" w:cstheme="minorHAnsi"/>
          <w:lang w:eastAsia="en-GB"/>
        </w:rPr>
        <w:t>usion</w:t>
      </w:r>
      <w:r w:rsidRPr="00934B6C">
        <w:rPr>
          <w:rFonts w:eastAsia="Times New Roman" w:cstheme="minorHAnsi"/>
          <w:lang w:eastAsia="en-GB"/>
        </w:rPr>
        <w:t xml:space="preserve"> and those currently unable to access</w:t>
      </w:r>
      <w:r w:rsidR="00DB0408" w:rsidRPr="00934B6C">
        <w:rPr>
          <w:rFonts w:eastAsia="Times New Roman" w:cstheme="minorHAnsi"/>
          <w:lang w:eastAsia="en-GB"/>
        </w:rPr>
        <w:t xml:space="preserve"> h</w:t>
      </w:r>
      <w:r w:rsidRPr="00934B6C">
        <w:rPr>
          <w:rFonts w:eastAsia="Times New Roman" w:cstheme="minorHAnsi"/>
          <w:lang w:eastAsia="en-GB"/>
        </w:rPr>
        <w:t xml:space="preserve">ealth services) must be </w:t>
      </w:r>
      <w:r w:rsidR="00D837F2" w:rsidRPr="00934B6C">
        <w:rPr>
          <w:rFonts w:eastAsia="Times New Roman" w:cstheme="minorHAnsi"/>
          <w:lang w:eastAsia="en-GB"/>
        </w:rPr>
        <w:t xml:space="preserve">made </w:t>
      </w:r>
      <w:r w:rsidRPr="00934B6C">
        <w:rPr>
          <w:rFonts w:eastAsia="Times New Roman" w:cstheme="minorHAnsi"/>
          <w:lang w:eastAsia="en-GB"/>
        </w:rPr>
        <w:t>key actors</w:t>
      </w:r>
      <w:r w:rsidR="00D837F2" w:rsidRPr="00934B6C">
        <w:rPr>
          <w:rFonts w:eastAsia="Times New Roman" w:cstheme="minorHAnsi"/>
          <w:lang w:eastAsia="en-GB"/>
        </w:rPr>
        <w:t xml:space="preserve"> in the</w:t>
      </w:r>
      <w:r w:rsidR="00DB0408" w:rsidRPr="00934B6C">
        <w:rPr>
          <w:rFonts w:eastAsia="Times New Roman" w:cstheme="minorHAnsi"/>
          <w:lang w:eastAsia="en-GB"/>
        </w:rPr>
        <w:t xml:space="preserve"> design</w:t>
      </w:r>
      <w:r w:rsidRPr="00934B6C">
        <w:rPr>
          <w:rFonts w:eastAsia="Times New Roman" w:cstheme="minorHAnsi"/>
          <w:lang w:eastAsia="en-GB"/>
        </w:rPr>
        <w:t>, monitoring and</w:t>
      </w:r>
      <w:r w:rsidR="00DB0408" w:rsidRPr="00934B6C">
        <w:rPr>
          <w:rFonts w:eastAsia="Times New Roman" w:cstheme="minorHAnsi"/>
          <w:lang w:eastAsia="en-GB"/>
        </w:rPr>
        <w:t xml:space="preserve"> support in</w:t>
      </w:r>
      <w:r w:rsidRPr="00934B6C">
        <w:rPr>
          <w:rFonts w:eastAsia="Times New Roman" w:cstheme="minorHAnsi"/>
          <w:lang w:eastAsia="en-GB"/>
        </w:rPr>
        <w:t xml:space="preserve"> delivery</w:t>
      </w:r>
      <w:r w:rsidR="00DB0408" w:rsidRPr="00934B6C">
        <w:rPr>
          <w:rFonts w:eastAsia="Times New Roman" w:cstheme="minorHAnsi"/>
          <w:lang w:eastAsia="en-GB"/>
        </w:rPr>
        <w:t>, particularly through the European Semester.</w:t>
      </w:r>
    </w:p>
    <w:p w14:paraId="676F9E4D" w14:textId="5AB3D17C" w:rsidR="00F26E28" w:rsidRDefault="00F26E28" w:rsidP="00E6521B">
      <w:pPr>
        <w:spacing w:after="0" w:line="240" w:lineRule="auto"/>
        <w:jc w:val="both"/>
        <w:rPr>
          <w:rFonts w:eastAsia="Times New Roman" w:cstheme="minorHAnsi"/>
          <w:lang w:eastAsia="en-GB"/>
        </w:rPr>
      </w:pPr>
    </w:p>
    <w:p w14:paraId="161F12E7" w14:textId="17146C6F" w:rsidR="00F26E28" w:rsidRPr="008E4D73" w:rsidRDefault="00F26E28" w:rsidP="00E6521B">
      <w:pPr>
        <w:spacing w:after="0" w:line="240" w:lineRule="auto"/>
        <w:jc w:val="both"/>
        <w:rPr>
          <w:rFonts w:eastAsia="Times New Roman" w:cstheme="minorHAnsi"/>
          <w:b/>
          <w:bCs/>
          <w:sz w:val="24"/>
          <w:szCs w:val="24"/>
          <w:u w:val="single"/>
          <w:lang w:eastAsia="en-GB"/>
        </w:rPr>
      </w:pPr>
      <w:r w:rsidRPr="008E4D73">
        <w:rPr>
          <w:rFonts w:eastAsia="Times New Roman" w:cstheme="minorHAnsi"/>
          <w:b/>
          <w:bCs/>
          <w:sz w:val="24"/>
          <w:szCs w:val="24"/>
          <w:u w:val="single"/>
          <w:lang w:eastAsia="en-GB"/>
        </w:rPr>
        <w:t>Childcare and support to children</w:t>
      </w:r>
      <w:r w:rsidR="00E15899" w:rsidRPr="008E4D73">
        <w:rPr>
          <w:rFonts w:eastAsia="Times New Roman" w:cstheme="minorHAnsi"/>
          <w:b/>
          <w:bCs/>
          <w:sz w:val="24"/>
          <w:szCs w:val="24"/>
          <w:u w:val="single"/>
          <w:lang w:eastAsia="en-GB"/>
        </w:rPr>
        <w:t xml:space="preserve"> (</w:t>
      </w:r>
      <w:r w:rsidR="0094490A" w:rsidRPr="008E4D73">
        <w:rPr>
          <w:rFonts w:eastAsia="Times New Roman" w:cstheme="minorHAnsi"/>
          <w:b/>
          <w:bCs/>
          <w:sz w:val="24"/>
          <w:szCs w:val="24"/>
          <w:u w:val="single"/>
          <w:lang w:eastAsia="en-GB"/>
        </w:rPr>
        <w:t>P</w:t>
      </w:r>
      <w:r w:rsidR="00E15899" w:rsidRPr="008E4D73">
        <w:rPr>
          <w:rFonts w:eastAsia="Times New Roman" w:cstheme="minorHAnsi"/>
          <w:b/>
          <w:bCs/>
          <w:sz w:val="24"/>
          <w:szCs w:val="24"/>
          <w:u w:val="single"/>
          <w:lang w:eastAsia="en-GB"/>
        </w:rPr>
        <w:t>rinciple 11)</w:t>
      </w:r>
    </w:p>
    <w:p w14:paraId="6C403B0D" w14:textId="5A3796A5" w:rsidR="0094490A" w:rsidRDefault="0094490A" w:rsidP="00E6521B">
      <w:pPr>
        <w:spacing w:after="0" w:line="240" w:lineRule="auto"/>
        <w:jc w:val="both"/>
        <w:rPr>
          <w:rFonts w:eastAsia="Times New Roman" w:cstheme="minorHAnsi"/>
          <w:b/>
          <w:bCs/>
          <w:sz w:val="24"/>
          <w:szCs w:val="24"/>
          <w:lang w:eastAsia="en-GB"/>
        </w:rPr>
      </w:pPr>
    </w:p>
    <w:p w14:paraId="596CC4A2" w14:textId="08C14E58" w:rsidR="00865C72" w:rsidRDefault="00865C72" w:rsidP="00865C72">
      <w:pPr>
        <w:jc w:val="both"/>
      </w:pPr>
      <w:r w:rsidRPr="00865C72">
        <w:rPr>
          <w:b/>
          <w:bCs/>
        </w:rPr>
        <w:t>Access to early childhood education and care</w:t>
      </w:r>
      <w:r>
        <w:t xml:space="preserve"> of good quality is crucial. However, </w:t>
      </w:r>
      <w:r w:rsidRPr="00865C72">
        <w:rPr>
          <w:b/>
          <w:bCs/>
        </w:rPr>
        <w:t>a strategy to</w:t>
      </w:r>
      <w:r>
        <w:rPr>
          <w:b/>
          <w:bCs/>
        </w:rPr>
        <w:t xml:space="preserve"> give children the right to protection from</w:t>
      </w:r>
      <w:r w:rsidRPr="00865C72">
        <w:rPr>
          <w:b/>
          <w:bCs/>
        </w:rPr>
        <w:t xml:space="preserve"> poverty</w:t>
      </w:r>
      <w:r>
        <w:t xml:space="preserve"> (part b of principle 11), must recognize the multidimensionality of poverty and needs an integrated approach rooted in children’s rights and support to the parents within an overarching EU antipoverty strategy highlighted above. </w:t>
      </w:r>
      <w:hyperlink r:id="rId59" w:history="1">
        <w:r w:rsidRPr="00F26E28">
          <w:rPr>
            <w:rStyle w:val="Hyperlink"/>
          </w:rPr>
          <w:t>The Child Guarantee</w:t>
        </w:r>
      </w:hyperlink>
      <w:r>
        <w:t xml:space="preserve">, is a key initiative to ensure access to </w:t>
      </w:r>
      <w:r w:rsidRPr="00865C72">
        <w:rPr>
          <w:b/>
          <w:bCs/>
        </w:rPr>
        <w:t>free healthcare, free education, free childcare, decent housing and adequate nutrition,</w:t>
      </w:r>
      <w:r>
        <w:t xml:space="preserve"> but needs to be embedded in an integrated approach based on the Investing in Children Commission Recommendation</w:t>
      </w:r>
      <w:r>
        <w:rPr>
          <w:rStyle w:val="FootnoteReference"/>
        </w:rPr>
        <w:footnoteReference w:id="56"/>
      </w:r>
      <w:r>
        <w:t>- supporting access to resources, services and participation. Increased priority should be given to supporting play and creative activity for children, particularly from poor families, as a pre-requisite for personal growth and development and active citizenship.</w:t>
      </w:r>
    </w:p>
    <w:p w14:paraId="7A380A0C" w14:textId="2835DBDD" w:rsidR="00D42668" w:rsidRDefault="00D42668" w:rsidP="00E6521B">
      <w:pPr>
        <w:spacing w:after="0" w:line="240" w:lineRule="auto"/>
        <w:jc w:val="both"/>
        <w:rPr>
          <w:rFonts w:eastAsia="Times New Roman" w:cstheme="minorHAnsi"/>
          <w:b/>
          <w:bCs/>
          <w:u w:val="single"/>
          <w:lang w:eastAsia="en-GB"/>
        </w:rPr>
      </w:pPr>
      <w:r w:rsidRPr="00D42668">
        <w:rPr>
          <w:rFonts w:eastAsia="Times New Roman" w:cstheme="minorHAnsi"/>
          <w:b/>
          <w:bCs/>
          <w:u w:val="single"/>
          <w:lang w:eastAsia="en-GB"/>
        </w:rPr>
        <w:t>Soft law to support upward convergence</w:t>
      </w:r>
    </w:p>
    <w:p w14:paraId="35406927" w14:textId="77777777" w:rsidR="008E4D73" w:rsidRPr="00D42668" w:rsidRDefault="008E4D73" w:rsidP="00E6521B">
      <w:pPr>
        <w:spacing w:after="0" w:line="240" w:lineRule="auto"/>
        <w:jc w:val="both"/>
        <w:rPr>
          <w:rFonts w:eastAsia="Times New Roman" w:cstheme="minorHAnsi"/>
          <w:b/>
          <w:bCs/>
          <w:u w:val="single"/>
          <w:lang w:eastAsia="en-GB"/>
        </w:rPr>
      </w:pPr>
    </w:p>
    <w:p w14:paraId="56D77EAC" w14:textId="6F403F71" w:rsidR="00F26E28" w:rsidRDefault="00151813" w:rsidP="00F26E28">
      <w:pPr>
        <w:pStyle w:val="ListParagraph"/>
        <w:numPr>
          <w:ilvl w:val="0"/>
          <w:numId w:val="15"/>
        </w:numPr>
        <w:spacing w:after="0" w:line="240" w:lineRule="auto"/>
        <w:jc w:val="both"/>
        <w:rPr>
          <w:rFonts w:eastAsia="Times New Roman" w:cstheme="minorHAnsi"/>
          <w:lang w:eastAsia="en-GB"/>
        </w:rPr>
      </w:pPr>
      <w:r>
        <w:rPr>
          <w:rFonts w:eastAsia="Times New Roman" w:cstheme="minorHAnsi"/>
          <w:lang w:eastAsia="en-GB"/>
        </w:rPr>
        <w:t>As partners to</w:t>
      </w:r>
      <w:r w:rsidR="00F26E28" w:rsidRPr="00E15899">
        <w:rPr>
          <w:rFonts w:eastAsia="Times New Roman" w:cstheme="minorHAnsi"/>
          <w:lang w:eastAsia="en-GB"/>
        </w:rPr>
        <w:t xml:space="preserve"> the </w:t>
      </w:r>
      <w:r>
        <w:rPr>
          <w:rFonts w:eastAsia="Times New Roman" w:cstheme="minorHAnsi"/>
          <w:lang w:eastAsia="en-GB"/>
        </w:rPr>
        <w:t xml:space="preserve">recent </w:t>
      </w:r>
      <w:hyperlink r:id="rId60" w:history="1">
        <w:r w:rsidR="00F26E28" w:rsidRPr="00E15899">
          <w:rPr>
            <w:rStyle w:val="Hyperlink"/>
            <w:rFonts w:eastAsia="Times New Roman" w:cstheme="minorHAnsi"/>
            <w:lang w:eastAsia="en-GB"/>
          </w:rPr>
          <w:t>investing in Children Alliance joint statement</w:t>
        </w:r>
      </w:hyperlink>
      <w:r w:rsidR="00F26E28" w:rsidRPr="00E15899">
        <w:rPr>
          <w:rStyle w:val="FootnoteReference"/>
          <w:rFonts w:eastAsia="Times New Roman" w:cstheme="minorHAnsi"/>
          <w:lang w:eastAsia="en-GB"/>
        </w:rPr>
        <w:footnoteReference w:id="57"/>
      </w:r>
      <w:r w:rsidR="00E15899" w:rsidRPr="00E15899">
        <w:rPr>
          <w:rFonts w:eastAsia="Times New Roman" w:cstheme="minorHAnsi"/>
          <w:lang w:eastAsia="en-GB"/>
        </w:rPr>
        <w:t>,</w:t>
      </w:r>
      <w:r w:rsidR="00934B6C">
        <w:rPr>
          <w:rFonts w:eastAsia="Times New Roman" w:cstheme="minorHAnsi"/>
          <w:lang w:eastAsia="en-GB"/>
        </w:rPr>
        <w:t xml:space="preserve"> EAPN supports the</w:t>
      </w:r>
      <w:r w:rsidR="00E15899" w:rsidRPr="00E15899">
        <w:rPr>
          <w:rFonts w:eastAsia="Times New Roman" w:cstheme="minorHAnsi"/>
          <w:lang w:eastAsia="en-GB"/>
        </w:rPr>
        <w:t xml:space="preserve"> </w:t>
      </w:r>
      <w:r w:rsidR="006F1BF7" w:rsidRPr="006F1BF7">
        <w:rPr>
          <w:rFonts w:eastAsia="Times New Roman" w:cstheme="minorHAnsi"/>
          <w:b/>
          <w:bCs/>
          <w:lang w:eastAsia="en-GB"/>
        </w:rPr>
        <w:t>adoption of the Child Guarantee, w</w:t>
      </w:r>
      <w:r w:rsidR="00E15899" w:rsidRPr="006F1BF7">
        <w:rPr>
          <w:rFonts w:eastAsia="Times New Roman" w:cstheme="minorHAnsi"/>
          <w:b/>
          <w:bCs/>
          <w:lang w:eastAsia="en-GB"/>
        </w:rPr>
        <w:t>ith a Council  Recommendation</w:t>
      </w:r>
      <w:r w:rsidR="006F1BF7" w:rsidRPr="006F1BF7">
        <w:rPr>
          <w:rFonts w:eastAsia="Times New Roman" w:cstheme="minorHAnsi"/>
          <w:b/>
          <w:bCs/>
          <w:lang w:eastAsia="en-GB"/>
        </w:rPr>
        <w:t>,</w:t>
      </w:r>
      <w:r w:rsidR="006F1BF7">
        <w:rPr>
          <w:rFonts w:eastAsia="Times New Roman" w:cstheme="minorHAnsi"/>
          <w:b/>
          <w:bCs/>
          <w:lang w:eastAsia="en-GB"/>
        </w:rPr>
        <w:t xml:space="preserve"> building on</w:t>
      </w:r>
      <w:r w:rsidR="006F1BF7" w:rsidRPr="006F1BF7">
        <w:rPr>
          <w:rFonts w:eastAsia="Times New Roman" w:cstheme="minorHAnsi"/>
          <w:b/>
          <w:bCs/>
          <w:lang w:eastAsia="en-GB"/>
        </w:rPr>
        <w:t xml:space="preserve"> the Investing in Children Commission Recommendation</w:t>
      </w:r>
      <w:r w:rsidR="006F1BF7">
        <w:rPr>
          <w:rFonts w:eastAsia="Times New Roman" w:cstheme="minorHAnsi"/>
          <w:lang w:eastAsia="en-GB"/>
        </w:rPr>
        <w:t xml:space="preserve"> (2013)</w:t>
      </w:r>
      <w:r w:rsidR="00E15899" w:rsidRPr="00E15899">
        <w:rPr>
          <w:rFonts w:eastAsia="Times New Roman" w:cstheme="minorHAnsi"/>
          <w:lang w:eastAsia="en-GB"/>
        </w:rPr>
        <w:t xml:space="preserve">, </w:t>
      </w:r>
      <w:r w:rsidR="006F1BF7">
        <w:rPr>
          <w:rFonts w:eastAsia="Times New Roman" w:cstheme="minorHAnsi"/>
          <w:lang w:eastAsia="en-GB"/>
        </w:rPr>
        <w:t>that recognizes</w:t>
      </w:r>
      <w:r w:rsidR="00E15899" w:rsidRPr="00E15899">
        <w:rPr>
          <w:rFonts w:eastAsia="Times New Roman" w:cstheme="minorHAnsi"/>
          <w:lang w:eastAsia="en-GB"/>
        </w:rPr>
        <w:t xml:space="preserve"> the multidimensionality of poverty and fram</w:t>
      </w:r>
      <w:r w:rsidR="006F1BF7">
        <w:rPr>
          <w:rFonts w:eastAsia="Times New Roman" w:cstheme="minorHAnsi"/>
          <w:lang w:eastAsia="en-GB"/>
        </w:rPr>
        <w:t>es</w:t>
      </w:r>
      <w:r w:rsidR="00E15899" w:rsidRPr="00E15899">
        <w:rPr>
          <w:rFonts w:eastAsia="Times New Roman" w:cstheme="minorHAnsi"/>
          <w:lang w:eastAsia="en-GB"/>
        </w:rPr>
        <w:t xml:space="preserve"> the Recommendation within an </w:t>
      </w:r>
      <w:r w:rsidR="00E15899" w:rsidRPr="006F1BF7">
        <w:rPr>
          <w:rFonts w:eastAsia="Times New Roman" w:cstheme="minorHAnsi"/>
          <w:b/>
          <w:bCs/>
          <w:lang w:eastAsia="en-GB"/>
        </w:rPr>
        <w:t>integrated approach tackling the needs of children and their carers/parents</w:t>
      </w:r>
      <w:r>
        <w:rPr>
          <w:rFonts w:eastAsia="Times New Roman" w:cstheme="minorHAnsi"/>
          <w:lang w:eastAsia="en-GB"/>
        </w:rPr>
        <w:t>.</w:t>
      </w:r>
      <w:r w:rsidR="00E56B01">
        <w:rPr>
          <w:rFonts w:eastAsia="Times New Roman" w:cstheme="minorHAnsi"/>
          <w:lang w:eastAsia="en-GB"/>
        </w:rPr>
        <w:t xml:space="preserve"> </w:t>
      </w:r>
      <w:r w:rsidR="00E15899" w:rsidRPr="00E15899">
        <w:rPr>
          <w:rFonts w:eastAsia="Times New Roman" w:cstheme="minorHAnsi"/>
          <w:lang w:eastAsia="en-GB"/>
        </w:rPr>
        <w:t xml:space="preserve">1) </w:t>
      </w:r>
      <w:r w:rsidR="0094490A">
        <w:rPr>
          <w:rFonts w:eastAsia="Times New Roman" w:cstheme="minorHAnsi"/>
          <w:lang w:eastAsia="en-GB"/>
        </w:rPr>
        <w:t>A</w:t>
      </w:r>
      <w:r w:rsidR="00E15899" w:rsidRPr="00E15899">
        <w:rPr>
          <w:rFonts w:eastAsia="Times New Roman" w:cstheme="minorHAnsi"/>
          <w:lang w:eastAsia="en-GB"/>
        </w:rPr>
        <w:t xml:space="preserve">ccess to adequate resources and benefit. 2) </w:t>
      </w:r>
      <w:r w:rsidR="0094490A">
        <w:rPr>
          <w:rFonts w:eastAsia="Times New Roman" w:cstheme="minorHAnsi"/>
          <w:lang w:eastAsia="en-GB"/>
        </w:rPr>
        <w:t>A</w:t>
      </w:r>
      <w:r w:rsidR="00E15899" w:rsidRPr="00E15899">
        <w:rPr>
          <w:rFonts w:eastAsia="Times New Roman" w:cstheme="minorHAnsi"/>
          <w:lang w:eastAsia="en-GB"/>
        </w:rPr>
        <w:t xml:space="preserve">ccess to affordable, </w:t>
      </w:r>
      <w:proofErr w:type="gramStart"/>
      <w:r w:rsidR="00E15899" w:rsidRPr="00E15899">
        <w:rPr>
          <w:rFonts w:eastAsia="Times New Roman" w:cstheme="minorHAnsi"/>
          <w:lang w:eastAsia="en-GB"/>
        </w:rPr>
        <w:t>quality</w:t>
      </w:r>
      <w:proofErr w:type="gramEnd"/>
      <w:r w:rsidR="00E15899" w:rsidRPr="00E15899">
        <w:rPr>
          <w:rFonts w:eastAsia="Times New Roman" w:cstheme="minorHAnsi"/>
          <w:lang w:eastAsia="en-GB"/>
        </w:rPr>
        <w:t xml:space="preserve"> and inclusive services, 3) Children’s right to participate in cultural and recreational activities and in decisions made for their lives</w:t>
      </w:r>
      <w:r>
        <w:rPr>
          <w:rFonts w:eastAsia="Times New Roman" w:cstheme="minorHAnsi"/>
          <w:lang w:eastAsia="en-GB"/>
        </w:rPr>
        <w:t>.</w:t>
      </w:r>
    </w:p>
    <w:p w14:paraId="52C6F5DF" w14:textId="2745B254" w:rsidR="00E15899" w:rsidRDefault="00E15899" w:rsidP="00F26E28">
      <w:pPr>
        <w:pStyle w:val="ListParagraph"/>
        <w:numPr>
          <w:ilvl w:val="0"/>
          <w:numId w:val="15"/>
        </w:numPr>
        <w:spacing w:after="0" w:line="240" w:lineRule="auto"/>
        <w:jc w:val="both"/>
        <w:rPr>
          <w:rFonts w:eastAsia="Times New Roman" w:cstheme="minorHAnsi"/>
          <w:lang w:eastAsia="en-GB"/>
        </w:rPr>
      </w:pPr>
      <w:r w:rsidRPr="006F1BF7">
        <w:rPr>
          <w:rFonts w:eastAsia="Times New Roman" w:cstheme="minorHAnsi"/>
          <w:b/>
          <w:bCs/>
          <w:lang w:eastAsia="en-GB"/>
        </w:rPr>
        <w:t>Ensuring that the Council Recommendation has a clear implementation plan</w:t>
      </w:r>
      <w:r>
        <w:rPr>
          <w:rFonts w:eastAsia="Times New Roman" w:cstheme="minorHAnsi"/>
          <w:lang w:eastAsia="en-GB"/>
        </w:rPr>
        <w:t xml:space="preserve"> to ensure effective monitoring and is properly financed and interconnected to other EU financial instruments beyond ESF+.</w:t>
      </w:r>
    </w:p>
    <w:p w14:paraId="0D60324E" w14:textId="77777777" w:rsidR="00E15899" w:rsidRPr="00E15899" w:rsidRDefault="00E15899" w:rsidP="00E15899">
      <w:pPr>
        <w:pStyle w:val="ListParagraph"/>
        <w:spacing w:after="0" w:line="240" w:lineRule="auto"/>
        <w:ind w:left="360"/>
        <w:jc w:val="both"/>
        <w:rPr>
          <w:rFonts w:eastAsia="Times New Roman" w:cstheme="minorHAnsi"/>
          <w:lang w:eastAsia="en-GB"/>
        </w:rPr>
      </w:pPr>
    </w:p>
    <w:p w14:paraId="62FC3B5A" w14:textId="15D94831" w:rsidR="006426F9" w:rsidRDefault="00D42668" w:rsidP="00FD42B5">
      <w:pPr>
        <w:spacing w:after="0" w:line="240" w:lineRule="auto"/>
        <w:jc w:val="both"/>
        <w:rPr>
          <w:rFonts w:eastAsia="Times New Roman" w:cstheme="minorHAnsi"/>
          <w:b/>
          <w:bCs/>
          <w:u w:val="single"/>
          <w:lang w:eastAsia="en-GB"/>
        </w:rPr>
      </w:pPr>
      <w:r>
        <w:rPr>
          <w:rFonts w:eastAsia="Times New Roman" w:cstheme="minorHAnsi"/>
          <w:b/>
          <w:bCs/>
          <w:u w:val="single"/>
          <w:lang w:eastAsia="en-GB"/>
        </w:rPr>
        <w:t xml:space="preserve">Access to Services: </w:t>
      </w:r>
      <w:r w:rsidR="006426F9" w:rsidRPr="00D42668">
        <w:rPr>
          <w:rFonts w:eastAsia="Times New Roman" w:cstheme="minorHAnsi"/>
          <w:b/>
          <w:bCs/>
          <w:u w:val="single"/>
          <w:lang w:eastAsia="en-GB"/>
        </w:rPr>
        <w:t>Hard Law</w:t>
      </w:r>
    </w:p>
    <w:p w14:paraId="16C6A6B6" w14:textId="77777777" w:rsidR="00D42668" w:rsidRPr="00D42668" w:rsidRDefault="00D42668" w:rsidP="00FD42B5">
      <w:pPr>
        <w:spacing w:after="0" w:line="240" w:lineRule="auto"/>
        <w:jc w:val="both"/>
        <w:rPr>
          <w:rFonts w:eastAsia="Times New Roman" w:cstheme="minorHAnsi"/>
          <w:b/>
          <w:bCs/>
          <w:u w:val="single"/>
          <w:lang w:eastAsia="en-GB"/>
        </w:rPr>
      </w:pPr>
    </w:p>
    <w:p w14:paraId="017DE59C" w14:textId="38EE2C57" w:rsidR="006426F9" w:rsidRPr="002B6FEA" w:rsidRDefault="006426F9" w:rsidP="00FD42B5">
      <w:pPr>
        <w:pStyle w:val="ListParagraph"/>
        <w:numPr>
          <w:ilvl w:val="0"/>
          <w:numId w:val="15"/>
        </w:numPr>
        <w:spacing w:after="0" w:line="240" w:lineRule="auto"/>
        <w:jc w:val="both"/>
        <w:rPr>
          <w:rFonts w:eastAsia="Times New Roman" w:cstheme="minorHAnsi"/>
          <w:lang w:eastAsia="en-GB"/>
        </w:rPr>
      </w:pPr>
      <w:r w:rsidRPr="002B6FEA">
        <w:rPr>
          <w:rFonts w:eastAsia="Times New Roman" w:cstheme="minorHAnsi"/>
          <w:lang w:eastAsia="en-GB"/>
        </w:rPr>
        <w:t>EAPN</w:t>
      </w:r>
      <w:r w:rsidR="00D837F2" w:rsidRPr="00A85252">
        <w:rPr>
          <w:rFonts w:eastAsia="Times New Roman" w:cstheme="minorHAnsi"/>
          <w:lang w:eastAsia="en-GB"/>
        </w:rPr>
        <w:t xml:space="preserve"> continues to</w:t>
      </w:r>
      <w:r w:rsidRPr="001E4E81">
        <w:rPr>
          <w:rFonts w:eastAsia="Times New Roman" w:cstheme="minorHAnsi"/>
          <w:lang w:eastAsia="en-GB"/>
        </w:rPr>
        <w:t xml:space="preserve"> support the need for</w:t>
      </w:r>
      <w:r w:rsidR="00056A3E" w:rsidRPr="002B6FEA">
        <w:rPr>
          <w:rFonts w:eastAsia="Times New Roman" w:cstheme="minorHAnsi"/>
          <w:lang w:eastAsia="en-GB"/>
        </w:rPr>
        <w:t xml:space="preserve"> progress toward</w:t>
      </w:r>
      <w:r w:rsidR="004E7B56" w:rsidRPr="002B6FEA">
        <w:rPr>
          <w:rFonts w:eastAsia="Times New Roman" w:cstheme="minorHAnsi"/>
          <w:lang w:eastAsia="en-GB"/>
        </w:rPr>
        <w:t xml:space="preserve">s </w:t>
      </w:r>
      <w:r w:rsidR="00056A3E" w:rsidRPr="002B6FEA">
        <w:rPr>
          <w:rFonts w:eastAsia="Times New Roman" w:cstheme="minorHAnsi"/>
          <w:lang w:eastAsia="en-GB"/>
        </w:rPr>
        <w:t xml:space="preserve">an </w:t>
      </w:r>
      <w:r w:rsidR="00056A3E" w:rsidRPr="0094490A">
        <w:rPr>
          <w:rFonts w:eastAsia="Times New Roman" w:cstheme="minorHAnsi"/>
          <w:b/>
          <w:bCs/>
          <w:lang w:eastAsia="en-GB"/>
        </w:rPr>
        <w:t xml:space="preserve">EU Directive regarding protection of universal </w:t>
      </w:r>
      <w:r w:rsidRPr="0094490A">
        <w:rPr>
          <w:rFonts w:eastAsia="Times New Roman" w:cstheme="minorHAnsi"/>
          <w:b/>
          <w:bCs/>
          <w:lang w:eastAsia="en-GB"/>
        </w:rPr>
        <w:t xml:space="preserve">public services, to </w:t>
      </w:r>
      <w:r w:rsidR="00F2207B" w:rsidRPr="0094490A">
        <w:rPr>
          <w:rFonts w:eastAsia="Times New Roman" w:cstheme="minorHAnsi"/>
          <w:b/>
          <w:bCs/>
          <w:lang w:eastAsia="en-GB"/>
        </w:rPr>
        <w:t xml:space="preserve">ensure the </w:t>
      </w:r>
      <w:r w:rsidRPr="0094490A">
        <w:rPr>
          <w:rFonts w:eastAsia="Times New Roman" w:cstheme="minorHAnsi"/>
          <w:b/>
          <w:bCs/>
          <w:lang w:eastAsia="en-GB"/>
        </w:rPr>
        <w:t>public good is safeguarded</w:t>
      </w:r>
      <w:r w:rsidR="00F2207B">
        <w:rPr>
          <w:rFonts w:eastAsia="Times New Roman" w:cstheme="minorHAnsi"/>
          <w:lang w:eastAsia="en-GB"/>
        </w:rPr>
        <w:t xml:space="preserve"> to avoid an </w:t>
      </w:r>
      <w:r w:rsidRPr="002B6FEA">
        <w:rPr>
          <w:rFonts w:eastAsia="Times New Roman" w:cstheme="minorHAnsi"/>
          <w:lang w:eastAsia="en-GB"/>
        </w:rPr>
        <w:t>increasingly marketized, profit-driven model</w:t>
      </w:r>
      <w:r w:rsidR="00056A3E" w:rsidRPr="002B6FEA">
        <w:rPr>
          <w:rFonts w:eastAsia="Times New Roman" w:cstheme="minorHAnsi"/>
          <w:lang w:eastAsia="en-GB"/>
        </w:rPr>
        <w:t>.</w:t>
      </w:r>
    </w:p>
    <w:p w14:paraId="2267AE7C" w14:textId="6C6B0C1A" w:rsidR="00770A01" w:rsidRPr="00056A3E" w:rsidRDefault="006426F9" w:rsidP="00FD42B5">
      <w:pPr>
        <w:pStyle w:val="ListParagraph"/>
        <w:numPr>
          <w:ilvl w:val="0"/>
          <w:numId w:val="15"/>
        </w:numPr>
        <w:jc w:val="both"/>
        <w:rPr>
          <w:b/>
          <w:bCs/>
        </w:rPr>
      </w:pPr>
      <w:r w:rsidRPr="00056A3E">
        <w:rPr>
          <w:rFonts w:eastAsia="Times New Roman" w:cstheme="minorHAnsi"/>
          <w:lang w:eastAsia="en-GB"/>
        </w:rPr>
        <w:t xml:space="preserve">The absence of any obligatory </w:t>
      </w:r>
      <w:r w:rsidRPr="00056A3E">
        <w:rPr>
          <w:rFonts w:eastAsia="Times New Roman" w:cstheme="minorHAnsi"/>
          <w:b/>
          <w:bCs/>
          <w:lang w:eastAsia="en-GB"/>
        </w:rPr>
        <w:t>right to housing</w:t>
      </w:r>
      <w:r w:rsidRPr="00056A3E">
        <w:rPr>
          <w:rFonts w:eastAsia="Times New Roman" w:cstheme="minorHAnsi"/>
          <w:lang w:eastAsia="en-GB"/>
        </w:rPr>
        <w:t xml:space="preserve"> is a major weakness in the EU social model. The EU must be seen to actively pursue a housing rights agenda. The right to a decent and affordable home should be seen as key EU a</w:t>
      </w:r>
      <w:r w:rsidR="002F2899">
        <w:rPr>
          <w:rFonts w:eastAsia="Times New Roman" w:cstheme="minorHAnsi"/>
          <w:lang w:eastAsia="en-GB"/>
        </w:rPr>
        <w:t>c</w:t>
      </w:r>
      <w:r w:rsidRPr="00056A3E">
        <w:rPr>
          <w:rFonts w:eastAsia="Times New Roman" w:cstheme="minorHAnsi"/>
          <w:lang w:eastAsia="en-GB"/>
        </w:rPr>
        <w:t xml:space="preserve">quis drawing on a growing EU and international jurisprudence </w:t>
      </w:r>
      <w:r w:rsidRPr="00056A3E">
        <w:rPr>
          <w:rFonts w:eastAsia="Times New Roman" w:cstheme="minorHAnsi"/>
          <w:lang w:eastAsia="en-GB"/>
        </w:rPr>
        <w:lastRenderedPageBreak/>
        <w:t>in relation to housing rights</w:t>
      </w:r>
      <w:r w:rsidRPr="00002477">
        <w:rPr>
          <w:rStyle w:val="FootnoteReference"/>
          <w:rFonts w:eastAsia="Times New Roman" w:cstheme="minorHAnsi"/>
          <w:lang w:eastAsia="en-GB"/>
        </w:rPr>
        <w:footnoteReference w:id="58"/>
      </w:r>
      <w:r w:rsidRPr="00056A3E">
        <w:rPr>
          <w:rFonts w:eastAsia="Times New Roman" w:cstheme="minorHAnsi"/>
          <w:lang w:eastAsia="en-GB"/>
        </w:rPr>
        <w:t xml:space="preserve"> The right to housing should be enforced regardless of residence status, to ensure access to rights for migrants, homeless people and other excluded.</w:t>
      </w:r>
    </w:p>
    <w:p w14:paraId="5F476E02" w14:textId="1E6D3BDC" w:rsidR="00FF2C45" w:rsidRPr="00FF2C45" w:rsidRDefault="00FF2C45" w:rsidP="00FD42B5">
      <w:pPr>
        <w:jc w:val="both"/>
        <w:rPr>
          <w:b/>
          <w:bCs/>
        </w:rPr>
      </w:pPr>
    </w:p>
    <w:p w14:paraId="124D0507" w14:textId="743B4BCB" w:rsidR="00D21A0D" w:rsidRPr="00D42668" w:rsidRDefault="00D21A0D">
      <w:pPr>
        <w:rPr>
          <w:b/>
          <w:bCs/>
          <w:sz w:val="24"/>
          <w:szCs w:val="24"/>
        </w:rPr>
      </w:pPr>
      <w:r w:rsidRPr="00D42668">
        <w:rPr>
          <w:b/>
          <w:bCs/>
          <w:sz w:val="24"/>
          <w:szCs w:val="24"/>
        </w:rPr>
        <w:t>PRINCIPLE 1</w:t>
      </w:r>
      <w:r w:rsidR="00BB3132" w:rsidRPr="00D42668">
        <w:rPr>
          <w:b/>
          <w:bCs/>
          <w:sz w:val="24"/>
          <w:szCs w:val="24"/>
        </w:rPr>
        <w:t>: EDUCATION, TRAINING AND LIFELONG LEARNING</w:t>
      </w:r>
    </w:p>
    <w:p w14:paraId="199CD88F" w14:textId="16E9CEF8" w:rsidR="00C44002" w:rsidRPr="000804B1" w:rsidRDefault="00C44002" w:rsidP="00523323">
      <w:pPr>
        <w:pBdr>
          <w:top w:val="single" w:sz="4" w:space="1" w:color="auto"/>
          <w:left w:val="single" w:sz="4" w:space="4" w:color="auto"/>
          <w:bottom w:val="single" w:sz="4" w:space="1" w:color="auto"/>
          <w:right w:val="single" w:sz="4" w:space="4" w:color="auto"/>
        </w:pBdr>
        <w:jc w:val="both"/>
      </w:pPr>
      <w:r>
        <w:rPr>
          <w:b/>
          <w:bCs/>
        </w:rPr>
        <w:t>SDG  4:</w:t>
      </w:r>
      <w:r w:rsidRPr="00C44002">
        <w:t xml:space="preserve"> </w:t>
      </w:r>
      <w:r w:rsidRPr="000804B1">
        <w:t>Ensure inclusive and equitable quality education and promote life-long learning opportunities</w:t>
      </w:r>
    </w:p>
    <w:p w14:paraId="5208C567" w14:textId="2BFB00AD" w:rsidR="00D837F2" w:rsidRDefault="000544E1" w:rsidP="00151813">
      <w:pPr>
        <w:spacing w:after="0"/>
        <w:jc w:val="both"/>
      </w:pPr>
      <w:r w:rsidRPr="00151813">
        <w:rPr>
          <w:bCs/>
          <w:color w:val="000000"/>
          <w:lang w:eastAsia="es-ES"/>
        </w:rPr>
        <w:t xml:space="preserve">EAPN advocates for the right to </w:t>
      </w:r>
      <w:r w:rsidRPr="00151813">
        <w:rPr>
          <w:b/>
          <w:bCs/>
          <w:color w:val="000000"/>
          <w:lang w:eastAsia="es-ES"/>
        </w:rPr>
        <w:t>universal, quality, affordable, accessible and inclusive public education throughout the life-course for all</w:t>
      </w:r>
      <w:r w:rsidRPr="00151813">
        <w:rPr>
          <w:bCs/>
          <w:color w:val="000000"/>
          <w:lang w:eastAsia="es-ES"/>
        </w:rPr>
        <w:t>.</w:t>
      </w:r>
      <w:r w:rsidR="004E7B56">
        <w:rPr>
          <w:rStyle w:val="FootnoteReference"/>
        </w:rPr>
        <w:footnoteReference w:id="59"/>
      </w:r>
      <w:r w:rsidR="00E56B01">
        <w:rPr>
          <w:bCs/>
          <w:color w:val="000000"/>
          <w:lang w:eastAsia="es-ES"/>
        </w:rPr>
        <w:t xml:space="preserve"> </w:t>
      </w:r>
      <w:r w:rsidRPr="00D837F2">
        <w:t>For EAPN and its members, school and pre-school education, vocational education and training (VET) and lifelong learning (LLL) are key public services and goods (at EU level framed as Services of General (Economic) Interest)</w:t>
      </w:r>
      <w:r w:rsidRPr="00D837F2">
        <w:rPr>
          <w:vertAlign w:val="superscript"/>
        </w:rPr>
        <w:footnoteReference w:id="60"/>
      </w:r>
      <w:r w:rsidRPr="00D837F2">
        <w:t>.</w:t>
      </w:r>
    </w:p>
    <w:p w14:paraId="5DCBA939" w14:textId="77777777" w:rsidR="00151813" w:rsidRDefault="00151813" w:rsidP="00151813">
      <w:pPr>
        <w:spacing w:after="0"/>
        <w:jc w:val="both"/>
      </w:pPr>
    </w:p>
    <w:p w14:paraId="066CC8CD" w14:textId="28F16C01" w:rsidR="00D837F2" w:rsidRDefault="000544E1" w:rsidP="00151813">
      <w:pPr>
        <w:spacing w:after="0"/>
        <w:jc w:val="both"/>
      </w:pPr>
      <w:r w:rsidRPr="00D837F2">
        <w:t xml:space="preserve">In our view, the </w:t>
      </w:r>
      <w:r w:rsidRPr="006F1BF7">
        <w:rPr>
          <w:b/>
          <w:bCs/>
        </w:rPr>
        <w:t>primary role of education is to empower and transform lives</w:t>
      </w:r>
      <w:r w:rsidRPr="000544E1">
        <w:t>, allowing individual women and men to reach their full potential and to fulfil their aspirations. It should also provide people with the right skills and qualifications for the labour market, thus enabling them to secure good quality, stable jobs which effectively shield them and their families from poverty and social exclusion. Last but not least, education should equip individuals with soft, horizontal, and critical thinking skills, so that they can take full ownership of their own life plan and build a meaningful rapport with their community, helping to strengthen our democracies through participation and active citizenship.</w:t>
      </w:r>
    </w:p>
    <w:p w14:paraId="50C93502" w14:textId="77777777" w:rsidR="00151813" w:rsidRDefault="00151813" w:rsidP="00151813">
      <w:pPr>
        <w:spacing w:after="0"/>
        <w:jc w:val="both"/>
      </w:pPr>
    </w:p>
    <w:p w14:paraId="776412D0" w14:textId="1B33B2E3" w:rsidR="000544E1" w:rsidRDefault="000544E1" w:rsidP="00151813">
      <w:pPr>
        <w:spacing w:after="0"/>
        <w:jc w:val="both"/>
        <w:rPr>
          <w:bCs/>
          <w:color w:val="000000"/>
          <w:lang w:eastAsia="es-ES"/>
        </w:rPr>
      </w:pPr>
      <w:r w:rsidRPr="000544E1">
        <w:t xml:space="preserve">We therefore advocate for a </w:t>
      </w:r>
      <w:r w:rsidRPr="006F1BF7">
        <w:rPr>
          <w:b/>
          <w:bCs/>
        </w:rPr>
        <w:t>learner-centred</w:t>
      </w:r>
      <w:r w:rsidR="00D837F2" w:rsidRPr="006F1BF7">
        <w:rPr>
          <w:b/>
          <w:bCs/>
        </w:rPr>
        <w:t xml:space="preserve">, </w:t>
      </w:r>
      <w:r w:rsidR="002F2899" w:rsidRPr="006F1BF7">
        <w:rPr>
          <w:b/>
          <w:bCs/>
        </w:rPr>
        <w:t>rights-based</w:t>
      </w:r>
      <w:r w:rsidRPr="006F1BF7">
        <w:rPr>
          <w:b/>
          <w:bCs/>
        </w:rPr>
        <w:t xml:space="preserve"> approach</w:t>
      </w:r>
      <w:r w:rsidRPr="000544E1">
        <w:t>, which puts people and their potential and aspirations at the heart of any learning activity</w:t>
      </w:r>
      <w:r w:rsidRPr="00D837F2">
        <w:t xml:space="preserve">. </w:t>
      </w:r>
      <w:r w:rsidRPr="00151813">
        <w:rPr>
          <w:color w:val="000000"/>
          <w:lang w:eastAsia="es-ES"/>
        </w:rPr>
        <w:t>EAPN promotes lifelong learning (LLL) as a comprehensive, holistic vision of education, which should span throughout all the phases of the life cycle for personal and professional development through formal</w:t>
      </w:r>
      <w:r w:rsidRPr="00151813">
        <w:rPr>
          <w:bCs/>
          <w:color w:val="000000"/>
          <w:lang w:eastAsia="es-ES"/>
        </w:rPr>
        <w:t xml:space="preserve">, </w:t>
      </w:r>
      <w:proofErr w:type="gramStart"/>
      <w:r w:rsidRPr="00151813">
        <w:rPr>
          <w:bCs/>
          <w:color w:val="000000"/>
          <w:lang w:eastAsia="es-ES"/>
        </w:rPr>
        <w:t>informal</w:t>
      </w:r>
      <w:proofErr w:type="gramEnd"/>
      <w:r w:rsidRPr="00151813">
        <w:rPr>
          <w:bCs/>
          <w:color w:val="000000"/>
          <w:lang w:eastAsia="es-ES"/>
        </w:rPr>
        <w:t xml:space="preserve"> and non-formal services.</w:t>
      </w:r>
      <w:r w:rsidR="00677109">
        <w:rPr>
          <w:rStyle w:val="FootnoteReference"/>
          <w:bCs/>
          <w:color w:val="000000"/>
          <w:lang w:eastAsia="es-ES"/>
        </w:rPr>
        <w:footnoteReference w:id="61"/>
      </w:r>
    </w:p>
    <w:p w14:paraId="2962690F" w14:textId="77777777" w:rsidR="00151813" w:rsidRPr="000544E1" w:rsidRDefault="00151813" w:rsidP="00151813">
      <w:pPr>
        <w:spacing w:after="0"/>
        <w:jc w:val="both"/>
      </w:pPr>
    </w:p>
    <w:p w14:paraId="5FF7C39E" w14:textId="0FB44B1F" w:rsidR="000544E1" w:rsidRDefault="000544E1" w:rsidP="00151813">
      <w:pPr>
        <w:spacing w:after="0"/>
        <w:jc w:val="both"/>
      </w:pPr>
      <w:r w:rsidRPr="000544E1">
        <w:t xml:space="preserve">In setting future education and training policies for </w:t>
      </w:r>
      <w:r w:rsidRPr="006F1BF7">
        <w:rPr>
          <w:b/>
          <w:bCs/>
        </w:rPr>
        <w:t xml:space="preserve">accessibility of services, affordability, </w:t>
      </w:r>
      <w:proofErr w:type="gramStart"/>
      <w:r w:rsidRPr="006F1BF7">
        <w:rPr>
          <w:b/>
          <w:bCs/>
        </w:rPr>
        <w:t>coverage</w:t>
      </w:r>
      <w:proofErr w:type="gramEnd"/>
      <w:r w:rsidRPr="006F1BF7">
        <w:rPr>
          <w:b/>
          <w:bCs/>
        </w:rPr>
        <w:t xml:space="preserve"> and quality must be key criteria. There is a need to ensure universality</w:t>
      </w:r>
      <w:r w:rsidRPr="000544E1">
        <w:t>, guaranteeing the right for all as part of an essential social compact to ensure quality services for everybody, combined with targeted measures to ensure rights of access for vulnerable groups and antidiscrimination measures (targeted universalism).</w:t>
      </w:r>
      <w:r w:rsidR="00E56B01">
        <w:t xml:space="preserve"> </w:t>
      </w:r>
      <w:r w:rsidRPr="00D837F2">
        <w:t xml:space="preserve">Ensuring the </w:t>
      </w:r>
      <w:r w:rsidRPr="006F1BF7">
        <w:rPr>
          <w:b/>
          <w:bCs/>
        </w:rPr>
        <w:t>active participation of people experiencing poverty</w:t>
      </w:r>
      <w:r w:rsidRPr="00D837F2">
        <w:t xml:space="preserve"> and social exclusion and their NGOs in the design, delivery and evaluation of these services</w:t>
      </w:r>
      <w:r w:rsidRPr="000544E1">
        <w:t xml:space="preserve"> is crucial if education policies and services are to play an effective role in preventing and tackling poverty and social exclusion.</w:t>
      </w:r>
    </w:p>
    <w:p w14:paraId="1F562F07" w14:textId="77777777" w:rsidR="00151813" w:rsidRPr="000544E1" w:rsidRDefault="00151813" w:rsidP="00151813">
      <w:pPr>
        <w:spacing w:after="0"/>
        <w:jc w:val="both"/>
      </w:pPr>
    </w:p>
    <w:p w14:paraId="4644D889" w14:textId="3951DB7D" w:rsidR="00BB3132" w:rsidRPr="00151813" w:rsidRDefault="00677109" w:rsidP="00151813">
      <w:pPr>
        <w:jc w:val="both"/>
        <w:rPr>
          <w:rFonts w:cstheme="minorHAnsi"/>
        </w:rPr>
      </w:pPr>
      <w:r>
        <w:t>I</w:t>
      </w:r>
      <w:r w:rsidR="00F24461">
        <w:t xml:space="preserve">n the </w:t>
      </w:r>
      <w:hyperlink r:id="rId61" w:history="1">
        <w:r w:rsidR="00F24461" w:rsidRPr="00F24461">
          <w:rPr>
            <w:rStyle w:val="Hyperlink"/>
          </w:rPr>
          <w:t xml:space="preserve">2018 </w:t>
        </w:r>
        <w:r w:rsidR="00151813">
          <w:rPr>
            <w:rStyle w:val="Hyperlink"/>
          </w:rPr>
          <w:t xml:space="preserve">EU </w:t>
        </w:r>
        <w:r w:rsidR="00F24461" w:rsidRPr="00F24461">
          <w:rPr>
            <w:rStyle w:val="Hyperlink"/>
          </w:rPr>
          <w:t>People Experiencing Poverty Meeting:</w:t>
        </w:r>
      </w:hyperlink>
      <w:r w:rsidR="00F24461">
        <w:t xml:space="preserve"> </w:t>
      </w:r>
      <w:r w:rsidR="00F24461" w:rsidRPr="00151813">
        <w:rPr>
          <w:b/>
          <w:bCs/>
        </w:rPr>
        <w:t>Let’s make Education a way out of poverty</w:t>
      </w:r>
      <w:r w:rsidR="00F24461">
        <w:t>!</w:t>
      </w:r>
      <w:r w:rsidR="00F144CA">
        <w:t xml:space="preserve"> </w:t>
      </w:r>
      <w:r w:rsidR="00F24461">
        <w:t xml:space="preserve">it was underlined that implementation of </w:t>
      </w:r>
      <w:r w:rsidR="00D837F2">
        <w:t>EPSR Principle</w:t>
      </w:r>
      <w:r w:rsidR="00F24461">
        <w:t xml:space="preserve"> 1 requires</w:t>
      </w:r>
      <w:r w:rsidR="00F24461" w:rsidRPr="00151813">
        <w:rPr>
          <w:rFonts w:cstheme="minorHAnsi"/>
        </w:rPr>
        <w:t xml:space="preserve"> major public investment and a change of political paradigm - prioritizing fairer society, shared prosperity and human rights and well-being</w:t>
      </w:r>
      <w:r w:rsidR="00151813" w:rsidRPr="00151813">
        <w:rPr>
          <w:rFonts w:cstheme="minorHAnsi"/>
        </w:rPr>
        <w:t xml:space="preserve">, </w:t>
      </w:r>
      <w:r w:rsidR="00F24461" w:rsidRPr="00151813">
        <w:rPr>
          <w:rFonts w:cstheme="minorHAnsi"/>
        </w:rPr>
        <w:t xml:space="preserve">with the aim being to make Europe poverty free. People experiencing poverty and their civil society organisations </w:t>
      </w:r>
      <w:r w:rsidR="00151813">
        <w:rPr>
          <w:rFonts w:cstheme="minorHAnsi"/>
        </w:rPr>
        <w:t>must be</w:t>
      </w:r>
      <w:r w:rsidR="00F24461" w:rsidRPr="00151813">
        <w:rPr>
          <w:rFonts w:cstheme="minorHAnsi"/>
        </w:rPr>
        <w:t xml:space="preserve"> key partners in the design, monitoring, and implementation of these </w:t>
      </w:r>
      <w:r w:rsidR="00F24461" w:rsidRPr="00151813">
        <w:rPr>
          <w:rFonts w:cstheme="minorHAnsi"/>
        </w:rPr>
        <w:lastRenderedPageBreak/>
        <w:t xml:space="preserve">policies. The focus on education and poverty raised crucial questions around </w:t>
      </w:r>
      <w:r w:rsidR="00151813">
        <w:rPr>
          <w:rFonts w:cstheme="minorHAnsi"/>
        </w:rPr>
        <w:t xml:space="preserve">how to ensure real </w:t>
      </w:r>
      <w:r w:rsidR="00F24461" w:rsidRPr="00151813">
        <w:rPr>
          <w:rFonts w:cstheme="minorHAnsi"/>
        </w:rPr>
        <w:t>access to quality and inclusive education (particularly for vulnerable groups facing multiple obstacles), access to technology and the growing technological divide, the hidden costs of poverty in the education system, and how to prevent and support early-school leavers, among</w:t>
      </w:r>
      <w:r w:rsidR="00F144CA">
        <w:rPr>
          <w:rFonts w:cstheme="minorHAnsi"/>
        </w:rPr>
        <w:t>st</w:t>
      </w:r>
      <w:r w:rsidR="00F24461" w:rsidRPr="00151813">
        <w:rPr>
          <w:rFonts w:cstheme="minorHAnsi"/>
        </w:rPr>
        <w:t xml:space="preserve"> other topics.</w:t>
      </w:r>
    </w:p>
    <w:p w14:paraId="13581A07" w14:textId="0E56ACE4" w:rsidR="00BB3132" w:rsidRDefault="00BB3132" w:rsidP="00151813">
      <w:pPr>
        <w:jc w:val="both"/>
      </w:pPr>
      <w:r w:rsidRPr="006F1BF7">
        <w:rPr>
          <w:b/>
          <w:bCs/>
        </w:rPr>
        <w:t>Priorities for EAPN are to prioritize investment in universal free public education</w:t>
      </w:r>
      <w:r w:rsidR="000C42EF">
        <w:t xml:space="preserve"> for all groups and to actively </w:t>
      </w:r>
      <w:r w:rsidR="000C42EF" w:rsidRPr="006F1BF7">
        <w:rPr>
          <w:b/>
          <w:bCs/>
        </w:rPr>
        <w:t>counter discrimination on any grounds</w:t>
      </w:r>
      <w:r w:rsidR="000C42EF">
        <w:t xml:space="preserve">, with particular focus on key vulnerable groups </w:t>
      </w:r>
      <w:proofErr w:type="spellStart"/>
      <w:r w:rsidR="000C42EF">
        <w:t>e.g</w:t>
      </w:r>
      <w:proofErr w:type="spellEnd"/>
      <w:r w:rsidR="000C42EF">
        <w:t xml:space="preserve">  Roma, migrants, but also children with mental health problems and poor families, promoting inclusion and universalism and outlawing segregation. </w:t>
      </w:r>
      <w:r w:rsidR="000C42EF" w:rsidRPr="006F1BF7">
        <w:t>Education should be provided throughout the life course</w:t>
      </w:r>
      <w:r w:rsidR="000C42EF">
        <w:t xml:space="preserve">, including </w:t>
      </w:r>
      <w:r>
        <w:t>early learning and care, promoting the right to education beyond skills for employment, supporting life skills and participation in the community, working in partnership with families, community organizations and students to adapt to their needs.</w:t>
      </w:r>
      <w:r w:rsidR="002D64CD">
        <w:t xml:space="preserve"> </w:t>
      </w:r>
      <w:r w:rsidR="002D64CD" w:rsidRPr="006F1BF7">
        <w:rPr>
          <w:b/>
          <w:bCs/>
        </w:rPr>
        <w:t>The validation of non-formal and informal education is key</w:t>
      </w:r>
      <w:r w:rsidR="002D64CD">
        <w:t xml:space="preserve">, as it is exactly this kind of educational support which appeals to people who may have </w:t>
      </w:r>
      <w:r w:rsidR="00151813">
        <w:t xml:space="preserve">not done well </w:t>
      </w:r>
      <w:r w:rsidR="002D64CD">
        <w:t>through formal systems.</w:t>
      </w:r>
    </w:p>
    <w:p w14:paraId="14A85A09" w14:textId="65EB9901" w:rsidR="00677109" w:rsidRDefault="00677109" w:rsidP="00151813">
      <w:pPr>
        <w:jc w:val="both"/>
      </w:pPr>
      <w:r w:rsidRPr="006F1BF7">
        <w:rPr>
          <w:b/>
          <w:bCs/>
        </w:rPr>
        <w:t>The European Semester has a key role to play</w:t>
      </w:r>
      <w:r>
        <w:t xml:space="preserve">, but </w:t>
      </w:r>
      <w:r w:rsidRPr="006F1BF7">
        <w:rPr>
          <w:b/>
          <w:bCs/>
        </w:rPr>
        <w:t xml:space="preserve">careful coordination </w:t>
      </w:r>
      <w:r w:rsidR="002F2899" w:rsidRPr="006F1BF7">
        <w:rPr>
          <w:b/>
          <w:bCs/>
        </w:rPr>
        <w:t>must</w:t>
      </w:r>
      <w:r w:rsidRPr="006F1BF7">
        <w:rPr>
          <w:b/>
          <w:bCs/>
        </w:rPr>
        <w:t xml:space="preserve"> take place with the EU Education Area</w:t>
      </w:r>
      <w:r>
        <w:t>, particularly as far as driving broader objectives beyond skills and employment.</w:t>
      </w:r>
    </w:p>
    <w:p w14:paraId="555A3DC6" w14:textId="77E9DC37" w:rsidR="00677109" w:rsidRDefault="00677109" w:rsidP="00151813">
      <w:pPr>
        <w:jc w:val="both"/>
      </w:pPr>
      <w:r>
        <w:t xml:space="preserve">The </w:t>
      </w:r>
      <w:r w:rsidRPr="006F1BF7">
        <w:rPr>
          <w:b/>
          <w:bCs/>
        </w:rPr>
        <w:t>explicit link between ESF+ and the implementation of the EPSR</w:t>
      </w:r>
      <w:r>
        <w:t xml:space="preserve"> is clear. However, it will be important for educational approaches </w:t>
      </w:r>
      <w:r w:rsidRPr="006F1BF7">
        <w:rPr>
          <w:b/>
          <w:bCs/>
        </w:rPr>
        <w:t xml:space="preserve">not to be geared only to accessing </w:t>
      </w:r>
      <w:r w:rsidR="00D837F2" w:rsidRPr="006F1BF7">
        <w:rPr>
          <w:b/>
          <w:bCs/>
        </w:rPr>
        <w:t>any job</w:t>
      </w:r>
      <w:r w:rsidRPr="006F1BF7">
        <w:rPr>
          <w:b/>
          <w:bCs/>
        </w:rPr>
        <w:t xml:space="preserve">, </w:t>
      </w:r>
      <w:r w:rsidRPr="006F1BF7">
        <w:t>but</w:t>
      </w:r>
      <w:r w:rsidR="002D64CD" w:rsidRPr="006F1BF7">
        <w:t xml:space="preserve"> as </w:t>
      </w:r>
      <w:r w:rsidR="00462315" w:rsidRPr="006F1BF7">
        <w:t>part of a</w:t>
      </w:r>
      <w:r w:rsidR="002D64CD" w:rsidRPr="006F1BF7">
        <w:t xml:space="preserve"> rights-based approach for delivering on the priority on promoting social inclusion</w:t>
      </w:r>
      <w:r w:rsidR="002D64CD">
        <w:t xml:space="preserve"> and fighting poverty, including as part of the</w:t>
      </w:r>
      <w:r w:rsidR="00462315">
        <w:t xml:space="preserve"> enabling condition to have an</w:t>
      </w:r>
      <w:r w:rsidR="002D64CD">
        <w:t xml:space="preserve"> integrated strategy to fight poverty</w:t>
      </w:r>
      <w:r w:rsidR="00462315">
        <w:t xml:space="preserve"> in place</w:t>
      </w:r>
      <w:r w:rsidR="002D64CD">
        <w:t>. The indicators of success must more clearly reflect this priority</w:t>
      </w:r>
      <w:r w:rsidR="00462315">
        <w:t xml:space="preserve"> i</w:t>
      </w:r>
      <w:r w:rsidR="00F144CA">
        <w:t>.</w:t>
      </w:r>
      <w:r w:rsidR="00462315">
        <w:t>e</w:t>
      </w:r>
      <w:r w:rsidR="00F144CA">
        <w:t>.</w:t>
      </w:r>
      <w:r w:rsidR="00462315">
        <w:t xml:space="preserve"> progress to social participation and inclusion not just employment.</w:t>
      </w:r>
    </w:p>
    <w:p w14:paraId="71A5D2FD" w14:textId="06BC4462" w:rsidR="002D64CD" w:rsidRPr="00BB3132" w:rsidRDefault="002D64CD" w:rsidP="00151813">
      <w:pPr>
        <w:jc w:val="both"/>
      </w:pPr>
      <w:r>
        <w:t xml:space="preserve">In terms of the </w:t>
      </w:r>
      <w:r w:rsidRPr="006F1BF7">
        <w:rPr>
          <w:b/>
          <w:bCs/>
        </w:rPr>
        <w:t>European Green Deal and Just Transition</w:t>
      </w:r>
      <w:r>
        <w:t xml:space="preserve">, skills training is clearly vital, however, more emphasis could be given to increasing </w:t>
      </w:r>
      <w:r w:rsidRPr="006F1BF7">
        <w:rPr>
          <w:b/>
          <w:bCs/>
        </w:rPr>
        <w:t>‘access to</w:t>
      </w:r>
      <w:r w:rsidR="00151813" w:rsidRPr="006F1BF7">
        <w:rPr>
          <w:b/>
          <w:bCs/>
        </w:rPr>
        <w:t xml:space="preserve"> relevant quality, </w:t>
      </w:r>
      <w:r w:rsidRPr="006F1BF7">
        <w:rPr>
          <w:b/>
          <w:bCs/>
        </w:rPr>
        <w:t xml:space="preserve"> training for hard to reach groups, </w:t>
      </w:r>
      <w:r w:rsidR="00151813" w:rsidRPr="006F1BF7">
        <w:rPr>
          <w:b/>
          <w:bCs/>
        </w:rPr>
        <w:t>so that they also can</w:t>
      </w:r>
      <w:r w:rsidRPr="006F1BF7">
        <w:rPr>
          <w:b/>
          <w:bCs/>
        </w:rPr>
        <w:t xml:space="preserve"> benefit from the green transition,</w:t>
      </w:r>
      <w:r>
        <w:t xml:space="preserve"> as well as in circular economy initiatives</w:t>
      </w:r>
      <w:r w:rsidR="00151813">
        <w:t xml:space="preserve"> (for example social enterprises).</w:t>
      </w:r>
    </w:p>
    <w:p w14:paraId="7F4F97CC" w14:textId="0AF21FDC" w:rsidR="00F2207B" w:rsidRDefault="002D64CD" w:rsidP="00B85E63">
      <w:pPr>
        <w:pStyle w:val="NoSpacing"/>
        <w:rPr>
          <w:lang w:val="en-US"/>
        </w:rPr>
      </w:pPr>
      <w:r w:rsidRPr="002D64CD">
        <w:t xml:space="preserve">Discussion is underway about </w:t>
      </w:r>
      <w:r w:rsidRPr="006F1BF7">
        <w:rPr>
          <w:b/>
          <w:bCs/>
        </w:rPr>
        <w:t xml:space="preserve">Individual Learning </w:t>
      </w:r>
      <w:r w:rsidR="002F2899" w:rsidRPr="006F1BF7">
        <w:rPr>
          <w:b/>
          <w:bCs/>
        </w:rPr>
        <w:t>Accounts</w:t>
      </w:r>
      <w:r w:rsidR="002F2899" w:rsidRPr="002D64CD">
        <w:t>;</w:t>
      </w:r>
      <w:r w:rsidRPr="002D64CD">
        <w:t xml:space="preserve"> however, this needs to be rights-based, available irrespective of employment status, and recognize the fragile employment history of many people currently experiencing poverty and social exclusion.</w:t>
      </w:r>
      <w:r>
        <w:t xml:space="preserve"> </w:t>
      </w:r>
      <w:r w:rsidR="0011297A">
        <w:rPr>
          <w:lang w:val="en-US"/>
        </w:rPr>
        <w:t>Creating support for NGOs (e</w:t>
      </w:r>
      <w:r w:rsidR="00F144CA">
        <w:rPr>
          <w:lang w:val="en-US"/>
        </w:rPr>
        <w:t>.</w:t>
      </w:r>
      <w:r w:rsidR="0011297A">
        <w:rPr>
          <w:lang w:val="en-US"/>
        </w:rPr>
        <w:t>g</w:t>
      </w:r>
      <w:r w:rsidR="00F144CA">
        <w:rPr>
          <w:lang w:val="en-US"/>
        </w:rPr>
        <w:t>.</w:t>
      </w:r>
      <w:r w:rsidR="0011297A">
        <w:rPr>
          <w:lang w:val="en-US"/>
        </w:rPr>
        <w:t xml:space="preserve"> members of EAPN) to invite experience experts in poverty and exclusion to capacity buildings and/or training courses can be beneficial when encouraging beneficiaries to participate more in society or the local community.</w:t>
      </w:r>
      <w:r w:rsidR="00F2207B">
        <w:rPr>
          <w:lang w:val="en-US"/>
        </w:rPr>
        <w:t xml:space="preserve"> </w:t>
      </w:r>
    </w:p>
    <w:p w14:paraId="6C1BD0BB" w14:textId="77777777" w:rsidR="008E4D73" w:rsidRDefault="008E4D73" w:rsidP="00B85E63">
      <w:pPr>
        <w:pStyle w:val="NoSpacing"/>
        <w:rPr>
          <w:b/>
          <w:bCs/>
          <w:sz w:val="28"/>
          <w:szCs w:val="28"/>
          <w:lang w:val="en-US"/>
        </w:rPr>
      </w:pPr>
    </w:p>
    <w:p w14:paraId="40F8C411" w14:textId="2D62EB02" w:rsidR="00BB3132" w:rsidRPr="002D64CD" w:rsidRDefault="002D64CD" w:rsidP="00151813">
      <w:pPr>
        <w:jc w:val="both"/>
      </w:pPr>
      <w:r>
        <w:t xml:space="preserve">The </w:t>
      </w:r>
      <w:r w:rsidRPr="006F1BF7">
        <w:rPr>
          <w:b/>
          <w:bCs/>
        </w:rPr>
        <w:t>involvement of trade unions</w:t>
      </w:r>
      <w:r w:rsidR="00462315" w:rsidRPr="006F1BF7">
        <w:rPr>
          <w:b/>
          <w:bCs/>
        </w:rPr>
        <w:t xml:space="preserve"> in work-related training/LLL</w:t>
      </w:r>
      <w:r w:rsidRPr="006F1BF7">
        <w:rPr>
          <w:b/>
          <w:bCs/>
        </w:rPr>
        <w:t xml:space="preserve"> and NGOs</w:t>
      </w:r>
      <w:r>
        <w:t xml:space="preserve"> working with people on the ground</w:t>
      </w:r>
      <w:r w:rsidR="00462315">
        <w:t xml:space="preserve"> and particularly engaged in providing informal/non-formal education, </w:t>
      </w:r>
      <w:r>
        <w:t xml:space="preserve">will be crucial to design effective </w:t>
      </w:r>
      <w:r w:rsidR="00462315">
        <w:t>education that impacts on poverty and social exclusion</w:t>
      </w:r>
      <w:r>
        <w:t>.</w:t>
      </w:r>
    </w:p>
    <w:p w14:paraId="1F98EB18" w14:textId="30631F16" w:rsidR="00BB3132" w:rsidRDefault="002D64CD" w:rsidP="00BB3132">
      <w:pPr>
        <w:rPr>
          <w:b/>
          <w:bCs/>
          <w:u w:val="single"/>
        </w:rPr>
      </w:pPr>
      <w:r w:rsidRPr="002D64CD">
        <w:rPr>
          <w:b/>
          <w:bCs/>
          <w:u w:val="single"/>
        </w:rPr>
        <w:t xml:space="preserve">Soft </w:t>
      </w:r>
      <w:r w:rsidR="00865C72">
        <w:rPr>
          <w:b/>
          <w:bCs/>
          <w:u w:val="single"/>
        </w:rPr>
        <w:t xml:space="preserve">Instruments </w:t>
      </w:r>
      <w:r w:rsidRPr="002D64CD">
        <w:rPr>
          <w:b/>
          <w:bCs/>
          <w:u w:val="single"/>
        </w:rPr>
        <w:t>to promote upward convergence</w:t>
      </w:r>
    </w:p>
    <w:p w14:paraId="6528249D" w14:textId="773C8455" w:rsidR="002D64CD" w:rsidRPr="002D64CD" w:rsidRDefault="002D64CD" w:rsidP="002D64CD">
      <w:pPr>
        <w:numPr>
          <w:ilvl w:val="0"/>
          <w:numId w:val="17"/>
        </w:numPr>
        <w:spacing w:after="0"/>
        <w:contextualSpacing/>
        <w:jc w:val="both"/>
        <w:rPr>
          <w:rFonts w:eastAsia="Times New Roman" w:cs="Calibri"/>
          <w:bCs/>
          <w:lang w:eastAsia="ar-SA"/>
        </w:rPr>
      </w:pPr>
      <w:r w:rsidRPr="006F1BF7">
        <w:rPr>
          <w:rFonts w:eastAsia="Times New Roman" w:cs="Calibri"/>
          <w:b/>
          <w:lang w:eastAsia="ar-SA"/>
        </w:rPr>
        <w:t>Require systematic implementation through the European Semester</w:t>
      </w:r>
      <w:r w:rsidR="006F1BF7">
        <w:rPr>
          <w:rFonts w:eastAsia="Times New Roman" w:cs="Calibri"/>
          <w:b/>
          <w:lang w:eastAsia="ar-SA"/>
        </w:rPr>
        <w:t xml:space="preserve"> coordinated with the EU Education Area</w:t>
      </w:r>
      <w:r w:rsidR="006F1BF7">
        <w:rPr>
          <w:rFonts w:eastAsia="Times New Roman" w:cs="Calibri"/>
          <w:bCs/>
          <w:lang w:eastAsia="ar-SA"/>
        </w:rPr>
        <w:t xml:space="preserve"> (EEA) </w:t>
      </w:r>
      <w:r w:rsidRPr="002D64CD">
        <w:rPr>
          <w:rFonts w:eastAsia="Times New Roman" w:cs="Calibri"/>
          <w:bCs/>
          <w:lang w:eastAsia="ar-SA"/>
        </w:rPr>
        <w:t>pressing for implementation of social rights and access to universal, quality and affordable education, VET and LLL</w:t>
      </w:r>
      <w:r w:rsidR="00151813">
        <w:rPr>
          <w:rFonts w:eastAsia="Times New Roman" w:cs="Calibri"/>
          <w:bCs/>
          <w:lang w:eastAsia="ar-SA"/>
        </w:rPr>
        <w:t xml:space="preserve"> throughout the life course,</w:t>
      </w:r>
      <w:r w:rsidRPr="002D64CD">
        <w:rPr>
          <w:rFonts w:eastAsia="Times New Roman" w:cs="Calibri"/>
          <w:bCs/>
          <w:lang w:eastAsia="ar-SA"/>
        </w:rPr>
        <w:t xml:space="preserve"> prioritising CSRs for those EU MS which have made low progress or have major problems with ensuring equal treatment for poor, or excluded groups.</w:t>
      </w:r>
    </w:p>
    <w:p w14:paraId="50117A91" w14:textId="0571E72E" w:rsidR="002D64CD" w:rsidRPr="002D64CD" w:rsidRDefault="002D64CD" w:rsidP="002D64CD">
      <w:pPr>
        <w:numPr>
          <w:ilvl w:val="0"/>
          <w:numId w:val="17"/>
        </w:numPr>
        <w:spacing w:after="0"/>
        <w:contextualSpacing/>
        <w:jc w:val="both"/>
        <w:rPr>
          <w:rFonts w:eastAsia="Times New Roman" w:cs="Calibri"/>
          <w:bCs/>
          <w:lang w:eastAsia="ar-SA"/>
        </w:rPr>
      </w:pPr>
      <w:r w:rsidRPr="006F1BF7">
        <w:rPr>
          <w:rFonts w:eastAsia="Times New Roman" w:cs="Calibri"/>
          <w:b/>
          <w:lang w:eastAsia="ar-SA"/>
        </w:rPr>
        <w:t>Include in the Multi-Annual Financial Framework (MFF) and more specifically in the ESF+ dedicated funding to support targeted investments in more inclusive education</w:t>
      </w:r>
      <w:r w:rsidRPr="002D64CD">
        <w:rPr>
          <w:rFonts w:eastAsia="Times New Roman" w:cs="Calibri"/>
          <w:bCs/>
          <w:lang w:eastAsia="ar-SA"/>
        </w:rPr>
        <w:t xml:space="preserve"> systems, in </w:t>
      </w:r>
      <w:r w:rsidRPr="002D64CD">
        <w:rPr>
          <w:rFonts w:eastAsia="Times New Roman" w:cs="Calibri"/>
          <w:bCs/>
          <w:lang w:eastAsia="ar-SA"/>
        </w:rPr>
        <w:lastRenderedPageBreak/>
        <w:t>support of informal and non-formal education in particular for NEET</w:t>
      </w:r>
      <w:r w:rsidR="00151813">
        <w:rPr>
          <w:rFonts w:eastAsia="Times New Roman" w:cs="Calibri"/>
          <w:bCs/>
          <w:lang w:eastAsia="ar-SA"/>
        </w:rPr>
        <w:t>s</w:t>
      </w:r>
      <w:r w:rsidRPr="002D64CD">
        <w:rPr>
          <w:rFonts w:eastAsia="Times New Roman" w:cs="Calibri"/>
          <w:bCs/>
          <w:lang w:eastAsia="ar-SA"/>
        </w:rPr>
        <w:t xml:space="preserve"> and adult learners as well as accessibility, awareness raising and anti-discrimination measures.</w:t>
      </w:r>
    </w:p>
    <w:p w14:paraId="4997FD38" w14:textId="540BF423" w:rsidR="002D64CD" w:rsidRDefault="002D64CD" w:rsidP="002D64CD">
      <w:pPr>
        <w:numPr>
          <w:ilvl w:val="0"/>
          <w:numId w:val="17"/>
        </w:numPr>
        <w:spacing w:after="0"/>
        <w:contextualSpacing/>
        <w:jc w:val="both"/>
        <w:rPr>
          <w:rFonts w:eastAsia="Times New Roman" w:cs="Calibri"/>
          <w:bCs/>
          <w:lang w:eastAsia="ar-SA"/>
        </w:rPr>
      </w:pPr>
      <w:r w:rsidRPr="006F1BF7">
        <w:rPr>
          <w:rFonts w:eastAsia="Times New Roman" w:cs="Calibri"/>
          <w:b/>
          <w:lang w:eastAsia="ar-SA"/>
        </w:rPr>
        <w:t>Introduce socio-economic background as grounds for discrimination</w:t>
      </w:r>
      <w:r w:rsidRPr="002D64CD">
        <w:rPr>
          <w:rFonts w:eastAsia="Times New Roman" w:cs="Calibri"/>
          <w:bCs/>
          <w:lang w:eastAsia="ar-SA"/>
        </w:rPr>
        <w:t xml:space="preserve"> in all European anti-discrimination legislation and support disaggregated data collection on educational attainment and completion to reflect all key groups.</w:t>
      </w:r>
    </w:p>
    <w:p w14:paraId="69A1D581" w14:textId="4DAD1AA8" w:rsidR="00180724" w:rsidRPr="006F1BF7" w:rsidRDefault="00180724" w:rsidP="002D64CD">
      <w:pPr>
        <w:numPr>
          <w:ilvl w:val="0"/>
          <w:numId w:val="17"/>
        </w:numPr>
        <w:spacing w:after="0"/>
        <w:contextualSpacing/>
        <w:jc w:val="both"/>
        <w:rPr>
          <w:rFonts w:eastAsia="Times New Roman" w:cs="Calibri"/>
          <w:b/>
          <w:lang w:eastAsia="ar-SA"/>
        </w:rPr>
      </w:pPr>
      <w:r>
        <w:rPr>
          <w:rFonts w:eastAsia="Times New Roman" w:cs="Calibri"/>
          <w:bCs/>
          <w:lang w:eastAsia="ar-SA"/>
        </w:rPr>
        <w:t xml:space="preserve">Ensure adequate investment to meet the needs of those requiring support with </w:t>
      </w:r>
      <w:r w:rsidRPr="006F1BF7">
        <w:rPr>
          <w:rFonts w:eastAsia="Times New Roman" w:cs="Calibri"/>
          <w:b/>
          <w:lang w:eastAsia="ar-SA"/>
        </w:rPr>
        <w:t>basic literacy and numeracy.</w:t>
      </w:r>
    </w:p>
    <w:p w14:paraId="555AA1BA" w14:textId="77777777" w:rsidR="00462315" w:rsidRPr="00462315" w:rsidRDefault="002D64CD" w:rsidP="00955F9E">
      <w:pPr>
        <w:numPr>
          <w:ilvl w:val="0"/>
          <w:numId w:val="19"/>
        </w:numPr>
        <w:spacing w:after="0"/>
        <w:contextualSpacing/>
        <w:jc w:val="both"/>
        <w:rPr>
          <w:szCs w:val="24"/>
        </w:rPr>
      </w:pPr>
      <w:r w:rsidRPr="002D64CD">
        <w:rPr>
          <w:rFonts w:eastAsia="Times New Roman" w:cs="Times New Roman"/>
          <w:lang w:eastAsia="ar-SA"/>
        </w:rPr>
        <w:t xml:space="preserve">Encourage and ensure the </w:t>
      </w:r>
      <w:r w:rsidRPr="006F1BF7">
        <w:rPr>
          <w:rFonts w:eastAsia="Times New Roman" w:cs="Times New Roman"/>
          <w:b/>
          <w:bCs/>
          <w:lang w:eastAsia="ar-SA"/>
        </w:rPr>
        <w:t>active participation of children, youth and adults</w:t>
      </w:r>
      <w:r w:rsidRPr="002D64CD">
        <w:rPr>
          <w:rFonts w:eastAsia="Times New Roman" w:cs="Times New Roman"/>
          <w:lang w:eastAsia="ar-SA"/>
        </w:rPr>
        <w:t xml:space="preserve"> in educational systems and services as well as in dialogue processes to develop and monitor educational and training policie</w:t>
      </w:r>
      <w:r w:rsidR="00462315">
        <w:rPr>
          <w:rFonts w:eastAsia="Times New Roman" w:cs="Times New Roman"/>
          <w:lang w:eastAsia="ar-SA"/>
        </w:rPr>
        <w:t>s.</w:t>
      </w:r>
    </w:p>
    <w:p w14:paraId="205E186F" w14:textId="77777777" w:rsidR="00955F9E" w:rsidRPr="00955F9E" w:rsidRDefault="00955F9E" w:rsidP="00955F9E">
      <w:pPr>
        <w:numPr>
          <w:ilvl w:val="0"/>
          <w:numId w:val="19"/>
        </w:numPr>
        <w:spacing w:after="0"/>
        <w:contextualSpacing/>
        <w:jc w:val="both"/>
        <w:rPr>
          <w:rFonts w:eastAsia="Times New Roman" w:cs="Calibri"/>
          <w:bCs/>
          <w:lang w:eastAsia="ar-SA"/>
        </w:rPr>
      </w:pPr>
      <w:r w:rsidRPr="00955F9E">
        <w:rPr>
          <w:rFonts w:eastAsia="Times New Roman" w:cs="Calibri"/>
          <w:bCs/>
          <w:lang w:eastAsia="ar-SA"/>
        </w:rPr>
        <w:t xml:space="preserve">Include </w:t>
      </w:r>
      <w:r w:rsidRPr="006F1BF7">
        <w:rPr>
          <w:rFonts w:eastAsia="Times New Roman" w:cs="Calibri"/>
          <w:b/>
          <w:lang w:eastAsia="ar-SA"/>
        </w:rPr>
        <w:t>action on non-formal education</w:t>
      </w:r>
      <w:r w:rsidRPr="00955F9E">
        <w:rPr>
          <w:rFonts w:eastAsia="Times New Roman" w:cs="Calibri"/>
          <w:bCs/>
          <w:lang w:eastAsia="ar-SA"/>
        </w:rPr>
        <w:t xml:space="preserve"> in the European Education Area.</w:t>
      </w:r>
    </w:p>
    <w:p w14:paraId="54DC3031" w14:textId="57F9CF53" w:rsidR="00955F9E" w:rsidRDefault="00955F9E" w:rsidP="00955F9E">
      <w:pPr>
        <w:numPr>
          <w:ilvl w:val="0"/>
          <w:numId w:val="19"/>
        </w:numPr>
        <w:spacing w:after="0"/>
        <w:contextualSpacing/>
        <w:jc w:val="both"/>
        <w:rPr>
          <w:szCs w:val="24"/>
        </w:rPr>
      </w:pPr>
      <w:r w:rsidRPr="00955F9E">
        <w:rPr>
          <w:szCs w:val="24"/>
        </w:rPr>
        <w:t xml:space="preserve">Make and regularly </w:t>
      </w:r>
      <w:r w:rsidRPr="006F1BF7">
        <w:rPr>
          <w:b/>
          <w:bCs/>
          <w:szCs w:val="24"/>
        </w:rPr>
        <w:t>update an EU-wide inventory of existing systems and procedures to validate non-formal education, training and life skills</w:t>
      </w:r>
      <w:r w:rsidRPr="00955F9E">
        <w:rPr>
          <w:szCs w:val="24"/>
          <w:vertAlign w:val="superscript"/>
        </w:rPr>
        <w:footnoteReference w:id="62"/>
      </w:r>
      <w:r w:rsidRPr="00955F9E">
        <w:rPr>
          <w:szCs w:val="24"/>
        </w:rPr>
        <w:t>, as the basis to then elaborate recommendations to EU MS with non-existing or underdeveloped validation systems and arrangements, backed up by the 2012 Council Recommendation on the validation of non-formal and informal learning (see footnote 16).</w:t>
      </w:r>
    </w:p>
    <w:p w14:paraId="26D5A672" w14:textId="4FA45588" w:rsidR="00955F9E" w:rsidRDefault="00955F9E" w:rsidP="00955F9E">
      <w:pPr>
        <w:pStyle w:val="ListParagraph"/>
        <w:numPr>
          <w:ilvl w:val="0"/>
          <w:numId w:val="19"/>
        </w:numPr>
        <w:spacing w:after="0"/>
        <w:jc w:val="both"/>
        <w:rPr>
          <w:rFonts w:cs="Calibri"/>
          <w:bCs/>
        </w:rPr>
      </w:pPr>
      <w:r w:rsidRPr="006F1BF7">
        <w:rPr>
          <w:rFonts w:cs="Calibri"/>
          <w:b/>
        </w:rPr>
        <w:t>Redefine higher numerical</w:t>
      </w:r>
      <w:r w:rsidR="006F1BF7">
        <w:rPr>
          <w:rFonts w:cs="Calibri"/>
          <w:b/>
        </w:rPr>
        <w:t xml:space="preserve"> education</w:t>
      </w:r>
      <w:r w:rsidRPr="006F1BF7">
        <w:rPr>
          <w:rFonts w:cs="Calibri"/>
          <w:b/>
        </w:rPr>
        <w:t xml:space="preserve"> targets</w:t>
      </w:r>
      <w:r w:rsidRPr="004D4667">
        <w:rPr>
          <w:rFonts w:cs="Calibri"/>
          <w:bCs/>
        </w:rPr>
        <w:t xml:space="preserve"> </w:t>
      </w:r>
      <w:r w:rsidR="006F1BF7">
        <w:rPr>
          <w:rFonts w:cs="Calibri"/>
          <w:bCs/>
        </w:rPr>
        <w:t xml:space="preserve"> for the </w:t>
      </w:r>
      <w:r>
        <w:rPr>
          <w:rFonts w:cs="Calibri"/>
          <w:bCs/>
        </w:rPr>
        <w:t>“rate of e</w:t>
      </w:r>
      <w:r w:rsidRPr="004D4667">
        <w:rPr>
          <w:rFonts w:cs="Calibri"/>
          <w:bCs/>
        </w:rPr>
        <w:t>arly school leavers</w:t>
      </w:r>
      <w:r>
        <w:rPr>
          <w:rFonts w:cs="Calibri"/>
          <w:bCs/>
        </w:rPr>
        <w:t>” and “</w:t>
      </w:r>
      <w:r w:rsidRPr="00840936">
        <w:rPr>
          <w:rFonts w:cs="Calibri"/>
          <w:bCs/>
        </w:rPr>
        <w:t>number of young people neither in employment nor in education and training</w:t>
      </w:r>
      <w:r>
        <w:rPr>
          <w:rFonts w:cs="Calibri"/>
          <w:bCs/>
        </w:rPr>
        <w:t>”</w:t>
      </w:r>
      <w:r w:rsidRPr="00840936">
        <w:rPr>
          <w:rFonts w:cs="Calibri"/>
          <w:bCs/>
        </w:rPr>
        <w:t xml:space="preserve"> (NEET)</w:t>
      </w:r>
      <w:r>
        <w:rPr>
          <w:rFonts w:cs="Calibri"/>
          <w:bCs/>
        </w:rPr>
        <w:t xml:space="preserve"> compared to those set in the context </w:t>
      </w:r>
      <w:r w:rsidRPr="004D4667">
        <w:rPr>
          <w:rFonts w:cs="Calibri"/>
          <w:bCs/>
        </w:rPr>
        <w:t>of the Europe 2020 Strategy</w:t>
      </w:r>
      <w:r w:rsidR="00151813">
        <w:rPr>
          <w:rFonts w:cs="Calibri"/>
          <w:bCs/>
        </w:rPr>
        <w:t>,</w:t>
      </w:r>
      <w:r>
        <w:rPr>
          <w:rFonts w:cs="Calibri"/>
          <w:bCs/>
        </w:rPr>
        <w:t xml:space="preserve"> in order to stay politically ambitious and economically and socially sustainable </w:t>
      </w:r>
      <w:r w:rsidR="00151813">
        <w:rPr>
          <w:rFonts w:cs="Calibri"/>
          <w:bCs/>
        </w:rPr>
        <w:t xml:space="preserve">, </w:t>
      </w:r>
      <w:r>
        <w:rPr>
          <w:rFonts w:cs="Calibri"/>
          <w:bCs/>
        </w:rPr>
        <w:t xml:space="preserve">also set benchmarks for the quality of support for early school leavers. This should be done in the context of a </w:t>
      </w:r>
      <w:r w:rsidRPr="002E31E0">
        <w:rPr>
          <w:rFonts w:cs="Calibri"/>
          <w:bCs/>
        </w:rPr>
        <w:t xml:space="preserve">comprehensive </w:t>
      </w:r>
      <w:r w:rsidR="00151813">
        <w:rPr>
          <w:rFonts w:cs="Calibri"/>
          <w:bCs/>
        </w:rPr>
        <w:t>Post 2020/</w:t>
      </w:r>
      <w:r w:rsidRPr="002E31E0">
        <w:rPr>
          <w:rFonts w:cs="Calibri"/>
          <w:bCs/>
        </w:rPr>
        <w:t xml:space="preserve">Europe 2030 </w:t>
      </w:r>
      <w:r w:rsidRPr="00637097">
        <w:rPr>
          <w:rFonts w:cs="Calibri"/>
          <w:bCs/>
        </w:rPr>
        <w:t>Strategy</w:t>
      </w:r>
      <w:r>
        <w:rPr>
          <w:rFonts w:cs="Calibri"/>
          <w:bCs/>
        </w:rPr>
        <w:t>, encompassing</w:t>
      </w:r>
      <w:r w:rsidRPr="00637097">
        <w:rPr>
          <w:rFonts w:cs="Calibri"/>
          <w:bCs/>
        </w:rPr>
        <w:t xml:space="preserve"> </w:t>
      </w:r>
      <w:r>
        <w:rPr>
          <w:rFonts w:cs="Calibri"/>
          <w:bCs/>
        </w:rPr>
        <w:t xml:space="preserve">an </w:t>
      </w:r>
      <w:r w:rsidRPr="00637097">
        <w:rPr>
          <w:rFonts w:cs="Calibri"/>
          <w:bCs/>
        </w:rPr>
        <w:t>Anti-Poverty Strategy</w:t>
      </w:r>
      <w:r>
        <w:rPr>
          <w:rFonts w:cs="Calibri"/>
          <w:bCs/>
        </w:rPr>
        <w:t xml:space="preserve">, and when elaborating and implementing the Action Plan of the </w:t>
      </w:r>
      <w:r w:rsidRPr="002E31E0">
        <w:rPr>
          <w:rFonts w:cs="Calibri"/>
          <w:bCs/>
        </w:rPr>
        <w:t>European Pillar of Social Rights</w:t>
      </w:r>
      <w:r>
        <w:rPr>
          <w:rFonts w:cs="Calibri"/>
          <w:bCs/>
        </w:rPr>
        <w:t>.</w:t>
      </w:r>
    </w:p>
    <w:p w14:paraId="4F6AFA6F" w14:textId="4D09C848" w:rsidR="00462315" w:rsidRPr="00955F9E" w:rsidRDefault="00462315" w:rsidP="00462315">
      <w:pPr>
        <w:numPr>
          <w:ilvl w:val="0"/>
          <w:numId w:val="19"/>
        </w:numPr>
        <w:spacing w:after="0"/>
        <w:contextualSpacing/>
        <w:jc w:val="both"/>
        <w:rPr>
          <w:szCs w:val="24"/>
        </w:rPr>
      </w:pPr>
      <w:r w:rsidRPr="006F1BF7">
        <w:rPr>
          <w:b/>
          <w:bCs/>
          <w:szCs w:val="24"/>
        </w:rPr>
        <w:t>Better target EU funds to support lifelong learning</w:t>
      </w:r>
      <w:r w:rsidRPr="00955F9E">
        <w:rPr>
          <w:szCs w:val="24"/>
        </w:rPr>
        <w:t xml:space="preserve"> </w:t>
      </w:r>
      <w:r w:rsidRPr="006F1BF7">
        <w:rPr>
          <w:b/>
          <w:bCs/>
          <w:szCs w:val="24"/>
        </w:rPr>
        <w:t>from a broader perspective</w:t>
      </w:r>
      <w:r w:rsidRPr="00955F9E">
        <w:rPr>
          <w:szCs w:val="24"/>
        </w:rPr>
        <w:t xml:space="preserve"> than labour market needs, for example through </w:t>
      </w:r>
      <w:r w:rsidR="00151813">
        <w:rPr>
          <w:szCs w:val="24"/>
        </w:rPr>
        <w:t xml:space="preserve">implementing enabling </w:t>
      </w:r>
      <w:r w:rsidRPr="00955F9E">
        <w:rPr>
          <w:szCs w:val="24"/>
        </w:rPr>
        <w:t xml:space="preserve">conditionalities in the </w:t>
      </w:r>
      <w:r w:rsidRPr="00955F9E">
        <w:rPr>
          <w:rFonts w:cs="Calibri"/>
          <w:bCs/>
        </w:rPr>
        <w:t>European Social Fund/ESF+</w:t>
      </w:r>
      <w:r w:rsidRPr="00955F9E">
        <w:rPr>
          <w:szCs w:val="24"/>
        </w:rPr>
        <w:t>.</w:t>
      </w:r>
    </w:p>
    <w:p w14:paraId="12B888B4" w14:textId="77777777" w:rsidR="00955F9E" w:rsidRPr="00955F9E" w:rsidRDefault="00955F9E" w:rsidP="00955F9E">
      <w:pPr>
        <w:numPr>
          <w:ilvl w:val="0"/>
          <w:numId w:val="19"/>
        </w:numPr>
        <w:spacing w:after="0"/>
        <w:contextualSpacing/>
        <w:jc w:val="both"/>
        <w:rPr>
          <w:rFonts w:eastAsia="Times New Roman" w:cs="Times New Roman"/>
          <w:lang w:eastAsia="ar-SA"/>
        </w:rPr>
      </w:pPr>
      <w:r w:rsidRPr="006F1BF7">
        <w:rPr>
          <w:rFonts w:eastAsia="Times New Roman" w:cs="Times New Roman"/>
          <w:b/>
          <w:bCs/>
          <w:lang w:eastAsia="ar-SA"/>
        </w:rPr>
        <w:t>Prioritise in EU-funded lifelong learning programmes</w:t>
      </w:r>
      <w:r w:rsidRPr="00955F9E">
        <w:rPr>
          <w:rFonts w:eastAsia="Times New Roman" w:cs="Times New Roman"/>
          <w:lang w:eastAsia="ar-SA"/>
        </w:rPr>
        <w:t xml:space="preserve"> </w:t>
      </w:r>
      <w:r w:rsidRPr="006F1BF7">
        <w:rPr>
          <w:rFonts w:eastAsia="Times New Roman" w:cs="Times New Roman"/>
          <w:b/>
          <w:bCs/>
          <w:lang w:eastAsia="ar-SA"/>
        </w:rPr>
        <w:t>those with the lowest level of educational attainment,</w:t>
      </w:r>
      <w:r w:rsidRPr="00955F9E">
        <w:rPr>
          <w:rFonts w:eastAsia="Times New Roman" w:cs="Times New Roman"/>
          <w:lang w:eastAsia="ar-SA"/>
        </w:rPr>
        <w:t xml:space="preserve"> in adult literacy, as well as those from low income families or suffering from discrimination when it comes to access to programmes, and concrete support measures.</w:t>
      </w:r>
    </w:p>
    <w:p w14:paraId="7FB42305" w14:textId="77777777" w:rsidR="00955F9E" w:rsidRDefault="00955F9E" w:rsidP="00955F9E">
      <w:pPr>
        <w:pStyle w:val="ListParagraph"/>
        <w:numPr>
          <w:ilvl w:val="0"/>
          <w:numId w:val="19"/>
        </w:numPr>
        <w:spacing w:after="0"/>
        <w:jc w:val="both"/>
      </w:pPr>
      <w:r w:rsidRPr="006F1BF7">
        <w:rPr>
          <w:b/>
          <w:bCs/>
        </w:rPr>
        <w:t>Continue and expand the use of EU funding from ESF+ to co-finance language and integration</w:t>
      </w:r>
      <w:r w:rsidRPr="002E31E0">
        <w:t xml:space="preserve"> courses for migrant workers, refugees and asylum seekers and to improve the information on a range of issues in relation to their economic and social integration and rights.</w:t>
      </w:r>
    </w:p>
    <w:p w14:paraId="3CB068DC" w14:textId="77777777" w:rsidR="00955F9E" w:rsidRPr="000E3453" w:rsidRDefault="00955F9E" w:rsidP="00955F9E">
      <w:pPr>
        <w:pStyle w:val="ListParagraph"/>
        <w:numPr>
          <w:ilvl w:val="0"/>
          <w:numId w:val="19"/>
        </w:numPr>
        <w:spacing w:after="0"/>
        <w:jc w:val="both"/>
      </w:pPr>
      <w:r w:rsidRPr="000E3453">
        <w:t xml:space="preserve">Continue and expand the use of EU funding from ESF+ to co-finance support measures for the </w:t>
      </w:r>
      <w:r w:rsidRPr="006F1BF7">
        <w:rPr>
          <w:b/>
          <w:bCs/>
        </w:rPr>
        <w:t>educational attainment and social inclusion of Roma children</w:t>
      </w:r>
      <w:r w:rsidRPr="000E3453">
        <w:t xml:space="preserve"> and to overcome segregation and discrimination in the school and vocational training system.</w:t>
      </w:r>
    </w:p>
    <w:p w14:paraId="66DA2070" w14:textId="3FC01A69" w:rsidR="002D64CD" w:rsidRDefault="002D64CD" w:rsidP="00587A06">
      <w:pPr>
        <w:spacing w:after="0"/>
        <w:contextualSpacing/>
        <w:jc w:val="both"/>
        <w:rPr>
          <w:rFonts w:eastAsia="Times New Roman" w:cs="Times New Roman"/>
          <w:lang w:eastAsia="ar-SA"/>
        </w:rPr>
      </w:pPr>
    </w:p>
    <w:p w14:paraId="4EEED228" w14:textId="02238E20" w:rsidR="00FD42B5" w:rsidRDefault="00FD42B5" w:rsidP="00955F9E">
      <w:pPr>
        <w:spacing w:after="0"/>
        <w:contextualSpacing/>
        <w:jc w:val="both"/>
        <w:rPr>
          <w:rFonts w:eastAsia="Times New Roman" w:cs="Times New Roman"/>
          <w:lang w:eastAsia="ar-SA"/>
        </w:rPr>
      </w:pPr>
    </w:p>
    <w:p w14:paraId="2910134E" w14:textId="68C15B39" w:rsidR="008E4D73" w:rsidRDefault="008E4D73" w:rsidP="00955F9E">
      <w:pPr>
        <w:spacing w:after="0"/>
        <w:contextualSpacing/>
        <w:jc w:val="both"/>
        <w:rPr>
          <w:rFonts w:eastAsia="Times New Roman" w:cs="Times New Roman"/>
          <w:lang w:eastAsia="ar-SA"/>
        </w:rPr>
      </w:pPr>
    </w:p>
    <w:p w14:paraId="5CD579EA" w14:textId="04B2E88B" w:rsidR="008E4D73" w:rsidRDefault="008E4D73" w:rsidP="00955F9E">
      <w:pPr>
        <w:spacing w:after="0"/>
        <w:contextualSpacing/>
        <w:jc w:val="both"/>
        <w:rPr>
          <w:rFonts w:eastAsia="Times New Roman" w:cs="Times New Roman"/>
          <w:lang w:eastAsia="ar-SA"/>
        </w:rPr>
      </w:pPr>
    </w:p>
    <w:p w14:paraId="5E8FCA80" w14:textId="4D587E92" w:rsidR="008E4D73" w:rsidRDefault="008E4D73" w:rsidP="00955F9E">
      <w:pPr>
        <w:spacing w:after="0"/>
        <w:contextualSpacing/>
        <w:jc w:val="both"/>
        <w:rPr>
          <w:rFonts w:eastAsia="Times New Roman" w:cs="Times New Roman"/>
          <w:lang w:eastAsia="ar-SA"/>
        </w:rPr>
      </w:pPr>
    </w:p>
    <w:p w14:paraId="56FC7A5C" w14:textId="2EEEF4AA" w:rsidR="008E4D73" w:rsidRDefault="008E4D73" w:rsidP="00955F9E">
      <w:pPr>
        <w:spacing w:after="0"/>
        <w:contextualSpacing/>
        <w:jc w:val="both"/>
        <w:rPr>
          <w:rFonts w:eastAsia="Times New Roman" w:cs="Times New Roman"/>
          <w:lang w:eastAsia="ar-SA"/>
        </w:rPr>
      </w:pPr>
    </w:p>
    <w:p w14:paraId="202CDE0C" w14:textId="744F465A" w:rsidR="008E4D73" w:rsidRDefault="008E4D73" w:rsidP="00955F9E">
      <w:pPr>
        <w:spacing w:after="0"/>
        <w:contextualSpacing/>
        <w:jc w:val="both"/>
        <w:rPr>
          <w:rFonts w:eastAsia="Times New Roman" w:cs="Times New Roman"/>
          <w:lang w:eastAsia="ar-SA"/>
        </w:rPr>
      </w:pPr>
    </w:p>
    <w:p w14:paraId="204ADC4A" w14:textId="77777777" w:rsidR="008E4D73" w:rsidRDefault="008E4D73" w:rsidP="00955F9E">
      <w:pPr>
        <w:spacing w:after="0"/>
        <w:contextualSpacing/>
        <w:jc w:val="both"/>
        <w:rPr>
          <w:rFonts w:eastAsia="Times New Roman" w:cs="Times New Roman"/>
          <w:lang w:eastAsia="ar-SA"/>
        </w:rPr>
      </w:pPr>
    </w:p>
    <w:p w14:paraId="7FB834BA" w14:textId="373C2DB4" w:rsidR="00C41A15" w:rsidRDefault="00C41A15" w:rsidP="00955F9E">
      <w:pPr>
        <w:spacing w:after="0"/>
        <w:contextualSpacing/>
        <w:jc w:val="both"/>
        <w:rPr>
          <w:rFonts w:eastAsia="Times New Roman" w:cs="Times New Roman"/>
          <w:b/>
          <w:bCs/>
          <w:lang w:eastAsia="ar-SA"/>
        </w:rPr>
      </w:pPr>
      <w:r w:rsidRPr="00C41A15">
        <w:rPr>
          <w:rFonts w:eastAsia="Times New Roman" w:cs="Times New Roman"/>
          <w:b/>
          <w:bCs/>
          <w:lang w:eastAsia="ar-SA"/>
        </w:rPr>
        <w:lastRenderedPageBreak/>
        <w:t>Annex 1 Status of the Document</w:t>
      </w:r>
    </w:p>
    <w:p w14:paraId="22D61D88" w14:textId="49C67142" w:rsidR="004D6376" w:rsidRPr="00C41A15" w:rsidRDefault="00C41A15" w:rsidP="00955F9E">
      <w:pPr>
        <w:spacing w:after="0"/>
        <w:jc w:val="both"/>
        <w:rPr>
          <w:rFonts w:eastAsia="Times New Roman" w:cs="Times New Roman"/>
          <w:lang w:eastAsia="ar-SA"/>
        </w:rPr>
      </w:pPr>
      <w:r w:rsidRPr="00C41A15">
        <w:rPr>
          <w:rFonts w:eastAsia="Times New Roman" w:cs="Times New Roman"/>
          <w:lang w:eastAsia="ar-SA"/>
        </w:rPr>
        <w:t>This consultation response was developed by the EU Inclusion Strategies Group, which has delegat</w:t>
      </w:r>
      <w:r>
        <w:rPr>
          <w:rFonts w:eastAsia="Times New Roman" w:cs="Times New Roman"/>
          <w:lang w:eastAsia="ar-SA"/>
        </w:rPr>
        <w:t>e</w:t>
      </w:r>
      <w:r w:rsidRPr="00C41A15">
        <w:rPr>
          <w:rFonts w:eastAsia="Times New Roman" w:cs="Times New Roman"/>
          <w:lang w:eastAsia="ar-SA"/>
        </w:rPr>
        <w:t>d powers within EAPN to develop EAPN policy positions and reports.</w:t>
      </w:r>
      <w:r>
        <w:rPr>
          <w:rFonts w:eastAsia="Times New Roman" w:cs="Times New Roman"/>
          <w:lang w:eastAsia="ar-SA"/>
        </w:rPr>
        <w:t xml:space="preserve"> A first discussion regarding </w:t>
      </w:r>
      <w:r w:rsidR="004D6376">
        <w:rPr>
          <w:rFonts w:eastAsia="Times New Roman" w:cs="Times New Roman"/>
          <w:lang w:eastAsia="ar-SA"/>
        </w:rPr>
        <w:t xml:space="preserve">the </w:t>
      </w:r>
      <w:r>
        <w:rPr>
          <w:rFonts w:eastAsia="Times New Roman" w:cs="Times New Roman"/>
          <w:lang w:eastAsia="ar-SA"/>
        </w:rPr>
        <w:t>implemen</w:t>
      </w:r>
      <w:r w:rsidR="004D6376">
        <w:rPr>
          <w:rFonts w:eastAsia="Times New Roman" w:cs="Times New Roman"/>
          <w:lang w:eastAsia="ar-SA"/>
        </w:rPr>
        <w:t>tation of t</w:t>
      </w:r>
      <w:r>
        <w:rPr>
          <w:rFonts w:eastAsia="Times New Roman" w:cs="Times New Roman"/>
          <w:lang w:eastAsia="ar-SA"/>
        </w:rPr>
        <w:t xml:space="preserve">he EPSR input took place in the EUISG meeting in Finland </w:t>
      </w:r>
      <w:r w:rsidR="004D6376">
        <w:rPr>
          <w:rFonts w:eastAsia="Times New Roman" w:cs="Times New Roman"/>
          <w:lang w:eastAsia="ar-SA"/>
        </w:rPr>
        <w:t>on 14-15</w:t>
      </w:r>
      <w:r>
        <w:rPr>
          <w:rFonts w:eastAsia="Times New Roman" w:cs="Times New Roman"/>
          <w:lang w:eastAsia="ar-SA"/>
        </w:rPr>
        <w:t xml:space="preserve"> September 2019. Following the launch of the consultation </w:t>
      </w:r>
      <w:r w:rsidR="00135070">
        <w:rPr>
          <w:rFonts w:eastAsia="Times New Roman" w:cs="Times New Roman"/>
          <w:lang w:eastAsia="ar-SA"/>
        </w:rPr>
        <w:t xml:space="preserve"> in 2020, </w:t>
      </w:r>
      <w:r>
        <w:rPr>
          <w:rFonts w:eastAsia="Times New Roman" w:cs="Times New Roman"/>
          <w:lang w:eastAsia="ar-SA"/>
        </w:rPr>
        <w:t>a response was drafted</w:t>
      </w:r>
      <w:r w:rsidRPr="00C41A15">
        <w:rPr>
          <w:rFonts w:eastAsia="Times New Roman" w:cs="Times New Roman"/>
          <w:lang w:eastAsia="ar-SA"/>
        </w:rPr>
        <w:t xml:space="preserve"> </w:t>
      </w:r>
      <w:r>
        <w:rPr>
          <w:rFonts w:eastAsia="Times New Roman" w:cs="Times New Roman"/>
          <w:lang w:eastAsia="ar-SA"/>
        </w:rPr>
        <w:t xml:space="preserve">by the EAPN Policy Team </w:t>
      </w:r>
      <w:r w:rsidRPr="00C41A15">
        <w:rPr>
          <w:rFonts w:eastAsia="Times New Roman" w:cs="Times New Roman"/>
          <w:lang w:eastAsia="ar-SA"/>
        </w:rPr>
        <w:t xml:space="preserve">on the basis of </w:t>
      </w:r>
      <w:r>
        <w:rPr>
          <w:rFonts w:eastAsia="Times New Roman" w:cs="Times New Roman"/>
          <w:lang w:eastAsia="ar-SA"/>
        </w:rPr>
        <w:t>th</w:t>
      </w:r>
      <w:r w:rsidR="00135070">
        <w:rPr>
          <w:rFonts w:eastAsia="Times New Roman" w:cs="Times New Roman"/>
          <w:lang w:eastAsia="ar-SA"/>
        </w:rPr>
        <w:t>e</w:t>
      </w:r>
      <w:r>
        <w:rPr>
          <w:rFonts w:eastAsia="Times New Roman" w:cs="Times New Roman"/>
          <w:lang w:eastAsia="ar-SA"/>
        </w:rPr>
        <w:t xml:space="preserve"> discussion</w:t>
      </w:r>
      <w:r w:rsidR="00135070">
        <w:rPr>
          <w:rFonts w:eastAsia="Times New Roman" w:cs="Times New Roman"/>
          <w:lang w:eastAsia="ar-SA"/>
        </w:rPr>
        <w:t xml:space="preserve"> in Finland, drawing on</w:t>
      </w:r>
      <w:r>
        <w:rPr>
          <w:rFonts w:eastAsia="Times New Roman" w:cs="Times New Roman"/>
          <w:lang w:eastAsia="ar-SA"/>
        </w:rPr>
        <w:t xml:space="preserve"> </w:t>
      </w:r>
      <w:r w:rsidRPr="00C41A15">
        <w:rPr>
          <w:rFonts w:eastAsia="Times New Roman" w:cs="Times New Roman"/>
          <w:lang w:eastAsia="ar-SA"/>
        </w:rPr>
        <w:t>agreed EAPN positions, including EAPN response to the European Pillar of Social Rights</w:t>
      </w:r>
      <w:r>
        <w:rPr>
          <w:rFonts w:eastAsia="Times New Roman" w:cs="Times New Roman"/>
          <w:lang w:eastAsia="ar-SA"/>
        </w:rPr>
        <w:t>,</w:t>
      </w:r>
      <w:r w:rsidRPr="00C41A15">
        <w:rPr>
          <w:rFonts w:eastAsia="Times New Roman" w:cs="Times New Roman"/>
          <w:lang w:eastAsia="ar-SA"/>
        </w:rPr>
        <w:t xml:space="preserve"> </w:t>
      </w:r>
      <w:r>
        <w:rPr>
          <w:rFonts w:eastAsia="Times New Roman" w:cs="Times New Roman"/>
          <w:lang w:eastAsia="ar-SA"/>
        </w:rPr>
        <w:t>EAPN proposals for a Post Europe 2020 Strategy (2019)</w:t>
      </w:r>
      <w:r w:rsidR="00135070">
        <w:rPr>
          <w:rFonts w:eastAsia="Times New Roman" w:cs="Times New Roman"/>
          <w:lang w:eastAsia="ar-SA"/>
        </w:rPr>
        <w:t xml:space="preserve">, EAPN Issues paper on education, training and lifelong learning; </w:t>
      </w:r>
      <w:r>
        <w:rPr>
          <w:rFonts w:eastAsia="Times New Roman" w:cs="Times New Roman"/>
          <w:lang w:eastAsia="ar-SA"/>
        </w:rPr>
        <w:t xml:space="preserve">EAPN Position on Adequate Income (2020).  A first full draft was disseminated to EAPN members (EUISG, EXCO and EO’s) on the </w:t>
      </w:r>
      <w:r w:rsidR="004D6376">
        <w:rPr>
          <w:rFonts w:eastAsia="Times New Roman" w:cs="Times New Roman"/>
          <w:lang w:eastAsia="ar-SA"/>
        </w:rPr>
        <w:t>24</w:t>
      </w:r>
      <w:r w:rsidR="004D6376" w:rsidRPr="004D6376">
        <w:rPr>
          <w:rFonts w:eastAsia="Times New Roman" w:cs="Times New Roman"/>
          <w:vertAlign w:val="superscript"/>
          <w:lang w:eastAsia="ar-SA"/>
        </w:rPr>
        <w:t>th</w:t>
      </w:r>
      <w:r w:rsidR="004D6376">
        <w:rPr>
          <w:rFonts w:eastAsia="Times New Roman" w:cs="Times New Roman"/>
          <w:lang w:eastAsia="ar-SA"/>
        </w:rPr>
        <w:t xml:space="preserve"> M</w:t>
      </w:r>
      <w:r w:rsidR="00135070">
        <w:rPr>
          <w:rFonts w:eastAsia="Times New Roman" w:cs="Times New Roman"/>
          <w:lang w:eastAsia="ar-SA"/>
        </w:rPr>
        <w:t xml:space="preserve">arch 2020 with </w:t>
      </w:r>
      <w:r>
        <w:rPr>
          <w:rFonts w:eastAsia="Times New Roman" w:cs="Times New Roman"/>
          <w:lang w:eastAsia="ar-SA"/>
        </w:rPr>
        <w:t>a</w:t>
      </w:r>
      <w:r w:rsidR="00135070">
        <w:rPr>
          <w:rFonts w:eastAsia="Times New Roman" w:cs="Times New Roman"/>
          <w:lang w:eastAsia="ar-SA"/>
        </w:rPr>
        <w:t>n original</w:t>
      </w:r>
      <w:r>
        <w:rPr>
          <w:rFonts w:eastAsia="Times New Roman" w:cs="Times New Roman"/>
          <w:lang w:eastAsia="ar-SA"/>
        </w:rPr>
        <w:t xml:space="preserve"> deadline o</w:t>
      </w:r>
      <w:r w:rsidR="00135070">
        <w:rPr>
          <w:rFonts w:eastAsia="Times New Roman" w:cs="Times New Roman"/>
          <w:lang w:eastAsia="ar-SA"/>
        </w:rPr>
        <w:t>f the 23 April. Following the cancellation of the EUISG meeting planned for Madrid (19-21 March), the deadline was extended until the 4 April</w:t>
      </w:r>
      <w:r>
        <w:rPr>
          <w:rFonts w:eastAsia="Times New Roman" w:cs="Times New Roman"/>
          <w:lang w:eastAsia="ar-SA"/>
        </w:rPr>
        <w:t xml:space="preserve">. </w:t>
      </w:r>
      <w:r w:rsidR="00135070">
        <w:rPr>
          <w:rFonts w:eastAsia="Times New Roman" w:cs="Times New Roman"/>
          <w:lang w:eastAsia="ar-SA"/>
        </w:rPr>
        <w:t>Written inputs</w:t>
      </w:r>
      <w:r>
        <w:rPr>
          <w:rFonts w:eastAsia="Times New Roman" w:cs="Times New Roman"/>
          <w:lang w:eastAsia="ar-SA"/>
        </w:rPr>
        <w:t xml:space="preserve"> were received from: </w:t>
      </w:r>
      <w:r w:rsidR="00135070">
        <w:rPr>
          <w:rFonts w:eastAsia="Times New Roman" w:cs="Times New Roman"/>
          <w:lang w:eastAsia="ar-SA"/>
        </w:rPr>
        <w:t xml:space="preserve">EAPN IE, FI, PT, NL, ES. </w:t>
      </w:r>
      <w:r>
        <w:rPr>
          <w:rFonts w:eastAsia="Times New Roman" w:cs="Times New Roman"/>
          <w:lang w:eastAsia="ar-SA"/>
        </w:rPr>
        <w:t xml:space="preserve"> An interactive webinar was held on the</w:t>
      </w:r>
      <w:r w:rsidR="004D6376">
        <w:rPr>
          <w:rFonts w:eastAsia="Times New Roman" w:cs="Times New Roman"/>
          <w:lang w:eastAsia="ar-SA"/>
        </w:rPr>
        <w:t xml:space="preserve"> 6 May </w:t>
      </w:r>
      <w:r>
        <w:rPr>
          <w:rFonts w:eastAsia="Times New Roman" w:cs="Times New Roman"/>
          <w:lang w:eastAsia="ar-SA"/>
        </w:rPr>
        <w:t>involving</w:t>
      </w:r>
      <w:r w:rsidR="00135070" w:rsidRPr="00135070">
        <w:rPr>
          <w:rFonts w:cstheme="minorHAnsi"/>
        </w:rPr>
        <w:t xml:space="preserve"> </w:t>
      </w:r>
      <w:r w:rsidR="00135070">
        <w:rPr>
          <w:rFonts w:cstheme="minorHAnsi"/>
        </w:rPr>
        <w:t>EAPN BE, HR, CZ, DK</w:t>
      </w:r>
      <w:r w:rsidR="00135070" w:rsidRPr="004413B5">
        <w:rPr>
          <w:rFonts w:cstheme="minorHAnsi"/>
        </w:rPr>
        <w:t xml:space="preserve">, </w:t>
      </w:r>
      <w:r w:rsidR="00135070">
        <w:rPr>
          <w:rFonts w:cstheme="minorHAnsi"/>
        </w:rPr>
        <w:t>FR, FI, DE, EL, HU, IC, IE, LV, LT, MT</w:t>
      </w:r>
      <w:r w:rsidR="00135070" w:rsidRPr="004413B5">
        <w:rPr>
          <w:rFonts w:cstheme="minorHAnsi"/>
        </w:rPr>
        <w:t xml:space="preserve">, </w:t>
      </w:r>
      <w:r w:rsidR="00135070">
        <w:rPr>
          <w:rFonts w:cstheme="minorHAnsi"/>
        </w:rPr>
        <w:t>NL, NO, PL, PT</w:t>
      </w:r>
      <w:r w:rsidR="00135070" w:rsidRPr="004413B5">
        <w:rPr>
          <w:rFonts w:cstheme="minorHAnsi"/>
        </w:rPr>
        <w:t>,</w:t>
      </w:r>
      <w:r w:rsidR="00135070">
        <w:rPr>
          <w:rFonts w:cstheme="minorHAnsi"/>
        </w:rPr>
        <w:t>, SK, SL, ES</w:t>
      </w:r>
      <w:r w:rsidR="00135070" w:rsidRPr="004413B5">
        <w:rPr>
          <w:rFonts w:cstheme="minorHAnsi"/>
        </w:rPr>
        <w:t>,  UK</w:t>
      </w:r>
      <w:r w:rsidR="00135070">
        <w:rPr>
          <w:rFonts w:cstheme="minorHAnsi"/>
        </w:rPr>
        <w:t xml:space="preserve"> and European Organization Members:</w:t>
      </w:r>
      <w:r w:rsidR="00135070" w:rsidRPr="004413B5">
        <w:rPr>
          <w:rFonts w:cstheme="minorHAnsi"/>
        </w:rPr>
        <w:t xml:space="preserve"> AGE</w:t>
      </w:r>
      <w:r w:rsidR="00135070">
        <w:rPr>
          <w:rFonts w:cstheme="minorHAnsi"/>
        </w:rPr>
        <w:t xml:space="preserve">-Platform, </w:t>
      </w:r>
      <w:proofErr w:type="spellStart"/>
      <w:r w:rsidR="00135070">
        <w:rPr>
          <w:rFonts w:cstheme="minorHAnsi"/>
        </w:rPr>
        <w:t>Eurodiaconia</w:t>
      </w:r>
      <w:proofErr w:type="spellEnd"/>
      <w:r w:rsidR="00D42F4D">
        <w:rPr>
          <w:rFonts w:cstheme="minorHAnsi"/>
        </w:rPr>
        <w:t xml:space="preserve"> </w:t>
      </w:r>
      <w:r w:rsidR="00135070">
        <w:rPr>
          <w:rFonts w:cstheme="minorHAnsi"/>
        </w:rPr>
        <w:t xml:space="preserve">and </w:t>
      </w:r>
      <w:r w:rsidR="00135070" w:rsidRPr="004413B5">
        <w:rPr>
          <w:rFonts w:cstheme="minorHAnsi"/>
        </w:rPr>
        <w:t>IFSW</w:t>
      </w:r>
      <w:r>
        <w:rPr>
          <w:rFonts w:eastAsia="Times New Roman" w:cs="Times New Roman"/>
          <w:lang w:eastAsia="ar-SA"/>
        </w:rPr>
        <w:t xml:space="preserve"> with </w:t>
      </w:r>
      <w:r w:rsidR="00D42F4D">
        <w:rPr>
          <w:rFonts w:eastAsia="Times New Roman" w:cs="Times New Roman"/>
          <w:lang w:eastAsia="ar-SA"/>
        </w:rPr>
        <w:t xml:space="preserve">a </w:t>
      </w:r>
      <w:r>
        <w:rPr>
          <w:rFonts w:eastAsia="Times New Roman" w:cs="Times New Roman"/>
          <w:lang w:eastAsia="ar-SA"/>
        </w:rPr>
        <w:t>final possibility for comments in the following week</w:t>
      </w:r>
      <w:r w:rsidR="00D42F4D">
        <w:rPr>
          <w:rFonts w:eastAsia="Times New Roman" w:cs="Times New Roman"/>
          <w:lang w:eastAsia="ar-SA"/>
        </w:rPr>
        <w:t xml:space="preserve"> with inputs from EAPN FI, PT</w:t>
      </w:r>
      <w:r>
        <w:rPr>
          <w:rFonts w:eastAsia="Times New Roman" w:cs="Times New Roman"/>
          <w:lang w:eastAsia="ar-SA"/>
        </w:rPr>
        <w:t xml:space="preserve">. The response was finalized </w:t>
      </w:r>
      <w:r w:rsidR="00D42F4D">
        <w:rPr>
          <w:rFonts w:eastAsia="Times New Roman" w:cs="Times New Roman"/>
          <w:lang w:eastAsia="ar-SA"/>
        </w:rPr>
        <w:t xml:space="preserve">and adopted by the EUISG </w:t>
      </w:r>
      <w:r>
        <w:rPr>
          <w:rFonts w:eastAsia="Times New Roman" w:cs="Times New Roman"/>
          <w:lang w:eastAsia="ar-SA"/>
        </w:rPr>
        <w:t xml:space="preserve">on </w:t>
      </w:r>
      <w:r w:rsidR="00F144CA">
        <w:rPr>
          <w:rFonts w:eastAsia="Times New Roman" w:cs="Times New Roman"/>
          <w:lang w:eastAsia="ar-SA"/>
        </w:rPr>
        <w:t>1 June</w:t>
      </w:r>
      <w:r w:rsidR="00D42F4D">
        <w:rPr>
          <w:rFonts w:eastAsia="Times New Roman" w:cs="Times New Roman"/>
          <w:lang w:eastAsia="ar-SA"/>
        </w:rPr>
        <w:t xml:space="preserve"> 2020.</w:t>
      </w:r>
    </w:p>
    <w:sectPr w:rsidR="004D6376" w:rsidRPr="00C41A15">
      <w:headerReference w:type="default" r:id="rId62"/>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C0182" w14:textId="77777777" w:rsidR="00291CC9" w:rsidRDefault="00291CC9" w:rsidP="008A6595">
      <w:pPr>
        <w:spacing w:after="0" w:line="240" w:lineRule="auto"/>
      </w:pPr>
      <w:r>
        <w:separator/>
      </w:r>
    </w:p>
  </w:endnote>
  <w:endnote w:type="continuationSeparator" w:id="0">
    <w:p w14:paraId="3DD06D8A" w14:textId="77777777" w:rsidR="00291CC9" w:rsidRDefault="00291CC9" w:rsidP="008A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980240"/>
      <w:docPartObj>
        <w:docPartGallery w:val="Page Numbers (Bottom of Page)"/>
        <w:docPartUnique/>
      </w:docPartObj>
    </w:sdtPr>
    <w:sdtEndPr>
      <w:rPr>
        <w:noProof/>
      </w:rPr>
    </w:sdtEndPr>
    <w:sdtContent>
      <w:p w14:paraId="0A16EC04" w14:textId="53F5CABA" w:rsidR="006B1008" w:rsidRDefault="006B10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A6E209" w14:textId="77777777" w:rsidR="006B1008" w:rsidRDefault="006B1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DBA7E" w14:textId="77777777" w:rsidR="00291CC9" w:rsidRDefault="00291CC9" w:rsidP="008A6595">
      <w:pPr>
        <w:spacing w:after="0" w:line="240" w:lineRule="auto"/>
      </w:pPr>
      <w:r>
        <w:separator/>
      </w:r>
    </w:p>
  </w:footnote>
  <w:footnote w:type="continuationSeparator" w:id="0">
    <w:p w14:paraId="5DF3BE74" w14:textId="77777777" w:rsidR="00291CC9" w:rsidRDefault="00291CC9" w:rsidP="008A6595">
      <w:pPr>
        <w:spacing w:after="0" w:line="240" w:lineRule="auto"/>
      </w:pPr>
      <w:r>
        <w:continuationSeparator/>
      </w:r>
    </w:p>
  </w:footnote>
  <w:footnote w:id="1">
    <w:p w14:paraId="4236D62C" w14:textId="17C1FE87" w:rsidR="006B1008" w:rsidRDefault="006B1008">
      <w:pPr>
        <w:pStyle w:val="FootnoteText"/>
      </w:pPr>
      <w:r>
        <w:rPr>
          <w:rStyle w:val="FootnoteReference"/>
        </w:rPr>
        <w:footnoteRef/>
      </w:r>
      <w:r>
        <w:t xml:space="preserve"> EC Communication: A strong social Europe for Just Transitions (14 January 2020)</w:t>
      </w:r>
    </w:p>
  </w:footnote>
  <w:footnote w:id="2">
    <w:p w14:paraId="323B8C22" w14:textId="77777777" w:rsidR="006B1008" w:rsidRPr="009D0A4D" w:rsidRDefault="006B1008" w:rsidP="00117CAA">
      <w:pPr>
        <w:pStyle w:val="FootnoteText"/>
        <w:rPr>
          <w:sz w:val="18"/>
          <w:szCs w:val="18"/>
        </w:rPr>
      </w:pPr>
      <w:r w:rsidRPr="009D0A4D">
        <w:rPr>
          <w:rStyle w:val="FootnoteReference"/>
          <w:sz w:val="18"/>
          <w:szCs w:val="18"/>
        </w:rPr>
        <w:footnoteRef/>
      </w:r>
      <w:r w:rsidRPr="009D0A4D">
        <w:rPr>
          <w:sz w:val="18"/>
          <w:szCs w:val="18"/>
        </w:rPr>
        <w:t xml:space="preserve"> John Hopkins University Data.</w:t>
      </w:r>
    </w:p>
  </w:footnote>
  <w:footnote w:id="3">
    <w:p w14:paraId="6423AC3E" w14:textId="2517CF95" w:rsidR="006B1008" w:rsidRDefault="006B1008">
      <w:pPr>
        <w:pStyle w:val="FootnoteText"/>
      </w:pPr>
      <w:r>
        <w:rPr>
          <w:rStyle w:val="FootnoteReference"/>
        </w:rPr>
        <w:footnoteRef/>
      </w:r>
      <w:r>
        <w:t xml:space="preserve"> The Study will be launched in EAPN’s policy conference on the 14 July.</w:t>
      </w:r>
    </w:p>
  </w:footnote>
  <w:footnote w:id="4">
    <w:p w14:paraId="6E7DDC8E" w14:textId="63C4D2DC" w:rsidR="006B1008" w:rsidRDefault="006B1008">
      <w:pPr>
        <w:pStyle w:val="FootnoteText"/>
      </w:pPr>
      <w:r>
        <w:rPr>
          <w:rStyle w:val="FootnoteReference"/>
        </w:rPr>
        <w:footnoteRef/>
      </w:r>
      <w:r>
        <w:t xml:space="preserve"> See EAPN Positions on European Semester (2010-2020), </w:t>
      </w:r>
      <w:proofErr w:type="spellStart"/>
      <w:r>
        <w:t>eg</w:t>
      </w:r>
      <w:proofErr w:type="spellEnd"/>
      <w:r>
        <w:t xml:space="preserve"> Is the 2019 European Semester more Social? – EAPN Assessment of the European Semester 2019 (September 2019).</w:t>
      </w:r>
    </w:p>
  </w:footnote>
  <w:footnote w:id="5">
    <w:p w14:paraId="67616B71" w14:textId="78D6D457" w:rsidR="006B1008" w:rsidRDefault="006B1008">
      <w:pPr>
        <w:pStyle w:val="FootnoteText"/>
      </w:pPr>
      <w:r>
        <w:rPr>
          <w:rStyle w:val="FootnoteReference"/>
        </w:rPr>
        <w:footnoteRef/>
      </w:r>
      <w:r>
        <w:t xml:space="preserve"> </w:t>
      </w:r>
      <w:hyperlink r:id="rId1" w:history="1">
        <w:r w:rsidRPr="0018347E">
          <w:rPr>
            <w:rStyle w:val="Hyperlink"/>
          </w:rPr>
          <w:t>EU Meetings of People Experiencing Poverty (2011-2019)</w:t>
        </w:r>
      </w:hyperlink>
    </w:p>
  </w:footnote>
  <w:footnote w:id="6">
    <w:p w14:paraId="4390DE0C" w14:textId="762F2CCB" w:rsidR="006B1008" w:rsidRDefault="006B1008">
      <w:pPr>
        <w:pStyle w:val="FootnoteText"/>
      </w:pPr>
      <w:r>
        <w:rPr>
          <w:rStyle w:val="FootnoteReference"/>
        </w:rPr>
        <w:footnoteRef/>
      </w:r>
      <w:r>
        <w:t xml:space="preserve"> EAPN (2019): Delivering Agenda 2030 for people and planet: EAPN Proposals for a post 2020 strategy.</w:t>
      </w:r>
    </w:p>
  </w:footnote>
  <w:footnote w:id="7">
    <w:p w14:paraId="1A584835" w14:textId="77777777" w:rsidR="006B1008" w:rsidRDefault="006B1008" w:rsidP="0050138F">
      <w:pPr>
        <w:pStyle w:val="FootnoteText"/>
      </w:pPr>
      <w:r>
        <w:rPr>
          <w:rStyle w:val="FootnoteReference"/>
        </w:rPr>
        <w:footnoteRef/>
      </w:r>
      <w:r>
        <w:t xml:space="preserve"> See FEANTSA: </w:t>
      </w:r>
      <w:hyperlink r:id="rId2" w:history="1">
        <w:r w:rsidRPr="00ED3C9A">
          <w:rPr>
            <w:rStyle w:val="Hyperlink"/>
          </w:rPr>
          <w:t>www.feantsa.org</w:t>
        </w:r>
      </w:hyperlink>
      <w:r>
        <w:t>:, from rough sleeping to those in emergency accommodation,  overcrowded housing, “hidden homelessness” etc.</w:t>
      </w:r>
    </w:p>
  </w:footnote>
  <w:footnote w:id="8">
    <w:p w14:paraId="2FB4AD89" w14:textId="46251943" w:rsidR="006B1008" w:rsidRDefault="006B1008">
      <w:pPr>
        <w:pStyle w:val="FootnoteText"/>
      </w:pPr>
      <w:r>
        <w:rPr>
          <w:rStyle w:val="FootnoteReference"/>
        </w:rPr>
        <w:footnoteRef/>
      </w:r>
      <w:r>
        <w:t xml:space="preserve"> EAPN (2020): Position Paper on Adequate Income.</w:t>
      </w:r>
    </w:p>
  </w:footnote>
  <w:footnote w:id="9">
    <w:p w14:paraId="42A22A20" w14:textId="77777777" w:rsidR="006B1008" w:rsidRPr="009E4506" w:rsidRDefault="006B1008" w:rsidP="002629D8">
      <w:pPr>
        <w:pStyle w:val="FootnoteText"/>
        <w:rPr>
          <w:sz w:val="18"/>
          <w:szCs w:val="18"/>
        </w:rPr>
      </w:pPr>
      <w:r w:rsidRPr="009E4506">
        <w:rPr>
          <w:rStyle w:val="FootnoteReference"/>
          <w:sz w:val="18"/>
          <w:szCs w:val="18"/>
        </w:rPr>
        <w:footnoteRef/>
      </w:r>
      <w:r w:rsidRPr="009E4506">
        <w:rPr>
          <w:sz w:val="18"/>
          <w:szCs w:val="18"/>
        </w:rPr>
        <w:t xml:space="preserve"> ETUC Position Paper for the Action Plan for the EPSR which has been adopted in October 2019.</w:t>
      </w:r>
    </w:p>
  </w:footnote>
  <w:footnote w:id="10">
    <w:p w14:paraId="747F8185" w14:textId="77777777" w:rsidR="006B1008" w:rsidRDefault="006B1008" w:rsidP="00C7541F">
      <w:pPr>
        <w:pStyle w:val="FootnoteText"/>
      </w:pPr>
      <w:r>
        <w:rPr>
          <w:rStyle w:val="FootnoteReference"/>
        </w:rPr>
        <w:footnoteRef/>
      </w:r>
      <w:r>
        <w:t xml:space="preserve"> FEANTSA www.feantsa.org</w:t>
      </w:r>
    </w:p>
  </w:footnote>
  <w:footnote w:id="11">
    <w:p w14:paraId="5A98C9DE" w14:textId="77777777" w:rsidR="006B1008" w:rsidRDefault="006B1008" w:rsidP="00C7541F">
      <w:pPr>
        <w:pStyle w:val="FootnoteText"/>
      </w:pPr>
      <w:r>
        <w:rPr>
          <w:rStyle w:val="FootnoteReference"/>
        </w:rPr>
        <w:footnoteRef/>
      </w:r>
      <w:r>
        <w:t xml:space="preserve"> See FEANTSA: </w:t>
      </w:r>
      <w:hyperlink r:id="rId3" w:history="1">
        <w:r w:rsidRPr="00ED3C9A">
          <w:rPr>
            <w:rStyle w:val="Hyperlink"/>
          </w:rPr>
          <w:t>www.feantsa.org</w:t>
        </w:r>
      </w:hyperlink>
      <w:r>
        <w:t>:, from rough sleeping to those in emergency accommodation,  overcrowded housing, “hidden homelessness” etc.</w:t>
      </w:r>
    </w:p>
  </w:footnote>
  <w:footnote w:id="12">
    <w:p w14:paraId="79029438" w14:textId="77777777" w:rsidR="006B1008" w:rsidRPr="00151813" w:rsidRDefault="006B1008" w:rsidP="009E1DB0">
      <w:pPr>
        <w:pStyle w:val="FootnoteText"/>
        <w:rPr>
          <w:sz w:val="18"/>
          <w:szCs w:val="18"/>
        </w:rPr>
      </w:pPr>
      <w:r w:rsidRPr="00151813">
        <w:rPr>
          <w:rStyle w:val="FootnoteReference"/>
          <w:sz w:val="18"/>
          <w:szCs w:val="18"/>
        </w:rPr>
        <w:footnoteRef/>
      </w:r>
      <w:r w:rsidRPr="00151813">
        <w:rPr>
          <w:sz w:val="18"/>
          <w:szCs w:val="18"/>
        </w:rPr>
        <w:t xml:space="preserve"> Investing in Children Alliance Joint Statement proposals for a Council Recommendation on the Child Guarantee for the well-being for all children across the EU.</w:t>
      </w:r>
    </w:p>
  </w:footnote>
  <w:footnote w:id="13">
    <w:p w14:paraId="22EB3DF3" w14:textId="59CB7496" w:rsidR="006B1008" w:rsidRDefault="006B1008">
      <w:pPr>
        <w:pStyle w:val="FootnoteText"/>
      </w:pPr>
    </w:p>
  </w:footnote>
  <w:footnote w:id="14">
    <w:p w14:paraId="060A4420" w14:textId="61CEFAEA" w:rsidR="006B1008" w:rsidRDefault="006B1008">
      <w:pPr>
        <w:pStyle w:val="FootnoteText"/>
      </w:pPr>
      <w:r>
        <w:rPr>
          <w:rStyle w:val="FootnoteReference"/>
        </w:rPr>
        <w:footnoteRef/>
      </w:r>
      <w:r>
        <w:t xml:space="preserve"> ETUI (2015) Golden Rule of Public Investment.</w:t>
      </w:r>
    </w:p>
  </w:footnote>
  <w:footnote w:id="15">
    <w:p w14:paraId="7ED56367" w14:textId="4DC850FB" w:rsidR="006B1008" w:rsidRDefault="006B1008">
      <w:pPr>
        <w:pStyle w:val="FootnoteText"/>
      </w:pPr>
      <w:r>
        <w:rPr>
          <w:rStyle w:val="FootnoteReference"/>
        </w:rPr>
        <w:footnoteRef/>
      </w:r>
      <w:r>
        <w:t xml:space="preserve"> EAPN (2019) Financing Social Protection Reflection Paper.</w:t>
      </w:r>
    </w:p>
  </w:footnote>
  <w:footnote w:id="16">
    <w:p w14:paraId="198009B1" w14:textId="3824E3C3" w:rsidR="006B1008" w:rsidRDefault="006B1008">
      <w:pPr>
        <w:pStyle w:val="FootnoteText"/>
      </w:pPr>
      <w:r>
        <w:rPr>
          <w:rStyle w:val="FootnoteReference"/>
        </w:rPr>
        <w:footnoteRef/>
      </w:r>
      <w:r>
        <w:t xml:space="preserve"> EC Communication: Social Europe for a Just Transition (14 January 2020)</w:t>
      </w:r>
    </w:p>
  </w:footnote>
  <w:footnote w:id="17">
    <w:p w14:paraId="05CA0CA0" w14:textId="28CC51AF" w:rsidR="006B1008" w:rsidRDefault="006B1008">
      <w:pPr>
        <w:pStyle w:val="FootnoteText"/>
      </w:pPr>
      <w:r>
        <w:rPr>
          <w:rStyle w:val="FootnoteReference"/>
        </w:rPr>
        <w:footnoteRef/>
      </w:r>
      <w:r>
        <w:t xml:space="preserve"> See FEANTSA: </w:t>
      </w:r>
      <w:hyperlink r:id="rId4" w:history="1">
        <w:r w:rsidRPr="00ED3C9A">
          <w:rPr>
            <w:rStyle w:val="Hyperlink"/>
          </w:rPr>
          <w:t>www.feantsa.org</w:t>
        </w:r>
      </w:hyperlink>
      <w:r>
        <w:t>:, from rough sleeping to those in emergency accommodation,  overcrowded housing, “hidden homelessness” etc.</w:t>
      </w:r>
    </w:p>
  </w:footnote>
  <w:footnote w:id="18">
    <w:p w14:paraId="4EF45AED" w14:textId="77777777" w:rsidR="006B1008" w:rsidRPr="003060BB" w:rsidRDefault="006B1008" w:rsidP="000C46B7">
      <w:pPr>
        <w:pStyle w:val="FootnoteText"/>
      </w:pPr>
      <w:r>
        <w:rPr>
          <w:rStyle w:val="FootnoteReference"/>
        </w:rPr>
        <w:footnoteRef/>
      </w:r>
      <w:r>
        <w:t xml:space="preserve"> </w:t>
      </w:r>
      <w:r w:rsidRPr="00BD5D16">
        <w:rPr>
          <w:rFonts w:cstheme="minorHAnsi"/>
        </w:rPr>
        <w:t xml:space="preserve">This means the Europe 2020 poverty reduction target (20 </w:t>
      </w:r>
      <w:proofErr w:type="spellStart"/>
      <w:r w:rsidRPr="00BD5D16">
        <w:rPr>
          <w:rFonts w:cstheme="minorHAnsi"/>
        </w:rPr>
        <w:t>mio</w:t>
      </w:r>
      <w:proofErr w:type="spellEnd"/>
      <w:r w:rsidRPr="00BD5D16">
        <w:rPr>
          <w:rFonts w:cstheme="minorHAnsi"/>
        </w:rPr>
        <w:t xml:space="preserve">.) </w:t>
      </w:r>
      <w:r>
        <w:rPr>
          <w:rFonts w:cstheme="minorHAnsi"/>
        </w:rPr>
        <w:t xml:space="preserve">is </w:t>
      </w:r>
      <w:r w:rsidRPr="00BD5D16">
        <w:rPr>
          <w:rFonts w:cstheme="minorHAnsi"/>
        </w:rPr>
        <w:t xml:space="preserve">missed by about 14 </w:t>
      </w:r>
      <w:proofErr w:type="spellStart"/>
      <w:r w:rsidRPr="00BD5D16">
        <w:rPr>
          <w:rFonts w:cstheme="minorHAnsi"/>
        </w:rPr>
        <w:t>mio</w:t>
      </w:r>
      <w:proofErr w:type="spellEnd"/>
      <w:r>
        <w:rPr>
          <w:rFonts w:cstheme="minorHAnsi"/>
        </w:rPr>
        <w:t>. as of end of 2018.</w:t>
      </w:r>
    </w:p>
  </w:footnote>
  <w:footnote w:id="19">
    <w:p w14:paraId="1FE1254D" w14:textId="34C1049A" w:rsidR="006B1008" w:rsidRDefault="006B1008">
      <w:pPr>
        <w:pStyle w:val="FootnoteText"/>
      </w:pPr>
      <w:r>
        <w:rPr>
          <w:rStyle w:val="FootnoteReference"/>
        </w:rPr>
        <w:footnoteRef/>
      </w:r>
      <w:r>
        <w:t xml:space="preserve"> In EAPN’s analysis of the CSRs, CSRS are called ‘social’ when they are related to ‘social issues’ , but do not always support social rights, indeed they can often be seen to undermine them </w:t>
      </w:r>
      <w:proofErr w:type="spellStart"/>
      <w:r>
        <w:t>eg</w:t>
      </w:r>
      <w:proofErr w:type="spellEnd"/>
      <w:r>
        <w:t xml:space="preserve"> in the focus on cost effectiveness/efficiencies in health services, social protection. See EAPN </w:t>
      </w:r>
      <w:hyperlink r:id="rId5" w:history="1">
        <w:r w:rsidRPr="000E2560">
          <w:rPr>
            <w:rStyle w:val="Hyperlink"/>
          </w:rPr>
          <w:t>2019 CSR Assessment</w:t>
        </w:r>
      </w:hyperlink>
      <w:r>
        <w:t>.</w:t>
      </w:r>
    </w:p>
  </w:footnote>
  <w:footnote w:id="20">
    <w:p w14:paraId="1CC7E4FE" w14:textId="6E342ADB" w:rsidR="006B1008" w:rsidRPr="003A3990" w:rsidRDefault="006B1008">
      <w:pPr>
        <w:pStyle w:val="FootnoteText"/>
        <w:rPr>
          <w:sz w:val="18"/>
          <w:szCs w:val="18"/>
        </w:rPr>
      </w:pPr>
      <w:r w:rsidRPr="003A3990">
        <w:rPr>
          <w:rStyle w:val="FootnoteReference"/>
          <w:sz w:val="18"/>
          <w:szCs w:val="18"/>
        </w:rPr>
        <w:footnoteRef/>
      </w:r>
      <w:r w:rsidRPr="003A3990">
        <w:rPr>
          <w:sz w:val="18"/>
          <w:szCs w:val="18"/>
        </w:rPr>
        <w:t xml:space="preserve"> EAPN 2010: Is the European Semester 2019 more social: EAPN Assessment of the 2019 European Semester.</w:t>
      </w:r>
    </w:p>
  </w:footnote>
  <w:footnote w:id="21">
    <w:p w14:paraId="65968841" w14:textId="4ACD8231" w:rsidR="006B1008" w:rsidRPr="003A3990" w:rsidRDefault="006B1008">
      <w:pPr>
        <w:pStyle w:val="FootnoteText"/>
        <w:rPr>
          <w:sz w:val="18"/>
          <w:szCs w:val="18"/>
        </w:rPr>
      </w:pPr>
      <w:r w:rsidRPr="003A3990">
        <w:rPr>
          <w:rStyle w:val="FootnoteReference"/>
          <w:sz w:val="18"/>
          <w:szCs w:val="18"/>
        </w:rPr>
        <w:footnoteRef/>
      </w:r>
      <w:r w:rsidRPr="003A3990">
        <w:rPr>
          <w:sz w:val="18"/>
          <w:szCs w:val="18"/>
        </w:rPr>
        <w:t xml:space="preserve"> The European Minimum Income Network (EMIN) is an informal Network of organisations and individuals committed to achieve the progressive realisation of the right to adequate, </w:t>
      </w:r>
      <w:proofErr w:type="gramStart"/>
      <w:r w:rsidRPr="003A3990">
        <w:rPr>
          <w:sz w:val="18"/>
          <w:szCs w:val="18"/>
        </w:rPr>
        <w:t>accessible</w:t>
      </w:r>
      <w:proofErr w:type="gramEnd"/>
      <w:r w:rsidRPr="003A3990">
        <w:rPr>
          <w:sz w:val="18"/>
          <w:szCs w:val="18"/>
        </w:rPr>
        <w:t xml:space="preserve"> and enabling Minimum Income Schemes. The organisations involved include the relevant public authorities, service providers, social partners, academics, policy makers at different levels, NGOs, and fosters the involvement of people who benefit or could benefit from minimum income support. EMIN 1 and 2 received financial support from the </w:t>
      </w:r>
      <w:proofErr w:type="spellStart"/>
      <w:r w:rsidRPr="003A3990">
        <w:rPr>
          <w:sz w:val="18"/>
          <w:szCs w:val="18"/>
        </w:rPr>
        <w:t>EaSI</w:t>
      </w:r>
      <w:proofErr w:type="spellEnd"/>
      <w:r w:rsidRPr="003A3990">
        <w:rPr>
          <w:sz w:val="18"/>
          <w:szCs w:val="18"/>
        </w:rPr>
        <w:t xml:space="preserve"> programme from 2013-2018. See www.eminet.eu</w:t>
      </w:r>
    </w:p>
  </w:footnote>
  <w:footnote w:id="22">
    <w:p w14:paraId="410BBA6C" w14:textId="602CC383" w:rsidR="006B1008" w:rsidRDefault="006B1008">
      <w:pPr>
        <w:pStyle w:val="FootnoteText"/>
      </w:pPr>
      <w:r>
        <w:rPr>
          <w:rStyle w:val="FootnoteReference"/>
        </w:rPr>
        <w:footnoteRef/>
      </w:r>
      <w:r>
        <w:t xml:space="preserve"> EC Joint Employment Report 2020 (December 2019)</w:t>
      </w:r>
    </w:p>
  </w:footnote>
  <w:footnote w:id="23">
    <w:p w14:paraId="45B4920B" w14:textId="6B3AACC9" w:rsidR="006B1008" w:rsidRDefault="006B1008">
      <w:pPr>
        <w:pStyle w:val="FootnoteText"/>
      </w:pPr>
      <w:r>
        <w:rPr>
          <w:rStyle w:val="FootnoteReference"/>
        </w:rPr>
        <w:footnoteRef/>
      </w:r>
      <w:r>
        <w:t xml:space="preserve"> </w:t>
      </w:r>
      <w:hyperlink r:id="rId6" w:history="1">
        <w:r w:rsidRPr="008E2A91">
          <w:rPr>
            <w:rStyle w:val="Hyperlink"/>
          </w:rPr>
          <w:t>WWW.budgeting</w:t>
        </w:r>
        <w:r w:rsidRPr="00ED3C9A">
          <w:rPr>
            <w:rStyle w:val="Hyperlink"/>
          </w:rPr>
          <w:t>.ie</w:t>
        </w:r>
      </w:hyperlink>
      <w:r>
        <w:t xml:space="preserve">. Update report 2019 </w:t>
      </w:r>
    </w:p>
  </w:footnote>
  <w:footnote w:id="24">
    <w:p w14:paraId="138B3B8D" w14:textId="30556743" w:rsidR="006B1008" w:rsidRDefault="006B1008">
      <w:pPr>
        <w:pStyle w:val="FootnoteText"/>
      </w:pPr>
      <w:r>
        <w:rPr>
          <w:rStyle w:val="FootnoteReference"/>
        </w:rPr>
        <w:footnoteRef/>
      </w:r>
      <w:r>
        <w:t xml:space="preserve"> EMIN2 Final Report, December 2018</w:t>
      </w:r>
    </w:p>
  </w:footnote>
  <w:footnote w:id="25">
    <w:p w14:paraId="3B8C64F2" w14:textId="2648AE81" w:rsidR="006B1008" w:rsidRDefault="006B1008">
      <w:pPr>
        <w:pStyle w:val="FootnoteText"/>
      </w:pPr>
      <w:r>
        <w:rPr>
          <w:rStyle w:val="FootnoteReference"/>
        </w:rPr>
        <w:footnoteRef/>
      </w:r>
      <w:r>
        <w:t xml:space="preserve"> EMIN2: Peer Review on Coverage/Take Up, Helsinki (March 2018).</w:t>
      </w:r>
    </w:p>
  </w:footnote>
  <w:footnote w:id="26">
    <w:p w14:paraId="694D34B8" w14:textId="77777777" w:rsidR="006B1008" w:rsidRDefault="006B1008" w:rsidP="00CD7DBE">
      <w:pPr>
        <w:pStyle w:val="FootnoteText"/>
      </w:pPr>
      <w:r>
        <w:rPr>
          <w:rStyle w:val="FootnoteReference"/>
        </w:rPr>
        <w:footnoteRef/>
      </w:r>
      <w:r>
        <w:t xml:space="preserve"> EAPN: Position Paper on Adequate Income (June 2020)</w:t>
      </w:r>
    </w:p>
  </w:footnote>
  <w:footnote w:id="27">
    <w:p w14:paraId="3CD0CDA8" w14:textId="77777777" w:rsidR="006B1008" w:rsidRPr="00BE744A" w:rsidRDefault="006B1008" w:rsidP="00CD7DBE">
      <w:pPr>
        <w:pStyle w:val="FootnoteText"/>
        <w:jc w:val="both"/>
        <w:rPr>
          <w:rFonts w:cstheme="minorHAnsi"/>
          <w:sz w:val="18"/>
          <w:szCs w:val="18"/>
        </w:rPr>
      </w:pPr>
      <w:r w:rsidRPr="00BE744A">
        <w:rPr>
          <w:rStyle w:val="FootnoteReference"/>
          <w:rFonts w:cstheme="minorHAnsi"/>
        </w:rPr>
        <w:footnoteRef/>
      </w:r>
      <w:r w:rsidRPr="00BE744A">
        <w:rPr>
          <w:rFonts w:cstheme="minorHAnsi"/>
          <w:sz w:val="18"/>
          <w:szCs w:val="18"/>
        </w:rPr>
        <w:t xml:space="preserve"> </w:t>
      </w:r>
      <w:r>
        <w:rPr>
          <w:rFonts w:cstheme="minorHAnsi"/>
          <w:sz w:val="18"/>
          <w:szCs w:val="18"/>
        </w:rPr>
        <w:t xml:space="preserve">Monitoring </w:t>
      </w:r>
      <w:r w:rsidRPr="00BE744A">
        <w:rPr>
          <w:rFonts w:eastAsia="Times New Roman" w:cstheme="minorHAnsi"/>
          <w:sz w:val="18"/>
          <w:szCs w:val="18"/>
          <w:lang w:eastAsia="en-GB"/>
        </w:rPr>
        <w:t xml:space="preserve">“Enabling” </w:t>
      </w:r>
      <w:r>
        <w:rPr>
          <w:rFonts w:eastAsia="Times New Roman" w:cstheme="minorHAnsi"/>
          <w:sz w:val="18"/>
          <w:szCs w:val="18"/>
          <w:lang w:eastAsia="en-GB"/>
        </w:rPr>
        <w:t xml:space="preserve">support </w:t>
      </w:r>
      <w:r w:rsidRPr="00BE744A">
        <w:rPr>
          <w:rFonts w:eastAsia="Times New Roman" w:cstheme="minorHAnsi"/>
          <w:sz w:val="18"/>
          <w:szCs w:val="18"/>
          <w:lang w:eastAsia="en-GB"/>
        </w:rPr>
        <w:t>implies that beneficiaries of MIS are actively involved in the assessment of</w:t>
      </w:r>
      <w:r>
        <w:rPr>
          <w:rFonts w:eastAsia="Times New Roman" w:cstheme="minorHAnsi"/>
          <w:sz w:val="18"/>
          <w:szCs w:val="18"/>
          <w:lang w:eastAsia="en-GB"/>
        </w:rPr>
        <w:t xml:space="preserve"> their </w:t>
      </w:r>
      <w:r w:rsidRPr="00BE744A">
        <w:rPr>
          <w:rFonts w:eastAsia="Times New Roman" w:cstheme="minorHAnsi"/>
          <w:sz w:val="18"/>
          <w:szCs w:val="18"/>
          <w:lang w:eastAsia="en-GB"/>
        </w:rPr>
        <w:t xml:space="preserve">benefits and their long-term impact on social participation, education, vocational </w:t>
      </w:r>
      <w:proofErr w:type="gramStart"/>
      <w:r w:rsidRPr="00BE744A">
        <w:rPr>
          <w:rFonts w:eastAsia="Times New Roman" w:cstheme="minorHAnsi"/>
          <w:sz w:val="18"/>
          <w:szCs w:val="18"/>
          <w:lang w:eastAsia="en-GB"/>
        </w:rPr>
        <w:t>training</w:t>
      </w:r>
      <w:proofErr w:type="gramEnd"/>
      <w:r w:rsidRPr="00BE744A">
        <w:rPr>
          <w:rFonts w:eastAsia="Times New Roman" w:cstheme="minorHAnsi"/>
          <w:sz w:val="18"/>
          <w:szCs w:val="18"/>
          <w:lang w:eastAsia="en-GB"/>
        </w:rPr>
        <w:t xml:space="preserve"> and lifelong learning as well as access to sustainable, quality jobs.</w:t>
      </w:r>
    </w:p>
  </w:footnote>
  <w:footnote w:id="28">
    <w:p w14:paraId="316E7322" w14:textId="77777777" w:rsidR="006B1008" w:rsidRPr="00BE744A" w:rsidRDefault="006B1008" w:rsidP="00CD7DBE">
      <w:pPr>
        <w:pStyle w:val="FootnoteText"/>
        <w:jc w:val="both"/>
        <w:rPr>
          <w:rFonts w:cstheme="minorHAnsi"/>
          <w:sz w:val="18"/>
          <w:szCs w:val="18"/>
        </w:rPr>
      </w:pPr>
      <w:r w:rsidRPr="00BE744A">
        <w:rPr>
          <w:rStyle w:val="FootnoteReference"/>
          <w:rFonts w:cstheme="minorHAnsi"/>
        </w:rPr>
        <w:footnoteRef/>
      </w:r>
      <w:r w:rsidRPr="00BE744A">
        <w:rPr>
          <w:rFonts w:cstheme="minorHAnsi"/>
          <w:sz w:val="18"/>
          <w:szCs w:val="18"/>
        </w:rPr>
        <w:t xml:space="preserve"> </w:t>
      </w:r>
      <w:r w:rsidRPr="00BE744A">
        <w:rPr>
          <w:rFonts w:eastAsia="Times New Roman" w:cstheme="minorHAnsi"/>
          <w:sz w:val="18"/>
          <w:szCs w:val="18"/>
          <w:lang w:eastAsia="en-GB"/>
        </w:rPr>
        <w:t>Other key areas for research include the issues of non-take up of MI benefits, smoothing transitions between MI and unemployment benefits, the removal of disincentives to MIS to ensure that people do not fall through the net.</w:t>
      </w:r>
    </w:p>
  </w:footnote>
  <w:footnote w:id="29">
    <w:p w14:paraId="7543B5AB" w14:textId="77777777" w:rsidR="006B1008" w:rsidRPr="00BE744A" w:rsidRDefault="006B1008" w:rsidP="00CD7DBE">
      <w:pPr>
        <w:pStyle w:val="FootnoteText"/>
        <w:jc w:val="both"/>
        <w:rPr>
          <w:rFonts w:cstheme="minorHAnsi"/>
          <w:sz w:val="18"/>
          <w:szCs w:val="18"/>
        </w:rPr>
      </w:pPr>
      <w:r w:rsidRPr="00BE744A">
        <w:rPr>
          <w:rStyle w:val="FootnoteReference"/>
          <w:rFonts w:cstheme="minorHAnsi"/>
        </w:rPr>
        <w:footnoteRef/>
      </w:r>
      <w:r w:rsidRPr="00BE744A">
        <w:rPr>
          <w:rFonts w:cstheme="minorHAnsi"/>
          <w:sz w:val="18"/>
          <w:szCs w:val="18"/>
        </w:rPr>
        <w:t xml:space="preserve"> See </w:t>
      </w:r>
      <w:hyperlink r:id="rId7" w:history="1">
        <w:r w:rsidRPr="00BE744A">
          <w:rPr>
            <w:rStyle w:val="Hyperlink"/>
            <w:rFonts w:cstheme="minorHAnsi"/>
            <w:sz w:val="18"/>
            <w:szCs w:val="18"/>
          </w:rPr>
          <w:t>EESC own-initiative opinion for a “European Framework directive on a Minimum Income”</w:t>
        </w:r>
      </w:hyperlink>
      <w:r w:rsidRPr="00BE744A">
        <w:rPr>
          <w:rFonts w:cstheme="minorHAnsi"/>
          <w:sz w:val="18"/>
          <w:szCs w:val="18"/>
        </w:rPr>
        <w:t xml:space="preserve"> (SOC/584), adopted on 20.02.19.</w:t>
      </w:r>
    </w:p>
  </w:footnote>
  <w:footnote w:id="30">
    <w:p w14:paraId="419D448D" w14:textId="77777777" w:rsidR="006B1008" w:rsidRPr="00BE744A" w:rsidRDefault="006B1008" w:rsidP="00CD7DBE">
      <w:pPr>
        <w:pStyle w:val="FootnoteText"/>
        <w:jc w:val="both"/>
        <w:rPr>
          <w:rFonts w:cstheme="minorHAnsi"/>
          <w:sz w:val="18"/>
          <w:szCs w:val="18"/>
        </w:rPr>
      </w:pPr>
      <w:r w:rsidRPr="00BE744A">
        <w:rPr>
          <w:rStyle w:val="FootnoteReference"/>
          <w:rFonts w:cstheme="minorHAnsi"/>
        </w:rPr>
        <w:footnoteRef/>
      </w:r>
      <w:r w:rsidRPr="00BE744A">
        <w:rPr>
          <w:rFonts w:cstheme="minorHAnsi"/>
          <w:sz w:val="18"/>
          <w:szCs w:val="18"/>
        </w:rPr>
        <w:t xml:space="preserve"> Cf. </w:t>
      </w:r>
      <w:hyperlink r:id="rId8" w:history="1">
        <w:r w:rsidRPr="00BE744A">
          <w:rPr>
            <w:rStyle w:val="Hyperlink"/>
            <w:rFonts w:cstheme="minorHAnsi"/>
            <w:sz w:val="18"/>
            <w:szCs w:val="18"/>
          </w:rPr>
          <w:t>Synthesis Report EMIN 1 Project</w:t>
        </w:r>
      </w:hyperlink>
      <w:r w:rsidRPr="00BE744A">
        <w:rPr>
          <w:rFonts w:cstheme="minorHAnsi"/>
          <w:sz w:val="18"/>
          <w:szCs w:val="18"/>
        </w:rPr>
        <w:t xml:space="preserve"> (January 2015) and</w:t>
      </w:r>
      <w:r w:rsidRPr="00BE744A">
        <w:rPr>
          <w:rFonts w:cstheme="minorHAnsi"/>
          <w:sz w:val="18"/>
          <w:szCs w:val="18"/>
          <w:lang w:val="en-US"/>
        </w:rPr>
        <w:t xml:space="preserve"> </w:t>
      </w:r>
      <w:hyperlink r:id="rId9" w:history="1">
        <w:r w:rsidRPr="00BE744A">
          <w:rPr>
            <w:rStyle w:val="Hyperlink"/>
            <w:rFonts w:cstheme="minorHAnsi"/>
            <w:sz w:val="18"/>
            <w:szCs w:val="18"/>
            <w:lang w:val="en-US"/>
          </w:rPr>
          <w:t>Final Report EMIN 2 Project</w:t>
        </w:r>
      </w:hyperlink>
      <w:r w:rsidRPr="00BE744A">
        <w:rPr>
          <w:rFonts w:cstheme="minorHAnsi"/>
          <w:sz w:val="18"/>
          <w:szCs w:val="18"/>
          <w:lang w:val="en-US"/>
        </w:rPr>
        <w:t xml:space="preserve"> (December 2018)</w:t>
      </w:r>
    </w:p>
  </w:footnote>
  <w:footnote w:id="31">
    <w:p w14:paraId="12EE33EA" w14:textId="741CD318" w:rsidR="006B1008" w:rsidRDefault="006B1008">
      <w:pPr>
        <w:pStyle w:val="FootnoteText"/>
      </w:pPr>
      <w:r>
        <w:rPr>
          <w:rStyle w:val="FootnoteReference"/>
        </w:rPr>
        <w:footnoteRef/>
      </w:r>
      <w:r>
        <w:t xml:space="preserve"> EAPN: Is the European Semester more social? EAPN assessment of the European Semester 2019 (Sept 2019).</w:t>
      </w:r>
    </w:p>
  </w:footnote>
  <w:footnote w:id="32">
    <w:p w14:paraId="472450A4" w14:textId="3AFBA8B9" w:rsidR="006B1008" w:rsidRPr="009E4506" w:rsidRDefault="006B1008">
      <w:pPr>
        <w:pStyle w:val="FootnoteText"/>
        <w:rPr>
          <w:sz w:val="18"/>
          <w:szCs w:val="18"/>
        </w:rPr>
      </w:pPr>
      <w:r w:rsidRPr="00B85E63">
        <w:rPr>
          <w:rStyle w:val="FootnoteReference"/>
          <w:sz w:val="18"/>
          <w:szCs w:val="18"/>
        </w:rPr>
        <w:footnoteRef/>
      </w:r>
      <w:r w:rsidRPr="00B85E63">
        <w:rPr>
          <w:sz w:val="18"/>
          <w:szCs w:val="18"/>
        </w:rPr>
        <w:t xml:space="preserve"> </w:t>
      </w:r>
      <w:r w:rsidRPr="009E4506">
        <w:rPr>
          <w:sz w:val="18"/>
          <w:szCs w:val="18"/>
        </w:rPr>
        <w:t>EAPN: The Future of Work: labour market trends and their implications for risks of poverty and social exclusion.</w:t>
      </w:r>
    </w:p>
  </w:footnote>
  <w:footnote w:id="33">
    <w:p w14:paraId="18FACE07" w14:textId="4B6E83B7" w:rsidR="006B1008" w:rsidRPr="009E4506" w:rsidRDefault="006B1008">
      <w:pPr>
        <w:pStyle w:val="FootnoteText"/>
        <w:rPr>
          <w:sz w:val="18"/>
          <w:szCs w:val="18"/>
        </w:rPr>
      </w:pPr>
      <w:r w:rsidRPr="009E4506">
        <w:rPr>
          <w:rStyle w:val="FootnoteReference"/>
          <w:sz w:val="18"/>
          <w:szCs w:val="18"/>
        </w:rPr>
        <w:footnoteRef/>
      </w:r>
      <w:r w:rsidRPr="009E4506">
        <w:rPr>
          <w:sz w:val="18"/>
          <w:szCs w:val="18"/>
        </w:rPr>
        <w:t xml:space="preserve"> EAPN: Financing Social Protection Reflection Paper (2018)</w:t>
      </w:r>
    </w:p>
  </w:footnote>
  <w:footnote w:id="34">
    <w:p w14:paraId="69A6008B" w14:textId="4608002E" w:rsidR="006B1008" w:rsidRPr="009E4506" w:rsidRDefault="006B1008">
      <w:pPr>
        <w:pStyle w:val="FootnoteText"/>
        <w:rPr>
          <w:sz w:val="18"/>
          <w:szCs w:val="18"/>
        </w:rPr>
      </w:pPr>
      <w:r w:rsidRPr="009E4506">
        <w:rPr>
          <w:rStyle w:val="FootnoteReference"/>
          <w:sz w:val="18"/>
          <w:szCs w:val="18"/>
        </w:rPr>
        <w:footnoteRef/>
      </w:r>
      <w:r w:rsidRPr="009E4506">
        <w:rPr>
          <w:sz w:val="18"/>
          <w:szCs w:val="18"/>
        </w:rPr>
        <w:t xml:space="preserve"> EAPN: Delivering Agenda 2030 for People and Planet: EAPN proposals for a post Europe 2020 strategy.</w:t>
      </w:r>
    </w:p>
  </w:footnote>
  <w:footnote w:id="35">
    <w:p w14:paraId="6ED55113" w14:textId="7A65F775" w:rsidR="006B1008" w:rsidRPr="00B85E63" w:rsidRDefault="006B1008">
      <w:pPr>
        <w:pStyle w:val="FootnoteText"/>
        <w:rPr>
          <w:sz w:val="18"/>
          <w:szCs w:val="18"/>
        </w:rPr>
      </w:pPr>
      <w:r w:rsidRPr="00B85E63">
        <w:rPr>
          <w:rStyle w:val="FootnoteReference"/>
          <w:sz w:val="18"/>
          <w:szCs w:val="18"/>
        </w:rPr>
        <w:footnoteRef/>
      </w:r>
      <w:r w:rsidRPr="00B85E63">
        <w:rPr>
          <w:sz w:val="18"/>
          <w:szCs w:val="18"/>
        </w:rPr>
        <w:t xml:space="preserve"> For </w:t>
      </w:r>
      <w:proofErr w:type="gramStart"/>
      <w:r w:rsidRPr="00B85E63">
        <w:rPr>
          <w:sz w:val="18"/>
          <w:szCs w:val="18"/>
        </w:rPr>
        <w:t>example</w:t>
      </w:r>
      <w:proofErr w:type="gramEnd"/>
      <w:r w:rsidRPr="00B85E63">
        <w:rPr>
          <w:sz w:val="18"/>
          <w:szCs w:val="18"/>
        </w:rPr>
        <w:t xml:space="preserve"> in Finland: “Delicacy Tax’, taxing unhealthy products high in sugar/unsaturated fats etc.</w:t>
      </w:r>
    </w:p>
  </w:footnote>
  <w:footnote w:id="36">
    <w:p w14:paraId="528783AA" w14:textId="12195C99" w:rsidR="006B1008" w:rsidRPr="009E4506" w:rsidRDefault="006B1008">
      <w:pPr>
        <w:pStyle w:val="FootnoteText"/>
        <w:rPr>
          <w:sz w:val="18"/>
          <w:szCs w:val="18"/>
        </w:rPr>
      </w:pPr>
      <w:r w:rsidRPr="009E4506">
        <w:rPr>
          <w:rStyle w:val="FootnoteReference"/>
          <w:sz w:val="18"/>
          <w:szCs w:val="18"/>
        </w:rPr>
        <w:footnoteRef/>
      </w:r>
      <w:r w:rsidRPr="009E4506">
        <w:rPr>
          <w:sz w:val="18"/>
          <w:szCs w:val="18"/>
        </w:rPr>
        <w:t xml:space="preserve"> ETUC Position Paper for the Action Plan for the EPSR which has been adopted in October 2019.</w:t>
      </w:r>
    </w:p>
  </w:footnote>
  <w:footnote w:id="37">
    <w:p w14:paraId="7A577337" w14:textId="77777777" w:rsidR="006B1008" w:rsidRPr="00DC688C" w:rsidRDefault="006B1008" w:rsidP="00C25F91">
      <w:pPr>
        <w:pStyle w:val="FootnoteText"/>
        <w:rPr>
          <w:rFonts w:cstheme="minorHAnsi"/>
          <w:lang w:val="en-US"/>
        </w:rPr>
      </w:pPr>
      <w:r w:rsidRPr="00DC688C">
        <w:rPr>
          <w:rStyle w:val="FootnoteReference"/>
          <w:rFonts w:cstheme="minorHAnsi"/>
        </w:rPr>
        <w:footnoteRef/>
      </w:r>
      <w:r w:rsidRPr="00DC688C">
        <w:rPr>
          <w:rFonts w:cstheme="minorHAnsi"/>
          <w:lang w:val="en-US"/>
        </w:rPr>
        <w:t xml:space="preserve"> In line with the </w:t>
      </w:r>
      <w:hyperlink r:id="rId10" w:history="1">
        <w:r w:rsidRPr="00DC688C">
          <w:rPr>
            <w:rStyle w:val="Hyperlink"/>
            <w:rFonts w:cstheme="minorHAnsi"/>
            <w:lang w:val="en-US"/>
          </w:rPr>
          <w:t>ILO Decent Work concept, principles and agenda</w:t>
        </w:r>
      </w:hyperlink>
      <w:r w:rsidRPr="00DC688C">
        <w:rPr>
          <w:rFonts w:cstheme="minorHAnsi"/>
          <w:lang w:val="en-US"/>
        </w:rPr>
        <w:t>.</w:t>
      </w:r>
    </w:p>
  </w:footnote>
  <w:footnote w:id="38">
    <w:p w14:paraId="07EC0F01" w14:textId="77777777" w:rsidR="006B1008" w:rsidRPr="00E64AAB" w:rsidRDefault="006B1008" w:rsidP="00C25F91">
      <w:pPr>
        <w:pStyle w:val="FootnoteText"/>
        <w:jc w:val="both"/>
      </w:pPr>
      <w:r>
        <w:rPr>
          <w:rStyle w:val="FootnoteReference"/>
        </w:rPr>
        <w:footnoteRef/>
      </w:r>
      <w:r w:rsidRPr="00E64AAB">
        <w:t xml:space="preserve"> </w:t>
      </w:r>
      <w:r>
        <w:t xml:space="preserve">The other key issues covered comprise </w:t>
      </w:r>
      <w:r w:rsidRPr="00E64AAB">
        <w:t>employment rights, social protection, quality working conditions and working environment, the reconciliation of private and professional life, the right to participate in collective bargaining and social dialogue, protection against discrimination, access to training and personal development, progression in work, and job satisfaction</w:t>
      </w:r>
      <w:r>
        <w:t>.</w:t>
      </w:r>
    </w:p>
  </w:footnote>
  <w:footnote w:id="39">
    <w:p w14:paraId="06083CF5" w14:textId="77777777" w:rsidR="006B1008" w:rsidRDefault="006B1008" w:rsidP="00C25F91">
      <w:pPr>
        <w:pStyle w:val="FootnoteText"/>
      </w:pPr>
      <w:r>
        <w:rPr>
          <w:rStyle w:val="FootnoteReference"/>
        </w:rPr>
        <w:footnoteRef/>
      </w:r>
      <w:r>
        <w:t xml:space="preserve"> Joint Employment Report 2020.</w:t>
      </w:r>
    </w:p>
  </w:footnote>
  <w:footnote w:id="40">
    <w:p w14:paraId="05174133" w14:textId="77777777" w:rsidR="006B1008" w:rsidRDefault="006B1008" w:rsidP="00C25F91">
      <w:pPr>
        <w:pStyle w:val="FootnoteText"/>
      </w:pPr>
      <w:r>
        <w:rPr>
          <w:rStyle w:val="FootnoteReference"/>
        </w:rPr>
        <w:footnoteRef/>
      </w:r>
      <w:r>
        <w:t xml:space="preserve"> JER 2020 and Employment and Social Development Outlook 2019</w:t>
      </w:r>
    </w:p>
  </w:footnote>
  <w:footnote w:id="41">
    <w:p w14:paraId="682CEBDC" w14:textId="77777777" w:rsidR="006B1008" w:rsidRDefault="006B1008" w:rsidP="00C25F91">
      <w:pPr>
        <w:pStyle w:val="FootnoteText"/>
      </w:pPr>
      <w:r>
        <w:rPr>
          <w:rStyle w:val="FootnoteReference"/>
        </w:rPr>
        <w:footnoteRef/>
      </w:r>
      <w:r>
        <w:t xml:space="preserve"> See EAPN monitoring of Employment developments through the Semester Assessments </w:t>
      </w:r>
      <w:proofErr w:type="spellStart"/>
      <w:r>
        <w:t>eg</w:t>
      </w:r>
      <w:proofErr w:type="spellEnd"/>
      <w:r>
        <w:t xml:space="preserve"> Is the European Semester more Social/ Sept 2019.</w:t>
      </w:r>
    </w:p>
  </w:footnote>
  <w:footnote w:id="42">
    <w:p w14:paraId="1E6148D1" w14:textId="77777777" w:rsidR="006B1008" w:rsidRDefault="006B1008" w:rsidP="00C25F91">
      <w:pPr>
        <w:pStyle w:val="FootnoteText"/>
      </w:pPr>
      <w:r>
        <w:rPr>
          <w:rStyle w:val="FootnoteReference"/>
        </w:rPr>
        <w:footnoteRef/>
      </w:r>
      <w:r>
        <w:t xml:space="preserve"> </w:t>
      </w:r>
      <w:hyperlink r:id="rId11" w:history="1">
        <w:r w:rsidRPr="000D6066">
          <w:rPr>
            <w:rStyle w:val="Hyperlink"/>
          </w:rPr>
          <w:t>ETUC response to 1</w:t>
        </w:r>
        <w:r w:rsidRPr="000D6066">
          <w:rPr>
            <w:rStyle w:val="Hyperlink"/>
            <w:vertAlign w:val="superscript"/>
          </w:rPr>
          <w:t>st</w:t>
        </w:r>
        <w:r w:rsidRPr="000D6066">
          <w:rPr>
            <w:rStyle w:val="Hyperlink"/>
          </w:rPr>
          <w:t xml:space="preserve"> phase consultation on fair minimum wages (2020</w:t>
        </w:r>
      </w:hyperlink>
      <w:r>
        <w:t>)</w:t>
      </w:r>
    </w:p>
  </w:footnote>
  <w:footnote w:id="43">
    <w:p w14:paraId="15333100" w14:textId="77777777" w:rsidR="006B1008" w:rsidRDefault="006B1008" w:rsidP="00C25F91">
      <w:pPr>
        <w:pStyle w:val="FootnoteText"/>
      </w:pPr>
      <w:r>
        <w:rPr>
          <w:rStyle w:val="FootnoteReference"/>
        </w:rPr>
        <w:footnoteRef/>
      </w:r>
      <w:r>
        <w:t xml:space="preserve"> See EAPN European Semester assessments including of the CSRs, NRPs, AGS 2019.</w:t>
      </w:r>
    </w:p>
  </w:footnote>
  <w:footnote w:id="44">
    <w:p w14:paraId="67EB93E1" w14:textId="77777777" w:rsidR="006B1008" w:rsidRDefault="006B1008" w:rsidP="00C25F91">
      <w:pPr>
        <w:pStyle w:val="FootnoteText"/>
      </w:pPr>
      <w:r>
        <w:rPr>
          <w:rStyle w:val="FootnoteReference"/>
        </w:rPr>
        <w:footnoteRef/>
      </w:r>
      <w:r>
        <w:t xml:space="preserve"> See EAPN Living Wage Campaign and </w:t>
      </w:r>
      <w:hyperlink r:id="rId12" w:history="1">
        <w:r w:rsidRPr="00E35E9D">
          <w:rPr>
            <w:rStyle w:val="Hyperlink"/>
          </w:rPr>
          <w:t>2 pager on living wage</w:t>
        </w:r>
      </w:hyperlink>
    </w:p>
  </w:footnote>
  <w:footnote w:id="45">
    <w:p w14:paraId="5395187F" w14:textId="77777777" w:rsidR="006B1008" w:rsidRDefault="006B1008" w:rsidP="00C25F91">
      <w:pPr>
        <w:pStyle w:val="FootnoteText"/>
      </w:pPr>
      <w:r>
        <w:rPr>
          <w:rStyle w:val="FootnoteReference"/>
        </w:rPr>
        <w:footnoteRef/>
      </w:r>
      <w:r>
        <w:t xml:space="preserve"> See Vincent Partnership for Social Justice: Minimum Essential Standard of Living (MESL) – Update report 2019 at www. Budgeting.ie</w:t>
      </w:r>
    </w:p>
  </w:footnote>
  <w:footnote w:id="46">
    <w:p w14:paraId="19D9A059" w14:textId="77777777" w:rsidR="006B1008" w:rsidRPr="00DC688C" w:rsidRDefault="006B1008" w:rsidP="00C25F91">
      <w:pPr>
        <w:pStyle w:val="FootnoteText"/>
        <w:jc w:val="both"/>
        <w:rPr>
          <w:rFonts w:cstheme="minorHAnsi"/>
          <w:lang w:val="en-US"/>
        </w:rPr>
      </w:pPr>
      <w:r w:rsidRPr="00DC688C">
        <w:rPr>
          <w:rStyle w:val="FootnoteReference"/>
          <w:rFonts w:cstheme="minorHAnsi"/>
        </w:rPr>
        <w:footnoteRef/>
      </w:r>
      <w:r w:rsidRPr="00DC688C">
        <w:rPr>
          <w:rFonts w:cstheme="minorHAnsi"/>
          <w:lang w:val="en-US"/>
        </w:rPr>
        <w:t xml:space="preserve"> See </w:t>
      </w:r>
      <w:hyperlink r:id="rId13" w:history="1">
        <w:r w:rsidRPr="00DC688C">
          <w:rPr>
            <w:rStyle w:val="Hyperlink"/>
            <w:rFonts w:cstheme="minorHAnsi"/>
            <w:lang w:val="en-US"/>
          </w:rPr>
          <w:t>here</w:t>
        </w:r>
      </w:hyperlink>
      <w:r w:rsidRPr="00DC688C">
        <w:rPr>
          <w:rFonts w:cstheme="minorHAnsi"/>
          <w:lang w:val="en-US"/>
        </w:rPr>
        <w:t xml:space="preserve"> the relevant EUROSTAT definitions, used </w:t>
      </w:r>
      <w:proofErr w:type="spellStart"/>
      <w:r>
        <w:rPr>
          <w:rFonts w:cstheme="minorHAnsi"/>
          <w:lang w:val="en-US"/>
        </w:rPr>
        <w:t>i.a.</w:t>
      </w:r>
      <w:proofErr w:type="spellEnd"/>
      <w:r>
        <w:rPr>
          <w:rFonts w:cstheme="minorHAnsi"/>
          <w:lang w:val="en-US"/>
        </w:rPr>
        <w:t xml:space="preserve"> </w:t>
      </w:r>
      <w:r w:rsidRPr="00DC688C">
        <w:rPr>
          <w:rFonts w:cstheme="minorHAnsi"/>
          <w:lang w:val="en-US"/>
        </w:rPr>
        <w:t>in the context of the Europe 2020 Strategy</w:t>
      </w:r>
      <w:r>
        <w:rPr>
          <w:rFonts w:cstheme="minorHAnsi"/>
          <w:lang w:val="en-US"/>
        </w:rPr>
        <w:t xml:space="preserve"> and</w:t>
      </w:r>
      <w:r w:rsidRPr="00DC688C">
        <w:rPr>
          <w:rFonts w:cstheme="minorHAnsi"/>
          <w:lang w:val="en-US"/>
        </w:rPr>
        <w:t xml:space="preserve"> the European Semester, </w:t>
      </w:r>
      <w:r>
        <w:rPr>
          <w:rFonts w:cstheme="minorHAnsi"/>
          <w:lang w:val="en-US"/>
        </w:rPr>
        <w:t>but also in</w:t>
      </w:r>
      <w:r w:rsidRPr="00DC688C">
        <w:rPr>
          <w:rFonts w:cstheme="minorHAnsi"/>
          <w:lang w:val="en-US"/>
        </w:rPr>
        <w:t xml:space="preserve"> the annual EC Employment and Social Development Reports (here for </w:t>
      </w:r>
      <w:hyperlink r:id="rId14" w:history="1">
        <w:r w:rsidRPr="00DC688C">
          <w:rPr>
            <w:rStyle w:val="Hyperlink"/>
            <w:rFonts w:cstheme="minorHAnsi"/>
            <w:lang w:val="en-US"/>
          </w:rPr>
          <w:t>2019</w:t>
        </w:r>
      </w:hyperlink>
      <w:r w:rsidRPr="00DC688C">
        <w:rPr>
          <w:rFonts w:cstheme="minorHAnsi"/>
          <w:lang w:val="en-US"/>
        </w:rPr>
        <w:t>)</w:t>
      </w:r>
      <w:r>
        <w:rPr>
          <w:rFonts w:cstheme="minorHAnsi"/>
          <w:lang w:val="en-US"/>
        </w:rPr>
        <w:t>.</w:t>
      </w:r>
    </w:p>
  </w:footnote>
  <w:footnote w:id="47">
    <w:p w14:paraId="4F3868EB" w14:textId="77777777" w:rsidR="006B1008" w:rsidRPr="000544E1" w:rsidRDefault="006B1008" w:rsidP="000544E1">
      <w:pPr>
        <w:pStyle w:val="FootnoteText"/>
        <w:jc w:val="both"/>
      </w:pPr>
      <w:r w:rsidRPr="0020529A">
        <w:rPr>
          <w:rStyle w:val="FootnoteReference"/>
          <w:sz w:val="18"/>
          <w:szCs w:val="18"/>
        </w:rPr>
        <w:footnoteRef/>
      </w:r>
      <w:r w:rsidRPr="0020529A">
        <w:rPr>
          <w:sz w:val="18"/>
          <w:szCs w:val="18"/>
        </w:rPr>
        <w:t xml:space="preserve"> Communication from the Commission on a Commission Recommendation on the active inclusion of people excluded from the labour market, COM/2008/0639 final, 3 October 2008, </w:t>
      </w:r>
      <w:hyperlink r:id="rId15" w:history="1">
        <w:r w:rsidRPr="0020529A">
          <w:rPr>
            <w:rStyle w:val="Hyperlink"/>
            <w:sz w:val="18"/>
            <w:szCs w:val="18"/>
          </w:rPr>
          <w:t>https://eur-lex.europa.eu/legal-content/EN/ALL/?uri=CELEX:52008DC0639</w:t>
        </w:r>
      </w:hyperlink>
      <w:r w:rsidRPr="0020529A">
        <w:rPr>
          <w:sz w:val="18"/>
          <w:szCs w:val="18"/>
        </w:rPr>
        <w:t>, and Commission Recommendation o</w:t>
      </w:r>
      <w:r w:rsidRPr="0020529A">
        <w:rPr>
          <w:sz w:val="18"/>
          <w:szCs w:val="18"/>
          <w:shd w:val="clear" w:color="auto" w:fill="FFFFFF"/>
        </w:rPr>
        <w:t>n the active inclusion of people</w:t>
      </w:r>
      <w:r w:rsidRPr="000544E1">
        <w:rPr>
          <w:shd w:val="clear" w:color="auto" w:fill="FFFFFF"/>
        </w:rPr>
        <w:t xml:space="preserve"> excluded from the labour market (2008/867/EC)</w:t>
      </w:r>
      <w:r w:rsidRPr="000544E1">
        <w:t xml:space="preserve">, 3 October 2008, </w:t>
      </w:r>
      <w:hyperlink r:id="rId16" w:history="1">
        <w:r w:rsidRPr="000544E1">
          <w:rPr>
            <w:rStyle w:val="Hyperlink"/>
          </w:rPr>
          <w:t>https://eur-lex.europa.eu/legal-content/EN/ALL/?uri=CELEX:32008H0867</w:t>
        </w:r>
      </w:hyperlink>
    </w:p>
  </w:footnote>
  <w:footnote w:id="48">
    <w:p w14:paraId="3121B446" w14:textId="45F52B10" w:rsidR="006B1008" w:rsidRDefault="006B1008">
      <w:pPr>
        <w:pStyle w:val="FootnoteText"/>
      </w:pPr>
      <w:r>
        <w:rPr>
          <w:rStyle w:val="FootnoteReference"/>
        </w:rPr>
        <w:footnoteRef/>
      </w:r>
      <w:r>
        <w:t xml:space="preserve"> EAPN: Nobody left behind: ensuring access for all to affordable, quality housing and public health services.</w:t>
      </w:r>
    </w:p>
  </w:footnote>
  <w:footnote w:id="49">
    <w:p w14:paraId="69C2A73A" w14:textId="185AD8C8" w:rsidR="006B1008" w:rsidRDefault="006B1008">
      <w:pPr>
        <w:pStyle w:val="FootnoteText"/>
      </w:pPr>
      <w:r>
        <w:rPr>
          <w:rStyle w:val="FootnoteReference"/>
        </w:rPr>
        <w:footnoteRef/>
      </w:r>
      <w:r>
        <w:t xml:space="preserve"> Right2Energy </w:t>
      </w:r>
      <w:hyperlink r:id="rId17" w:history="1">
        <w:r w:rsidRPr="00D43706">
          <w:rPr>
            <w:rStyle w:val="Hyperlink"/>
          </w:rPr>
          <w:t>Coalition: Statement on Green Deal:</w:t>
        </w:r>
      </w:hyperlink>
      <w:r>
        <w:t xml:space="preserve"> </w:t>
      </w:r>
    </w:p>
  </w:footnote>
  <w:footnote w:id="50">
    <w:p w14:paraId="2BFE092B" w14:textId="23BC6A03" w:rsidR="006B1008" w:rsidRDefault="006B1008">
      <w:pPr>
        <w:pStyle w:val="FootnoteText"/>
      </w:pPr>
      <w:r>
        <w:rPr>
          <w:rStyle w:val="FootnoteReference"/>
        </w:rPr>
        <w:footnoteRef/>
      </w:r>
      <w:r>
        <w:t xml:space="preserve"> EP with EAPN: </w:t>
      </w:r>
      <w:hyperlink r:id="rId18" w:history="1">
        <w:r w:rsidRPr="00B64BEB">
          <w:rPr>
            <w:rStyle w:val="Hyperlink"/>
          </w:rPr>
          <w:t>Energy Poverty Handbook</w:t>
        </w:r>
      </w:hyperlink>
    </w:p>
  </w:footnote>
  <w:footnote w:id="51">
    <w:p w14:paraId="5F082816" w14:textId="3DDA0C41" w:rsidR="006B1008" w:rsidRDefault="006B1008">
      <w:pPr>
        <w:pStyle w:val="FootnoteText"/>
      </w:pPr>
      <w:r>
        <w:rPr>
          <w:rStyle w:val="FootnoteReference"/>
        </w:rPr>
        <w:footnoteRef/>
      </w:r>
      <w:r>
        <w:t xml:space="preserve"> </w:t>
      </w:r>
      <w:hyperlink r:id="rId19" w:history="1">
        <w:r w:rsidRPr="007E61F4">
          <w:rPr>
            <w:rStyle w:val="Hyperlink"/>
          </w:rPr>
          <w:t>Right2Energy Coalition</w:t>
        </w:r>
      </w:hyperlink>
      <w:r>
        <w:t xml:space="preserve"> and </w:t>
      </w:r>
      <w:hyperlink r:id="rId20" w:history="1">
        <w:r w:rsidRPr="007E61F4">
          <w:rPr>
            <w:rStyle w:val="Hyperlink"/>
          </w:rPr>
          <w:t>EPSU/EAPN Statement on Right 2 Energy</w:t>
        </w:r>
      </w:hyperlink>
      <w:r>
        <w:t xml:space="preserve"> (2017)</w:t>
      </w:r>
    </w:p>
  </w:footnote>
  <w:footnote w:id="52">
    <w:p w14:paraId="5A178B3B" w14:textId="60C0FED6" w:rsidR="006B1008" w:rsidRDefault="006B1008">
      <w:pPr>
        <w:pStyle w:val="FootnoteText"/>
      </w:pPr>
      <w:r>
        <w:rPr>
          <w:rStyle w:val="FootnoteReference"/>
        </w:rPr>
        <w:footnoteRef/>
      </w:r>
      <w:r>
        <w:t xml:space="preserve"> </w:t>
      </w:r>
      <w:hyperlink r:id="rId21" w:history="1">
        <w:r w:rsidRPr="007E61F4">
          <w:rPr>
            <w:rStyle w:val="Hyperlink"/>
          </w:rPr>
          <w:t>Right2Energy Statement on Just Transition</w:t>
        </w:r>
      </w:hyperlink>
      <w:r>
        <w:t xml:space="preserve">; </w:t>
      </w:r>
      <w:proofErr w:type="gramStart"/>
      <w:r>
        <w:t>A green new</w:t>
      </w:r>
      <w:proofErr w:type="gramEnd"/>
      <w:r>
        <w:t xml:space="preserve"> deal for all.</w:t>
      </w:r>
    </w:p>
  </w:footnote>
  <w:footnote w:id="53">
    <w:p w14:paraId="26C243EA" w14:textId="672ADC58" w:rsidR="006B1008" w:rsidRDefault="006B1008">
      <w:pPr>
        <w:pStyle w:val="FootnoteText"/>
      </w:pPr>
      <w:r>
        <w:rPr>
          <w:rStyle w:val="FootnoteReference"/>
        </w:rPr>
        <w:footnoteRef/>
      </w:r>
      <w:r>
        <w:t xml:space="preserve"> EAPN 18 </w:t>
      </w:r>
      <w:proofErr w:type="spellStart"/>
      <w:r>
        <w:t>PeP</w:t>
      </w:r>
      <w:proofErr w:type="spellEnd"/>
      <w:r>
        <w:t xml:space="preserve"> EU meeting: </w:t>
      </w:r>
      <w:proofErr w:type="gramStart"/>
      <w:r>
        <w:t>Short ,</w:t>
      </w:r>
      <w:proofErr w:type="gramEnd"/>
      <w:r>
        <w:t xml:space="preserve"> 18 and 19 November 2019 (March 2020)</w:t>
      </w:r>
    </w:p>
  </w:footnote>
  <w:footnote w:id="54">
    <w:p w14:paraId="3F989F9F" w14:textId="77777777" w:rsidR="006B1008" w:rsidRDefault="006B1008" w:rsidP="006F7238">
      <w:pPr>
        <w:pStyle w:val="FootnoteText"/>
      </w:pPr>
      <w:r>
        <w:rPr>
          <w:rStyle w:val="FootnoteReference"/>
        </w:rPr>
        <w:footnoteRef/>
      </w:r>
      <w:r>
        <w:t xml:space="preserve"> FEANTSA www.feantsa.org</w:t>
      </w:r>
    </w:p>
  </w:footnote>
  <w:footnote w:id="55">
    <w:p w14:paraId="7E3D769C" w14:textId="77777777" w:rsidR="006B1008" w:rsidRDefault="006B1008" w:rsidP="002C6818">
      <w:pPr>
        <w:pStyle w:val="FootnoteText"/>
      </w:pPr>
      <w:r>
        <w:rPr>
          <w:rStyle w:val="FootnoteReference"/>
        </w:rPr>
        <w:footnoteRef/>
      </w:r>
      <w:r>
        <w:t xml:space="preserve"> See FEANTSA: </w:t>
      </w:r>
      <w:hyperlink r:id="rId22" w:history="1">
        <w:r w:rsidRPr="00ED3C9A">
          <w:rPr>
            <w:rStyle w:val="Hyperlink"/>
          </w:rPr>
          <w:t>www.feantsa.org</w:t>
        </w:r>
      </w:hyperlink>
      <w:r>
        <w:t>:, from rough sleeping to those in emergency accommodation,  overcrowded housing, “hidden homelessness” etc.</w:t>
      </w:r>
    </w:p>
  </w:footnote>
  <w:footnote w:id="56">
    <w:p w14:paraId="3CC0500C" w14:textId="77777777" w:rsidR="006B1008" w:rsidRDefault="006B1008" w:rsidP="00865C72">
      <w:pPr>
        <w:pStyle w:val="FootnoteText"/>
      </w:pPr>
      <w:r>
        <w:rPr>
          <w:rStyle w:val="FootnoteReference"/>
        </w:rPr>
        <w:footnoteRef/>
      </w:r>
      <w:r>
        <w:t xml:space="preserve"> EC: Investing in Children Commission Recommendation (2013)</w:t>
      </w:r>
    </w:p>
  </w:footnote>
  <w:footnote w:id="57">
    <w:p w14:paraId="4D5A6D48" w14:textId="2DB3E662" w:rsidR="006B1008" w:rsidRPr="00151813" w:rsidRDefault="006B1008">
      <w:pPr>
        <w:pStyle w:val="FootnoteText"/>
        <w:rPr>
          <w:sz w:val="18"/>
          <w:szCs w:val="18"/>
        </w:rPr>
      </w:pPr>
      <w:r w:rsidRPr="00151813">
        <w:rPr>
          <w:rStyle w:val="FootnoteReference"/>
          <w:sz w:val="18"/>
          <w:szCs w:val="18"/>
        </w:rPr>
        <w:footnoteRef/>
      </w:r>
      <w:r w:rsidRPr="00151813">
        <w:rPr>
          <w:sz w:val="18"/>
          <w:szCs w:val="18"/>
        </w:rPr>
        <w:t xml:space="preserve"> Investing in Children Alliance Joint Statement proposals for a Council Recommendation on the Child Guarantee for the well-being for all children across the EU.</w:t>
      </w:r>
    </w:p>
  </w:footnote>
  <w:footnote w:id="58">
    <w:p w14:paraId="485AD3A5" w14:textId="77777777" w:rsidR="006B1008" w:rsidRPr="00151813" w:rsidRDefault="006B1008" w:rsidP="006426F9">
      <w:pPr>
        <w:pStyle w:val="FootnoteText"/>
        <w:rPr>
          <w:rFonts w:cstheme="minorHAnsi"/>
          <w:sz w:val="18"/>
          <w:szCs w:val="18"/>
        </w:rPr>
      </w:pPr>
      <w:r w:rsidRPr="00151813">
        <w:rPr>
          <w:rStyle w:val="FootnoteReference"/>
          <w:sz w:val="18"/>
          <w:szCs w:val="18"/>
        </w:rPr>
        <w:footnoteRef/>
      </w:r>
      <w:r w:rsidRPr="00151813">
        <w:rPr>
          <w:sz w:val="18"/>
          <w:szCs w:val="18"/>
        </w:rPr>
        <w:t xml:space="preserve"> </w:t>
      </w:r>
      <w:r w:rsidRPr="00151813">
        <w:rPr>
          <w:rFonts w:eastAsia="Times New Roman" w:cstheme="minorHAnsi"/>
          <w:sz w:val="18"/>
          <w:szCs w:val="18"/>
          <w:lang w:eastAsia="en-GB"/>
        </w:rPr>
        <w:t>FEANTSA (2016) 5 Key principles for implementing the housing priority in the European Pillar of Social Rights.</w:t>
      </w:r>
    </w:p>
  </w:footnote>
  <w:footnote w:id="59">
    <w:p w14:paraId="451A5312" w14:textId="19777D92" w:rsidR="006B1008" w:rsidRPr="00151813" w:rsidRDefault="006B1008">
      <w:pPr>
        <w:pStyle w:val="FootnoteText"/>
        <w:rPr>
          <w:sz w:val="18"/>
          <w:szCs w:val="18"/>
        </w:rPr>
      </w:pPr>
      <w:r w:rsidRPr="00B85E63">
        <w:rPr>
          <w:rStyle w:val="FootnoteReference"/>
          <w:sz w:val="18"/>
          <w:szCs w:val="18"/>
        </w:rPr>
        <w:footnoteRef/>
      </w:r>
      <w:r w:rsidRPr="00B85E63">
        <w:rPr>
          <w:sz w:val="18"/>
          <w:szCs w:val="18"/>
        </w:rPr>
        <w:t xml:space="preserve"> </w:t>
      </w:r>
      <w:r>
        <w:rPr>
          <w:sz w:val="18"/>
          <w:szCs w:val="18"/>
        </w:rPr>
        <w:t>See EAPN’s Issue Paper</w:t>
      </w:r>
      <w:hyperlink r:id="rId23" w:history="1">
        <w:r w:rsidRPr="00B85E63">
          <w:rPr>
            <w:rStyle w:val="Hyperlink"/>
            <w:sz w:val="18"/>
            <w:szCs w:val="18"/>
          </w:rPr>
          <w:t>: Leaving Nobody Behind: Prevention and reduction of poverty and social exclusion through education, training and lifelong learning policies</w:t>
        </w:r>
      </w:hyperlink>
      <w:r>
        <w:rPr>
          <w:sz w:val="18"/>
          <w:szCs w:val="18"/>
        </w:rPr>
        <w:t>.</w:t>
      </w:r>
    </w:p>
  </w:footnote>
  <w:footnote w:id="60">
    <w:p w14:paraId="3F1865A8" w14:textId="77777777" w:rsidR="006B1008" w:rsidRPr="00151813" w:rsidRDefault="006B1008" w:rsidP="000544E1">
      <w:pPr>
        <w:pStyle w:val="FootnoteText"/>
        <w:jc w:val="both"/>
        <w:rPr>
          <w:sz w:val="18"/>
          <w:szCs w:val="18"/>
        </w:rPr>
      </w:pPr>
      <w:r w:rsidRPr="00151813">
        <w:rPr>
          <w:rStyle w:val="FootnoteReference"/>
          <w:sz w:val="18"/>
          <w:szCs w:val="18"/>
        </w:rPr>
        <w:footnoteRef/>
      </w:r>
      <w:r w:rsidRPr="00151813">
        <w:rPr>
          <w:sz w:val="18"/>
          <w:szCs w:val="18"/>
        </w:rPr>
        <w:t xml:space="preserve"> Health care, social services, housing, education, water, </w:t>
      </w:r>
      <w:proofErr w:type="gramStart"/>
      <w:r w:rsidRPr="00151813">
        <w:rPr>
          <w:sz w:val="18"/>
          <w:szCs w:val="18"/>
        </w:rPr>
        <w:t>energy</w:t>
      </w:r>
      <w:proofErr w:type="gramEnd"/>
      <w:r w:rsidRPr="00151813">
        <w:rPr>
          <w:sz w:val="18"/>
          <w:szCs w:val="18"/>
        </w:rPr>
        <w:t xml:space="preserve"> and transport, amongst others, represent essential public infrastructures and services. Services of general interest (SGIs) or services of general economic interest (SGEIs) – also commonly known as public services - fulfil people's daily needs and are vital to their well-being. The quality of the life of people depends on their accessibility, affordability, </w:t>
      </w:r>
      <w:proofErr w:type="gramStart"/>
      <w:r w:rsidRPr="00151813">
        <w:rPr>
          <w:sz w:val="18"/>
          <w:szCs w:val="18"/>
        </w:rPr>
        <w:t>quality</w:t>
      </w:r>
      <w:proofErr w:type="gramEnd"/>
      <w:r w:rsidRPr="00151813">
        <w:rPr>
          <w:sz w:val="18"/>
          <w:szCs w:val="18"/>
        </w:rPr>
        <w:t xml:space="preserve"> and continuity. They are essential for sustainable economic and social development and regional cohesion in Europe and a Pillar of the European Social Model. For EAPN universal access to them is a fundamental right.</w:t>
      </w:r>
    </w:p>
  </w:footnote>
  <w:footnote w:id="61">
    <w:p w14:paraId="2D63998D" w14:textId="2DDC3240" w:rsidR="006B1008" w:rsidRPr="00151813" w:rsidRDefault="006B1008">
      <w:pPr>
        <w:pStyle w:val="FootnoteText"/>
        <w:rPr>
          <w:sz w:val="18"/>
          <w:szCs w:val="18"/>
        </w:rPr>
      </w:pPr>
      <w:r w:rsidRPr="00151813">
        <w:rPr>
          <w:rStyle w:val="FootnoteReference"/>
          <w:sz w:val="18"/>
          <w:szCs w:val="18"/>
        </w:rPr>
        <w:footnoteRef/>
      </w:r>
      <w:r w:rsidRPr="00151813">
        <w:rPr>
          <w:sz w:val="18"/>
          <w:szCs w:val="18"/>
        </w:rPr>
        <w:t xml:space="preserve"> EAPN: Nobody left behind</w:t>
      </w:r>
    </w:p>
  </w:footnote>
  <w:footnote w:id="62">
    <w:p w14:paraId="71FE97A4" w14:textId="77777777" w:rsidR="006B1008" w:rsidRPr="002A5878" w:rsidRDefault="006B1008" w:rsidP="00955F9E">
      <w:pPr>
        <w:pStyle w:val="FootnoteText"/>
        <w:jc w:val="both"/>
        <w:rPr>
          <w:rFonts w:cstheme="minorHAnsi"/>
        </w:rPr>
      </w:pPr>
      <w:r w:rsidRPr="002A5878">
        <w:rPr>
          <w:rStyle w:val="FootnoteReference"/>
          <w:rFonts w:cstheme="minorHAnsi"/>
        </w:rPr>
        <w:footnoteRef/>
      </w:r>
      <w:r w:rsidRPr="002A5878">
        <w:rPr>
          <w:rFonts w:cstheme="minorHAnsi"/>
        </w:rPr>
        <w:t xml:space="preserve"> This inventory endorsed by the 2012 Council Recommendation on the validation of non-formal and informal learning works</w:t>
      </w:r>
      <w:r>
        <w:rPr>
          <w:rFonts w:cstheme="minorHAnsi"/>
        </w:rPr>
        <w:t>,</w:t>
      </w:r>
      <w:r w:rsidRPr="002A5878">
        <w:rPr>
          <w:rFonts w:cstheme="minorHAnsi"/>
        </w:rPr>
        <w:t xml:space="preserve"> together with the European guidelines</w:t>
      </w:r>
      <w:r>
        <w:rPr>
          <w:rFonts w:cstheme="minorHAnsi"/>
        </w:rPr>
        <w:t>,</w:t>
      </w:r>
      <w:r w:rsidRPr="002A5878">
        <w:rPr>
          <w:rFonts w:cstheme="minorHAnsi"/>
        </w:rPr>
        <w:t xml:space="preserve"> as a tool to support countries in developing and implementing validation arrangements and can be accessed here, </w:t>
      </w:r>
      <w:hyperlink r:id="rId24" w:history="1">
        <w:r w:rsidRPr="002A5878">
          <w:rPr>
            <w:rStyle w:val="Hyperlink"/>
            <w:rFonts w:cstheme="minorHAnsi"/>
          </w:rPr>
          <w:t>https://www.cedefop.europa.eu/en/events-and-projects/projects/validation-non-formal-and-informal-learning/european-inventory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31F1" w14:textId="599F2737" w:rsidR="006B1008" w:rsidRDefault="006B1008">
    <w:pPr>
      <w:pStyle w:val="Header"/>
    </w:pPr>
    <w:r>
      <w:t>Final-Proofed-08062020</w:t>
    </w:r>
  </w:p>
  <w:p w14:paraId="03A773AC" w14:textId="77777777" w:rsidR="006B1008" w:rsidRDefault="006B1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5001"/>
    <w:multiLevelType w:val="hybridMultilevel"/>
    <w:tmpl w:val="F5BCBDF4"/>
    <w:lvl w:ilvl="0" w:tplc="B6649C2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20527"/>
    <w:multiLevelType w:val="hybridMultilevel"/>
    <w:tmpl w:val="4E3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6B84"/>
    <w:multiLevelType w:val="hybridMultilevel"/>
    <w:tmpl w:val="ECE47C62"/>
    <w:lvl w:ilvl="0" w:tplc="0B9CAA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853B44"/>
    <w:multiLevelType w:val="hybridMultilevel"/>
    <w:tmpl w:val="AC944BCC"/>
    <w:lvl w:ilvl="0" w:tplc="0B9CAA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510C2"/>
    <w:multiLevelType w:val="hybridMultilevel"/>
    <w:tmpl w:val="05E8F90C"/>
    <w:lvl w:ilvl="0" w:tplc="B6649C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F7A78"/>
    <w:multiLevelType w:val="hybridMultilevel"/>
    <w:tmpl w:val="A28AF0F4"/>
    <w:lvl w:ilvl="0" w:tplc="CED09F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E4E42"/>
    <w:multiLevelType w:val="hybridMultilevel"/>
    <w:tmpl w:val="08480584"/>
    <w:lvl w:ilvl="0" w:tplc="08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B0A3E"/>
    <w:multiLevelType w:val="hybridMultilevel"/>
    <w:tmpl w:val="55E83AF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165E0"/>
    <w:multiLevelType w:val="hybridMultilevel"/>
    <w:tmpl w:val="31480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749E6"/>
    <w:multiLevelType w:val="hybridMultilevel"/>
    <w:tmpl w:val="69CE5C62"/>
    <w:lvl w:ilvl="0" w:tplc="B6649C2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7E6BEC"/>
    <w:multiLevelType w:val="hybridMultilevel"/>
    <w:tmpl w:val="0FB038FE"/>
    <w:lvl w:ilvl="0" w:tplc="D716F772">
      <w:start w:val="1"/>
      <w:numFmt w:val="bullet"/>
      <w:lvlText w:val=""/>
      <w:lvlJc w:val="left"/>
      <w:pPr>
        <w:tabs>
          <w:tab w:val="num" w:pos="720"/>
        </w:tabs>
        <w:ind w:left="720" w:hanging="360"/>
      </w:pPr>
      <w:rPr>
        <w:rFonts w:ascii="Wingdings" w:hAnsi="Wingdings" w:hint="default"/>
      </w:rPr>
    </w:lvl>
    <w:lvl w:ilvl="1" w:tplc="62FA9EF0" w:tentative="1">
      <w:start w:val="1"/>
      <w:numFmt w:val="bullet"/>
      <w:lvlText w:val=""/>
      <w:lvlJc w:val="left"/>
      <w:pPr>
        <w:tabs>
          <w:tab w:val="num" w:pos="1440"/>
        </w:tabs>
        <w:ind w:left="1440" w:hanging="360"/>
      </w:pPr>
      <w:rPr>
        <w:rFonts w:ascii="Wingdings" w:hAnsi="Wingdings" w:hint="default"/>
      </w:rPr>
    </w:lvl>
    <w:lvl w:ilvl="2" w:tplc="CB2E29C6" w:tentative="1">
      <w:start w:val="1"/>
      <w:numFmt w:val="bullet"/>
      <w:lvlText w:val=""/>
      <w:lvlJc w:val="left"/>
      <w:pPr>
        <w:tabs>
          <w:tab w:val="num" w:pos="2160"/>
        </w:tabs>
        <w:ind w:left="2160" w:hanging="360"/>
      </w:pPr>
      <w:rPr>
        <w:rFonts w:ascii="Wingdings" w:hAnsi="Wingdings" w:hint="default"/>
      </w:rPr>
    </w:lvl>
    <w:lvl w:ilvl="3" w:tplc="E722C5BA" w:tentative="1">
      <w:start w:val="1"/>
      <w:numFmt w:val="bullet"/>
      <w:lvlText w:val=""/>
      <w:lvlJc w:val="left"/>
      <w:pPr>
        <w:tabs>
          <w:tab w:val="num" w:pos="2880"/>
        </w:tabs>
        <w:ind w:left="2880" w:hanging="360"/>
      </w:pPr>
      <w:rPr>
        <w:rFonts w:ascii="Wingdings" w:hAnsi="Wingdings" w:hint="default"/>
      </w:rPr>
    </w:lvl>
    <w:lvl w:ilvl="4" w:tplc="17407B90" w:tentative="1">
      <w:start w:val="1"/>
      <w:numFmt w:val="bullet"/>
      <w:lvlText w:val=""/>
      <w:lvlJc w:val="left"/>
      <w:pPr>
        <w:tabs>
          <w:tab w:val="num" w:pos="3600"/>
        </w:tabs>
        <w:ind w:left="3600" w:hanging="360"/>
      </w:pPr>
      <w:rPr>
        <w:rFonts w:ascii="Wingdings" w:hAnsi="Wingdings" w:hint="default"/>
      </w:rPr>
    </w:lvl>
    <w:lvl w:ilvl="5" w:tplc="BE56616A" w:tentative="1">
      <w:start w:val="1"/>
      <w:numFmt w:val="bullet"/>
      <w:lvlText w:val=""/>
      <w:lvlJc w:val="left"/>
      <w:pPr>
        <w:tabs>
          <w:tab w:val="num" w:pos="4320"/>
        </w:tabs>
        <w:ind w:left="4320" w:hanging="360"/>
      </w:pPr>
      <w:rPr>
        <w:rFonts w:ascii="Wingdings" w:hAnsi="Wingdings" w:hint="default"/>
      </w:rPr>
    </w:lvl>
    <w:lvl w:ilvl="6" w:tplc="9A542DD2" w:tentative="1">
      <w:start w:val="1"/>
      <w:numFmt w:val="bullet"/>
      <w:lvlText w:val=""/>
      <w:lvlJc w:val="left"/>
      <w:pPr>
        <w:tabs>
          <w:tab w:val="num" w:pos="5040"/>
        </w:tabs>
        <w:ind w:left="5040" w:hanging="360"/>
      </w:pPr>
      <w:rPr>
        <w:rFonts w:ascii="Wingdings" w:hAnsi="Wingdings" w:hint="default"/>
      </w:rPr>
    </w:lvl>
    <w:lvl w:ilvl="7" w:tplc="2E3E73BA" w:tentative="1">
      <w:start w:val="1"/>
      <w:numFmt w:val="bullet"/>
      <w:lvlText w:val=""/>
      <w:lvlJc w:val="left"/>
      <w:pPr>
        <w:tabs>
          <w:tab w:val="num" w:pos="5760"/>
        </w:tabs>
        <w:ind w:left="5760" w:hanging="360"/>
      </w:pPr>
      <w:rPr>
        <w:rFonts w:ascii="Wingdings" w:hAnsi="Wingdings" w:hint="default"/>
      </w:rPr>
    </w:lvl>
    <w:lvl w:ilvl="8" w:tplc="1EECB2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10ED0"/>
    <w:multiLevelType w:val="hybridMultilevel"/>
    <w:tmpl w:val="0156A056"/>
    <w:lvl w:ilvl="0" w:tplc="0B9CAA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2A7BFB"/>
    <w:multiLevelType w:val="hybridMultilevel"/>
    <w:tmpl w:val="5D90C08A"/>
    <w:lvl w:ilvl="0" w:tplc="0B9CAA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A3702A"/>
    <w:multiLevelType w:val="hybridMultilevel"/>
    <w:tmpl w:val="44689AE2"/>
    <w:lvl w:ilvl="0" w:tplc="BCFC914A">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F621C6"/>
    <w:multiLevelType w:val="hybridMultilevel"/>
    <w:tmpl w:val="CADE49D8"/>
    <w:lvl w:ilvl="0" w:tplc="6EB490D2">
      <w:start w:val="1"/>
      <w:numFmt w:val="bullet"/>
      <w:lvlText w:val=""/>
      <w:lvlJc w:val="left"/>
      <w:pPr>
        <w:tabs>
          <w:tab w:val="num" w:pos="720"/>
        </w:tabs>
        <w:ind w:left="720" w:hanging="360"/>
      </w:pPr>
      <w:rPr>
        <w:rFonts w:ascii="Wingdings" w:hAnsi="Wingdings" w:hint="default"/>
      </w:rPr>
    </w:lvl>
    <w:lvl w:ilvl="1" w:tplc="56CC5E76" w:tentative="1">
      <w:start w:val="1"/>
      <w:numFmt w:val="bullet"/>
      <w:lvlText w:val=""/>
      <w:lvlJc w:val="left"/>
      <w:pPr>
        <w:tabs>
          <w:tab w:val="num" w:pos="1440"/>
        </w:tabs>
        <w:ind w:left="1440" w:hanging="360"/>
      </w:pPr>
      <w:rPr>
        <w:rFonts w:ascii="Wingdings" w:hAnsi="Wingdings" w:hint="default"/>
      </w:rPr>
    </w:lvl>
    <w:lvl w:ilvl="2" w:tplc="62640A0A" w:tentative="1">
      <w:start w:val="1"/>
      <w:numFmt w:val="bullet"/>
      <w:lvlText w:val=""/>
      <w:lvlJc w:val="left"/>
      <w:pPr>
        <w:tabs>
          <w:tab w:val="num" w:pos="2160"/>
        </w:tabs>
        <w:ind w:left="2160" w:hanging="360"/>
      </w:pPr>
      <w:rPr>
        <w:rFonts w:ascii="Wingdings" w:hAnsi="Wingdings" w:hint="default"/>
      </w:rPr>
    </w:lvl>
    <w:lvl w:ilvl="3" w:tplc="A1B41F8C" w:tentative="1">
      <w:start w:val="1"/>
      <w:numFmt w:val="bullet"/>
      <w:lvlText w:val=""/>
      <w:lvlJc w:val="left"/>
      <w:pPr>
        <w:tabs>
          <w:tab w:val="num" w:pos="2880"/>
        </w:tabs>
        <w:ind w:left="2880" w:hanging="360"/>
      </w:pPr>
      <w:rPr>
        <w:rFonts w:ascii="Wingdings" w:hAnsi="Wingdings" w:hint="default"/>
      </w:rPr>
    </w:lvl>
    <w:lvl w:ilvl="4" w:tplc="A7D069BE" w:tentative="1">
      <w:start w:val="1"/>
      <w:numFmt w:val="bullet"/>
      <w:lvlText w:val=""/>
      <w:lvlJc w:val="left"/>
      <w:pPr>
        <w:tabs>
          <w:tab w:val="num" w:pos="3600"/>
        </w:tabs>
        <w:ind w:left="3600" w:hanging="360"/>
      </w:pPr>
      <w:rPr>
        <w:rFonts w:ascii="Wingdings" w:hAnsi="Wingdings" w:hint="default"/>
      </w:rPr>
    </w:lvl>
    <w:lvl w:ilvl="5" w:tplc="31304892" w:tentative="1">
      <w:start w:val="1"/>
      <w:numFmt w:val="bullet"/>
      <w:lvlText w:val=""/>
      <w:lvlJc w:val="left"/>
      <w:pPr>
        <w:tabs>
          <w:tab w:val="num" w:pos="4320"/>
        </w:tabs>
        <w:ind w:left="4320" w:hanging="360"/>
      </w:pPr>
      <w:rPr>
        <w:rFonts w:ascii="Wingdings" w:hAnsi="Wingdings" w:hint="default"/>
      </w:rPr>
    </w:lvl>
    <w:lvl w:ilvl="6" w:tplc="8A64C50C" w:tentative="1">
      <w:start w:val="1"/>
      <w:numFmt w:val="bullet"/>
      <w:lvlText w:val=""/>
      <w:lvlJc w:val="left"/>
      <w:pPr>
        <w:tabs>
          <w:tab w:val="num" w:pos="5040"/>
        </w:tabs>
        <w:ind w:left="5040" w:hanging="360"/>
      </w:pPr>
      <w:rPr>
        <w:rFonts w:ascii="Wingdings" w:hAnsi="Wingdings" w:hint="default"/>
      </w:rPr>
    </w:lvl>
    <w:lvl w:ilvl="7" w:tplc="D9D8E102" w:tentative="1">
      <w:start w:val="1"/>
      <w:numFmt w:val="bullet"/>
      <w:lvlText w:val=""/>
      <w:lvlJc w:val="left"/>
      <w:pPr>
        <w:tabs>
          <w:tab w:val="num" w:pos="5760"/>
        </w:tabs>
        <w:ind w:left="5760" w:hanging="360"/>
      </w:pPr>
      <w:rPr>
        <w:rFonts w:ascii="Wingdings" w:hAnsi="Wingdings" w:hint="default"/>
      </w:rPr>
    </w:lvl>
    <w:lvl w:ilvl="8" w:tplc="CA9E90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A738D"/>
    <w:multiLevelType w:val="hybridMultilevel"/>
    <w:tmpl w:val="7812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D04CE8"/>
    <w:multiLevelType w:val="hybridMultilevel"/>
    <w:tmpl w:val="8BB8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73DCA"/>
    <w:multiLevelType w:val="hybridMultilevel"/>
    <w:tmpl w:val="0A42C464"/>
    <w:lvl w:ilvl="0" w:tplc="685276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E535E1"/>
    <w:multiLevelType w:val="hybridMultilevel"/>
    <w:tmpl w:val="4CB0875E"/>
    <w:lvl w:ilvl="0" w:tplc="0B9CAA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F74B0E"/>
    <w:multiLevelType w:val="hybridMultilevel"/>
    <w:tmpl w:val="2D2A03F6"/>
    <w:lvl w:ilvl="0" w:tplc="B6649C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4261BD"/>
    <w:multiLevelType w:val="hybridMultilevel"/>
    <w:tmpl w:val="D81C66CE"/>
    <w:lvl w:ilvl="0" w:tplc="0B9CAA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56315A"/>
    <w:multiLevelType w:val="hybridMultilevel"/>
    <w:tmpl w:val="786E7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20817"/>
    <w:multiLevelType w:val="hybridMultilevel"/>
    <w:tmpl w:val="0DAC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722E5"/>
    <w:multiLevelType w:val="hybridMultilevel"/>
    <w:tmpl w:val="DF0ECD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6A627F"/>
    <w:multiLevelType w:val="hybridMultilevel"/>
    <w:tmpl w:val="BE98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06672B"/>
    <w:multiLevelType w:val="hybridMultilevel"/>
    <w:tmpl w:val="23E4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55791"/>
    <w:multiLevelType w:val="hybridMultilevel"/>
    <w:tmpl w:val="59D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5"/>
  </w:num>
  <w:num w:numId="4">
    <w:abstractNumId w:val="21"/>
  </w:num>
  <w:num w:numId="5">
    <w:abstractNumId w:val="1"/>
  </w:num>
  <w:num w:numId="6">
    <w:abstractNumId w:val="0"/>
  </w:num>
  <w:num w:numId="7">
    <w:abstractNumId w:val="4"/>
  </w:num>
  <w:num w:numId="8">
    <w:abstractNumId w:val="9"/>
  </w:num>
  <w:num w:numId="9">
    <w:abstractNumId w:val="8"/>
  </w:num>
  <w:num w:numId="10">
    <w:abstractNumId w:val="15"/>
  </w:num>
  <w:num w:numId="11">
    <w:abstractNumId w:val="22"/>
  </w:num>
  <w:num w:numId="12">
    <w:abstractNumId w:val="16"/>
  </w:num>
  <w:num w:numId="13">
    <w:abstractNumId w:val="10"/>
  </w:num>
  <w:num w:numId="14">
    <w:abstractNumId w:val="14"/>
  </w:num>
  <w:num w:numId="15">
    <w:abstractNumId w:val="20"/>
  </w:num>
  <w:num w:numId="16">
    <w:abstractNumId w:val="24"/>
  </w:num>
  <w:num w:numId="17">
    <w:abstractNumId w:val="18"/>
  </w:num>
  <w:num w:numId="18">
    <w:abstractNumId w:val="5"/>
  </w:num>
  <w:num w:numId="19">
    <w:abstractNumId w:val="12"/>
  </w:num>
  <w:num w:numId="20">
    <w:abstractNumId w:val="23"/>
  </w:num>
  <w:num w:numId="21">
    <w:abstractNumId w:val="26"/>
  </w:num>
  <w:num w:numId="22">
    <w:abstractNumId w:val="2"/>
  </w:num>
  <w:num w:numId="23">
    <w:abstractNumId w:val="11"/>
  </w:num>
  <w:num w:numId="24">
    <w:abstractNumId w:val="13"/>
  </w:num>
  <w:num w:numId="25">
    <w:abstractNumId w:val="23"/>
  </w:num>
  <w:num w:numId="26">
    <w:abstractNumId w:val="17"/>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23"/>
    <w:rsid w:val="00002477"/>
    <w:rsid w:val="000544E1"/>
    <w:rsid w:val="00056A3E"/>
    <w:rsid w:val="00064EBB"/>
    <w:rsid w:val="000719B8"/>
    <w:rsid w:val="000748C2"/>
    <w:rsid w:val="00092A5B"/>
    <w:rsid w:val="000B17E3"/>
    <w:rsid w:val="000B1A8D"/>
    <w:rsid w:val="000C2429"/>
    <w:rsid w:val="000C42EF"/>
    <w:rsid w:val="000C46B7"/>
    <w:rsid w:val="000C6146"/>
    <w:rsid w:val="000C6C7A"/>
    <w:rsid w:val="000D6066"/>
    <w:rsid w:val="000E2560"/>
    <w:rsid w:val="000E31B0"/>
    <w:rsid w:val="000E383C"/>
    <w:rsid w:val="000E3C68"/>
    <w:rsid w:val="000F4DF7"/>
    <w:rsid w:val="00103AC1"/>
    <w:rsid w:val="00107D7E"/>
    <w:rsid w:val="0011297A"/>
    <w:rsid w:val="00113313"/>
    <w:rsid w:val="00116003"/>
    <w:rsid w:val="00117CAA"/>
    <w:rsid w:val="001218AE"/>
    <w:rsid w:val="00135070"/>
    <w:rsid w:val="001355F9"/>
    <w:rsid w:val="00146DBF"/>
    <w:rsid w:val="00151813"/>
    <w:rsid w:val="0015218F"/>
    <w:rsid w:val="001615ED"/>
    <w:rsid w:val="00180724"/>
    <w:rsid w:val="0018347E"/>
    <w:rsid w:val="00197CF2"/>
    <w:rsid w:val="001A309A"/>
    <w:rsid w:val="001A3CAC"/>
    <w:rsid w:val="001B0334"/>
    <w:rsid w:val="001B18A3"/>
    <w:rsid w:val="001B58D1"/>
    <w:rsid w:val="001C634F"/>
    <w:rsid w:val="001D29BE"/>
    <w:rsid w:val="001D3113"/>
    <w:rsid w:val="001D72AA"/>
    <w:rsid w:val="001E4E81"/>
    <w:rsid w:val="001F39EA"/>
    <w:rsid w:val="0020529A"/>
    <w:rsid w:val="0021224A"/>
    <w:rsid w:val="00250FFA"/>
    <w:rsid w:val="002567F8"/>
    <w:rsid w:val="00257CDF"/>
    <w:rsid w:val="0026120D"/>
    <w:rsid w:val="00261626"/>
    <w:rsid w:val="002629D8"/>
    <w:rsid w:val="00276C53"/>
    <w:rsid w:val="00291CC9"/>
    <w:rsid w:val="002A4B7B"/>
    <w:rsid w:val="002B6FEA"/>
    <w:rsid w:val="002C6818"/>
    <w:rsid w:val="002C7886"/>
    <w:rsid w:val="002D4559"/>
    <w:rsid w:val="002D64CD"/>
    <w:rsid w:val="002F2899"/>
    <w:rsid w:val="0030542C"/>
    <w:rsid w:val="003060BB"/>
    <w:rsid w:val="00326140"/>
    <w:rsid w:val="00327C3A"/>
    <w:rsid w:val="00344946"/>
    <w:rsid w:val="003613D9"/>
    <w:rsid w:val="003724CD"/>
    <w:rsid w:val="003929C4"/>
    <w:rsid w:val="003A3990"/>
    <w:rsid w:val="003A692F"/>
    <w:rsid w:val="003C3A63"/>
    <w:rsid w:val="003C503C"/>
    <w:rsid w:val="003C5A71"/>
    <w:rsid w:val="003E19B8"/>
    <w:rsid w:val="00407462"/>
    <w:rsid w:val="0041164A"/>
    <w:rsid w:val="004237AC"/>
    <w:rsid w:val="004376B0"/>
    <w:rsid w:val="00445985"/>
    <w:rsid w:val="00462315"/>
    <w:rsid w:val="00470F90"/>
    <w:rsid w:val="0047234C"/>
    <w:rsid w:val="00485A8B"/>
    <w:rsid w:val="004A2F9A"/>
    <w:rsid w:val="004B6011"/>
    <w:rsid w:val="004B6616"/>
    <w:rsid w:val="004B7D02"/>
    <w:rsid w:val="004C4C11"/>
    <w:rsid w:val="004C5198"/>
    <w:rsid w:val="004D4083"/>
    <w:rsid w:val="004D6376"/>
    <w:rsid w:val="004E23B1"/>
    <w:rsid w:val="004E3CBD"/>
    <w:rsid w:val="004E7B56"/>
    <w:rsid w:val="005000AA"/>
    <w:rsid w:val="0050138F"/>
    <w:rsid w:val="00501DAC"/>
    <w:rsid w:val="00503E7D"/>
    <w:rsid w:val="00523323"/>
    <w:rsid w:val="005322C5"/>
    <w:rsid w:val="00534E49"/>
    <w:rsid w:val="0054479D"/>
    <w:rsid w:val="00551DA0"/>
    <w:rsid w:val="00552BC8"/>
    <w:rsid w:val="00571BD7"/>
    <w:rsid w:val="00582303"/>
    <w:rsid w:val="0058703C"/>
    <w:rsid w:val="00587A06"/>
    <w:rsid w:val="00596BF3"/>
    <w:rsid w:val="005A28EF"/>
    <w:rsid w:val="005A37CA"/>
    <w:rsid w:val="005B1E96"/>
    <w:rsid w:val="005B2620"/>
    <w:rsid w:val="005B3C3A"/>
    <w:rsid w:val="005B67F0"/>
    <w:rsid w:val="005E2176"/>
    <w:rsid w:val="006426F9"/>
    <w:rsid w:val="006504F3"/>
    <w:rsid w:val="0065618D"/>
    <w:rsid w:val="00656F53"/>
    <w:rsid w:val="006612E4"/>
    <w:rsid w:val="0067058C"/>
    <w:rsid w:val="00675C76"/>
    <w:rsid w:val="00677109"/>
    <w:rsid w:val="006809DF"/>
    <w:rsid w:val="00680C84"/>
    <w:rsid w:val="006953F3"/>
    <w:rsid w:val="006A4C8C"/>
    <w:rsid w:val="006B1008"/>
    <w:rsid w:val="006B2383"/>
    <w:rsid w:val="006B7913"/>
    <w:rsid w:val="006D18FD"/>
    <w:rsid w:val="006D199F"/>
    <w:rsid w:val="006D3C01"/>
    <w:rsid w:val="006E6042"/>
    <w:rsid w:val="006F1BF7"/>
    <w:rsid w:val="006F2468"/>
    <w:rsid w:val="006F7238"/>
    <w:rsid w:val="00707AF0"/>
    <w:rsid w:val="00720878"/>
    <w:rsid w:val="00721561"/>
    <w:rsid w:val="00736A2D"/>
    <w:rsid w:val="00741E67"/>
    <w:rsid w:val="0075222D"/>
    <w:rsid w:val="00770A01"/>
    <w:rsid w:val="007810E9"/>
    <w:rsid w:val="007B3E7B"/>
    <w:rsid w:val="007C4924"/>
    <w:rsid w:val="007D4A0D"/>
    <w:rsid w:val="007E52B9"/>
    <w:rsid w:val="007E61F4"/>
    <w:rsid w:val="008111E8"/>
    <w:rsid w:val="008629FB"/>
    <w:rsid w:val="00865C72"/>
    <w:rsid w:val="00876939"/>
    <w:rsid w:val="008772A3"/>
    <w:rsid w:val="008A3070"/>
    <w:rsid w:val="008A6595"/>
    <w:rsid w:val="008A7227"/>
    <w:rsid w:val="008D74A5"/>
    <w:rsid w:val="008E2A91"/>
    <w:rsid w:val="008E4D73"/>
    <w:rsid w:val="00902323"/>
    <w:rsid w:val="00914685"/>
    <w:rsid w:val="009154C1"/>
    <w:rsid w:val="00916ADE"/>
    <w:rsid w:val="009171AD"/>
    <w:rsid w:val="00924BBF"/>
    <w:rsid w:val="0093130A"/>
    <w:rsid w:val="00934B6C"/>
    <w:rsid w:val="0094490A"/>
    <w:rsid w:val="00955F21"/>
    <w:rsid w:val="00955F9E"/>
    <w:rsid w:val="009577FB"/>
    <w:rsid w:val="009605F2"/>
    <w:rsid w:val="00960EB6"/>
    <w:rsid w:val="00972AA0"/>
    <w:rsid w:val="009A7349"/>
    <w:rsid w:val="009B67E0"/>
    <w:rsid w:val="009C11DF"/>
    <w:rsid w:val="009E1DB0"/>
    <w:rsid w:val="009E4506"/>
    <w:rsid w:val="009F5B3E"/>
    <w:rsid w:val="00A00401"/>
    <w:rsid w:val="00A15F32"/>
    <w:rsid w:val="00A33350"/>
    <w:rsid w:val="00A333FF"/>
    <w:rsid w:val="00A5307C"/>
    <w:rsid w:val="00A5334A"/>
    <w:rsid w:val="00A610C3"/>
    <w:rsid w:val="00A85252"/>
    <w:rsid w:val="00A922A6"/>
    <w:rsid w:val="00AA38A7"/>
    <w:rsid w:val="00AA791F"/>
    <w:rsid w:val="00AC55CC"/>
    <w:rsid w:val="00AD60A2"/>
    <w:rsid w:val="00AE2861"/>
    <w:rsid w:val="00AF7137"/>
    <w:rsid w:val="00B03107"/>
    <w:rsid w:val="00B12BF1"/>
    <w:rsid w:val="00B15A27"/>
    <w:rsid w:val="00B40764"/>
    <w:rsid w:val="00B525B8"/>
    <w:rsid w:val="00B551E4"/>
    <w:rsid w:val="00B56B9C"/>
    <w:rsid w:val="00B64BEB"/>
    <w:rsid w:val="00B85E63"/>
    <w:rsid w:val="00B86B7E"/>
    <w:rsid w:val="00BA3DA1"/>
    <w:rsid w:val="00BA7FB5"/>
    <w:rsid w:val="00BB3132"/>
    <w:rsid w:val="00BB33EF"/>
    <w:rsid w:val="00BB3414"/>
    <w:rsid w:val="00BB7A26"/>
    <w:rsid w:val="00BC226F"/>
    <w:rsid w:val="00BC3318"/>
    <w:rsid w:val="00BC4EA0"/>
    <w:rsid w:val="00BD5D16"/>
    <w:rsid w:val="00BF4237"/>
    <w:rsid w:val="00C0391C"/>
    <w:rsid w:val="00C0597A"/>
    <w:rsid w:val="00C06101"/>
    <w:rsid w:val="00C075FD"/>
    <w:rsid w:val="00C25F91"/>
    <w:rsid w:val="00C41A15"/>
    <w:rsid w:val="00C42914"/>
    <w:rsid w:val="00C44002"/>
    <w:rsid w:val="00C45CD3"/>
    <w:rsid w:val="00C5019D"/>
    <w:rsid w:val="00C71DA7"/>
    <w:rsid w:val="00C7475D"/>
    <w:rsid w:val="00C7541F"/>
    <w:rsid w:val="00C916FB"/>
    <w:rsid w:val="00CD0D0A"/>
    <w:rsid w:val="00CD7DBE"/>
    <w:rsid w:val="00CE170F"/>
    <w:rsid w:val="00CF364D"/>
    <w:rsid w:val="00D21A0D"/>
    <w:rsid w:val="00D26094"/>
    <w:rsid w:val="00D33E88"/>
    <w:rsid w:val="00D367C2"/>
    <w:rsid w:val="00D37840"/>
    <w:rsid w:val="00D42668"/>
    <w:rsid w:val="00D42F4D"/>
    <w:rsid w:val="00D43706"/>
    <w:rsid w:val="00D536B5"/>
    <w:rsid w:val="00D55D7A"/>
    <w:rsid w:val="00D61B4A"/>
    <w:rsid w:val="00D70FC3"/>
    <w:rsid w:val="00D72D9B"/>
    <w:rsid w:val="00D80509"/>
    <w:rsid w:val="00D837F2"/>
    <w:rsid w:val="00D8410E"/>
    <w:rsid w:val="00DB0408"/>
    <w:rsid w:val="00DB21CF"/>
    <w:rsid w:val="00DB7E9A"/>
    <w:rsid w:val="00DC73DE"/>
    <w:rsid w:val="00DD50D1"/>
    <w:rsid w:val="00DE0C27"/>
    <w:rsid w:val="00DE16A4"/>
    <w:rsid w:val="00DF1BF0"/>
    <w:rsid w:val="00E13B23"/>
    <w:rsid w:val="00E15899"/>
    <w:rsid w:val="00E3237F"/>
    <w:rsid w:val="00E35E9D"/>
    <w:rsid w:val="00E47DEA"/>
    <w:rsid w:val="00E53FDF"/>
    <w:rsid w:val="00E56B01"/>
    <w:rsid w:val="00E619B3"/>
    <w:rsid w:val="00E6521B"/>
    <w:rsid w:val="00E81DC0"/>
    <w:rsid w:val="00E948ED"/>
    <w:rsid w:val="00EA25DE"/>
    <w:rsid w:val="00EB4A38"/>
    <w:rsid w:val="00EB553D"/>
    <w:rsid w:val="00EC082E"/>
    <w:rsid w:val="00EC12A6"/>
    <w:rsid w:val="00ED7F41"/>
    <w:rsid w:val="00F13FE4"/>
    <w:rsid w:val="00F144CA"/>
    <w:rsid w:val="00F15FB1"/>
    <w:rsid w:val="00F2207B"/>
    <w:rsid w:val="00F24461"/>
    <w:rsid w:val="00F26E28"/>
    <w:rsid w:val="00F4474E"/>
    <w:rsid w:val="00F622A7"/>
    <w:rsid w:val="00F64B3F"/>
    <w:rsid w:val="00F8406C"/>
    <w:rsid w:val="00FA3313"/>
    <w:rsid w:val="00FA3B69"/>
    <w:rsid w:val="00FB5D88"/>
    <w:rsid w:val="00FD42B5"/>
    <w:rsid w:val="00FD4331"/>
    <w:rsid w:val="00FD530D"/>
    <w:rsid w:val="00FF0BC9"/>
    <w:rsid w:val="00FF2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6309"/>
  <w15:chartTrackingRefBased/>
  <w15:docId w15:val="{CDE424D4-7644-4EE6-A122-73FD47BA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3B23"/>
    <w:pPr>
      <w:ind w:left="720"/>
      <w:contextualSpacing/>
    </w:pPr>
  </w:style>
  <w:style w:type="table" w:styleId="TableGrid">
    <w:name w:val="Table Grid"/>
    <w:basedOn w:val="TableNormal"/>
    <w:uiPriority w:val="39"/>
    <w:rsid w:val="00C4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E96"/>
    <w:rPr>
      <w:color w:val="0563C1" w:themeColor="hyperlink"/>
      <w:u w:val="single"/>
    </w:rPr>
  </w:style>
  <w:style w:type="character" w:styleId="UnresolvedMention">
    <w:name w:val="Unresolved Mention"/>
    <w:basedOn w:val="DefaultParagraphFont"/>
    <w:uiPriority w:val="99"/>
    <w:semiHidden/>
    <w:unhideWhenUsed/>
    <w:rsid w:val="005B1E96"/>
    <w:rPr>
      <w:color w:val="605E5C"/>
      <w:shd w:val="clear" w:color="auto" w:fill="E1DFDD"/>
    </w:rPr>
  </w:style>
  <w:style w:type="paragraph" w:styleId="FootnoteText">
    <w:name w:val="footnote text"/>
    <w:basedOn w:val="Normal"/>
    <w:link w:val="FootnoteTextChar"/>
    <w:uiPriority w:val="99"/>
    <w:unhideWhenUsed/>
    <w:rsid w:val="008A6595"/>
    <w:pPr>
      <w:spacing w:after="0" w:line="240" w:lineRule="auto"/>
    </w:pPr>
    <w:rPr>
      <w:sz w:val="20"/>
      <w:szCs w:val="20"/>
    </w:rPr>
  </w:style>
  <w:style w:type="character" w:customStyle="1" w:styleId="FootnoteTextChar">
    <w:name w:val="Footnote Text Char"/>
    <w:basedOn w:val="DefaultParagraphFont"/>
    <w:link w:val="FootnoteText"/>
    <w:uiPriority w:val="99"/>
    <w:rsid w:val="008A6595"/>
    <w:rPr>
      <w:sz w:val="20"/>
      <w:szCs w:val="20"/>
    </w:rPr>
  </w:style>
  <w:style w:type="character" w:styleId="FootnoteReference">
    <w:name w:val="footnote reference"/>
    <w:basedOn w:val="DefaultParagraphFont"/>
    <w:uiPriority w:val="99"/>
    <w:unhideWhenUsed/>
    <w:rsid w:val="008A6595"/>
    <w:rPr>
      <w:vertAlign w:val="superscript"/>
    </w:rPr>
  </w:style>
  <w:style w:type="character" w:styleId="FollowedHyperlink">
    <w:name w:val="FollowedHyperlink"/>
    <w:basedOn w:val="DefaultParagraphFont"/>
    <w:uiPriority w:val="99"/>
    <w:semiHidden/>
    <w:unhideWhenUsed/>
    <w:rsid w:val="00BB7A26"/>
    <w:rPr>
      <w:color w:val="954F72" w:themeColor="followedHyperlink"/>
      <w:u w:val="single"/>
    </w:rPr>
  </w:style>
  <w:style w:type="character" w:styleId="CommentReference">
    <w:name w:val="annotation reference"/>
    <w:basedOn w:val="DefaultParagraphFont"/>
    <w:uiPriority w:val="99"/>
    <w:semiHidden/>
    <w:unhideWhenUsed/>
    <w:rsid w:val="00AC55CC"/>
    <w:rPr>
      <w:sz w:val="16"/>
      <w:szCs w:val="16"/>
    </w:rPr>
  </w:style>
  <w:style w:type="paragraph" w:styleId="CommentText">
    <w:name w:val="annotation text"/>
    <w:basedOn w:val="Normal"/>
    <w:link w:val="CommentTextChar"/>
    <w:uiPriority w:val="99"/>
    <w:unhideWhenUsed/>
    <w:rsid w:val="00AC55CC"/>
    <w:pPr>
      <w:spacing w:line="240" w:lineRule="auto"/>
    </w:pPr>
    <w:rPr>
      <w:sz w:val="20"/>
      <w:szCs w:val="20"/>
    </w:rPr>
  </w:style>
  <w:style w:type="character" w:customStyle="1" w:styleId="CommentTextChar">
    <w:name w:val="Comment Text Char"/>
    <w:basedOn w:val="DefaultParagraphFont"/>
    <w:link w:val="CommentText"/>
    <w:uiPriority w:val="99"/>
    <w:rsid w:val="00AC55CC"/>
    <w:rPr>
      <w:sz w:val="20"/>
      <w:szCs w:val="20"/>
    </w:rPr>
  </w:style>
  <w:style w:type="paragraph" w:styleId="CommentSubject">
    <w:name w:val="annotation subject"/>
    <w:basedOn w:val="CommentText"/>
    <w:next w:val="CommentText"/>
    <w:link w:val="CommentSubjectChar"/>
    <w:uiPriority w:val="99"/>
    <w:semiHidden/>
    <w:unhideWhenUsed/>
    <w:rsid w:val="00AC55CC"/>
    <w:rPr>
      <w:b/>
      <w:bCs/>
    </w:rPr>
  </w:style>
  <w:style w:type="character" w:customStyle="1" w:styleId="CommentSubjectChar">
    <w:name w:val="Comment Subject Char"/>
    <w:basedOn w:val="CommentTextChar"/>
    <w:link w:val="CommentSubject"/>
    <w:uiPriority w:val="99"/>
    <w:semiHidden/>
    <w:rsid w:val="00AC55CC"/>
    <w:rPr>
      <w:b/>
      <w:bCs/>
      <w:sz w:val="20"/>
      <w:szCs w:val="20"/>
    </w:rPr>
  </w:style>
  <w:style w:type="paragraph" w:styleId="BalloonText">
    <w:name w:val="Balloon Text"/>
    <w:basedOn w:val="Normal"/>
    <w:link w:val="BalloonTextChar"/>
    <w:uiPriority w:val="99"/>
    <w:semiHidden/>
    <w:unhideWhenUsed/>
    <w:rsid w:val="00AC5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5CC"/>
    <w:rPr>
      <w:rFonts w:ascii="Segoe UI" w:hAnsi="Segoe UI" w:cs="Segoe UI"/>
      <w:sz w:val="18"/>
      <w:szCs w:val="18"/>
    </w:rPr>
  </w:style>
  <w:style w:type="paragraph" w:styleId="NormalWeb">
    <w:name w:val="Normal (Web)"/>
    <w:basedOn w:val="Normal"/>
    <w:uiPriority w:val="99"/>
    <w:unhideWhenUsed/>
    <w:rsid w:val="007E52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52B9"/>
    <w:rPr>
      <w:b/>
      <w:bCs/>
    </w:rPr>
  </w:style>
  <w:style w:type="character" w:customStyle="1" w:styleId="ListParagraphChar">
    <w:name w:val="List Paragraph Char"/>
    <w:link w:val="ListParagraph"/>
    <w:uiPriority w:val="34"/>
    <w:locked/>
    <w:rsid w:val="00955F9E"/>
  </w:style>
  <w:style w:type="paragraph" w:styleId="Header">
    <w:name w:val="header"/>
    <w:basedOn w:val="Normal"/>
    <w:link w:val="HeaderChar"/>
    <w:uiPriority w:val="99"/>
    <w:unhideWhenUsed/>
    <w:rsid w:val="00F1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FE4"/>
  </w:style>
  <w:style w:type="paragraph" w:styleId="Footer">
    <w:name w:val="footer"/>
    <w:basedOn w:val="Normal"/>
    <w:link w:val="FooterChar"/>
    <w:uiPriority w:val="99"/>
    <w:unhideWhenUsed/>
    <w:rsid w:val="00F1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FE4"/>
  </w:style>
  <w:style w:type="paragraph" w:styleId="NoSpacing">
    <w:name w:val="No Spacing"/>
    <w:uiPriority w:val="1"/>
    <w:qFormat/>
    <w:rsid w:val="00F2207B"/>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69914">
      <w:bodyDiv w:val="1"/>
      <w:marLeft w:val="0"/>
      <w:marRight w:val="0"/>
      <w:marTop w:val="0"/>
      <w:marBottom w:val="0"/>
      <w:divBdr>
        <w:top w:val="none" w:sz="0" w:space="0" w:color="auto"/>
        <w:left w:val="none" w:sz="0" w:space="0" w:color="auto"/>
        <w:bottom w:val="none" w:sz="0" w:space="0" w:color="auto"/>
        <w:right w:val="none" w:sz="0" w:space="0" w:color="auto"/>
      </w:divBdr>
      <w:divsChild>
        <w:div w:id="1105686494">
          <w:marLeft w:val="0"/>
          <w:marRight w:val="0"/>
          <w:marTop w:val="0"/>
          <w:marBottom w:val="120"/>
          <w:divBdr>
            <w:top w:val="none" w:sz="0" w:space="0" w:color="auto"/>
            <w:left w:val="none" w:sz="0" w:space="0" w:color="auto"/>
            <w:bottom w:val="none" w:sz="0" w:space="0" w:color="auto"/>
            <w:right w:val="none" w:sz="0" w:space="0" w:color="auto"/>
          </w:divBdr>
        </w:div>
        <w:div w:id="109014163">
          <w:marLeft w:val="0"/>
          <w:marRight w:val="0"/>
          <w:marTop w:val="0"/>
          <w:marBottom w:val="120"/>
          <w:divBdr>
            <w:top w:val="none" w:sz="0" w:space="0" w:color="auto"/>
            <w:left w:val="none" w:sz="0" w:space="0" w:color="auto"/>
            <w:bottom w:val="none" w:sz="0" w:space="0" w:color="auto"/>
            <w:right w:val="none" w:sz="0" w:space="0" w:color="auto"/>
          </w:divBdr>
        </w:div>
        <w:div w:id="1586499995">
          <w:marLeft w:val="0"/>
          <w:marRight w:val="0"/>
          <w:marTop w:val="0"/>
          <w:marBottom w:val="120"/>
          <w:divBdr>
            <w:top w:val="none" w:sz="0" w:space="0" w:color="auto"/>
            <w:left w:val="none" w:sz="0" w:space="0" w:color="auto"/>
            <w:bottom w:val="none" w:sz="0" w:space="0" w:color="auto"/>
            <w:right w:val="none" w:sz="0" w:space="0" w:color="auto"/>
          </w:divBdr>
        </w:div>
      </w:divsChild>
    </w:div>
    <w:div w:id="160589247">
      <w:bodyDiv w:val="1"/>
      <w:marLeft w:val="0"/>
      <w:marRight w:val="0"/>
      <w:marTop w:val="0"/>
      <w:marBottom w:val="0"/>
      <w:divBdr>
        <w:top w:val="none" w:sz="0" w:space="0" w:color="auto"/>
        <w:left w:val="none" w:sz="0" w:space="0" w:color="auto"/>
        <w:bottom w:val="none" w:sz="0" w:space="0" w:color="auto"/>
        <w:right w:val="none" w:sz="0" w:space="0" w:color="auto"/>
      </w:divBdr>
      <w:divsChild>
        <w:div w:id="1774593733">
          <w:marLeft w:val="0"/>
          <w:marRight w:val="0"/>
          <w:marTop w:val="0"/>
          <w:marBottom w:val="120"/>
          <w:divBdr>
            <w:top w:val="none" w:sz="0" w:space="0" w:color="auto"/>
            <w:left w:val="none" w:sz="0" w:space="0" w:color="auto"/>
            <w:bottom w:val="none" w:sz="0" w:space="0" w:color="auto"/>
            <w:right w:val="none" w:sz="0" w:space="0" w:color="auto"/>
          </w:divBdr>
        </w:div>
        <w:div w:id="505630649">
          <w:marLeft w:val="0"/>
          <w:marRight w:val="0"/>
          <w:marTop w:val="0"/>
          <w:marBottom w:val="120"/>
          <w:divBdr>
            <w:top w:val="none" w:sz="0" w:space="0" w:color="auto"/>
            <w:left w:val="none" w:sz="0" w:space="0" w:color="auto"/>
            <w:bottom w:val="none" w:sz="0" w:space="0" w:color="auto"/>
            <w:right w:val="none" w:sz="0" w:space="0" w:color="auto"/>
          </w:divBdr>
        </w:div>
        <w:div w:id="580602202">
          <w:marLeft w:val="0"/>
          <w:marRight w:val="0"/>
          <w:marTop w:val="0"/>
          <w:marBottom w:val="120"/>
          <w:divBdr>
            <w:top w:val="none" w:sz="0" w:space="0" w:color="auto"/>
            <w:left w:val="none" w:sz="0" w:space="0" w:color="auto"/>
            <w:bottom w:val="none" w:sz="0" w:space="0" w:color="auto"/>
            <w:right w:val="none" w:sz="0" w:space="0" w:color="auto"/>
          </w:divBdr>
        </w:div>
        <w:div w:id="1679428988">
          <w:marLeft w:val="0"/>
          <w:marRight w:val="0"/>
          <w:marTop w:val="0"/>
          <w:marBottom w:val="120"/>
          <w:divBdr>
            <w:top w:val="none" w:sz="0" w:space="0" w:color="auto"/>
            <w:left w:val="none" w:sz="0" w:space="0" w:color="auto"/>
            <w:bottom w:val="none" w:sz="0" w:space="0" w:color="auto"/>
            <w:right w:val="none" w:sz="0" w:space="0" w:color="auto"/>
          </w:divBdr>
        </w:div>
        <w:div w:id="466630310">
          <w:marLeft w:val="0"/>
          <w:marRight w:val="0"/>
          <w:marTop w:val="0"/>
          <w:marBottom w:val="120"/>
          <w:divBdr>
            <w:top w:val="none" w:sz="0" w:space="0" w:color="auto"/>
            <w:left w:val="none" w:sz="0" w:space="0" w:color="auto"/>
            <w:bottom w:val="none" w:sz="0" w:space="0" w:color="auto"/>
            <w:right w:val="none" w:sz="0" w:space="0" w:color="auto"/>
          </w:divBdr>
        </w:div>
      </w:divsChild>
    </w:div>
    <w:div w:id="160705488">
      <w:bodyDiv w:val="1"/>
      <w:marLeft w:val="0"/>
      <w:marRight w:val="0"/>
      <w:marTop w:val="0"/>
      <w:marBottom w:val="0"/>
      <w:divBdr>
        <w:top w:val="none" w:sz="0" w:space="0" w:color="auto"/>
        <w:left w:val="none" w:sz="0" w:space="0" w:color="auto"/>
        <w:bottom w:val="none" w:sz="0" w:space="0" w:color="auto"/>
        <w:right w:val="none" w:sz="0" w:space="0" w:color="auto"/>
      </w:divBdr>
    </w:div>
    <w:div w:id="247740313">
      <w:bodyDiv w:val="1"/>
      <w:marLeft w:val="0"/>
      <w:marRight w:val="0"/>
      <w:marTop w:val="0"/>
      <w:marBottom w:val="0"/>
      <w:divBdr>
        <w:top w:val="none" w:sz="0" w:space="0" w:color="auto"/>
        <w:left w:val="none" w:sz="0" w:space="0" w:color="auto"/>
        <w:bottom w:val="none" w:sz="0" w:space="0" w:color="auto"/>
        <w:right w:val="none" w:sz="0" w:space="0" w:color="auto"/>
      </w:divBdr>
    </w:div>
    <w:div w:id="361126918">
      <w:bodyDiv w:val="1"/>
      <w:marLeft w:val="0"/>
      <w:marRight w:val="0"/>
      <w:marTop w:val="0"/>
      <w:marBottom w:val="0"/>
      <w:divBdr>
        <w:top w:val="none" w:sz="0" w:space="0" w:color="auto"/>
        <w:left w:val="none" w:sz="0" w:space="0" w:color="auto"/>
        <w:bottom w:val="none" w:sz="0" w:space="0" w:color="auto"/>
        <w:right w:val="none" w:sz="0" w:space="0" w:color="auto"/>
      </w:divBdr>
    </w:div>
    <w:div w:id="411968859">
      <w:bodyDiv w:val="1"/>
      <w:marLeft w:val="0"/>
      <w:marRight w:val="0"/>
      <w:marTop w:val="0"/>
      <w:marBottom w:val="0"/>
      <w:divBdr>
        <w:top w:val="none" w:sz="0" w:space="0" w:color="auto"/>
        <w:left w:val="none" w:sz="0" w:space="0" w:color="auto"/>
        <w:bottom w:val="none" w:sz="0" w:space="0" w:color="auto"/>
        <w:right w:val="none" w:sz="0" w:space="0" w:color="auto"/>
      </w:divBdr>
    </w:div>
    <w:div w:id="414133596">
      <w:bodyDiv w:val="1"/>
      <w:marLeft w:val="0"/>
      <w:marRight w:val="0"/>
      <w:marTop w:val="0"/>
      <w:marBottom w:val="0"/>
      <w:divBdr>
        <w:top w:val="none" w:sz="0" w:space="0" w:color="auto"/>
        <w:left w:val="none" w:sz="0" w:space="0" w:color="auto"/>
        <w:bottom w:val="none" w:sz="0" w:space="0" w:color="auto"/>
        <w:right w:val="none" w:sz="0" w:space="0" w:color="auto"/>
      </w:divBdr>
    </w:div>
    <w:div w:id="640769251">
      <w:bodyDiv w:val="1"/>
      <w:marLeft w:val="0"/>
      <w:marRight w:val="0"/>
      <w:marTop w:val="0"/>
      <w:marBottom w:val="0"/>
      <w:divBdr>
        <w:top w:val="none" w:sz="0" w:space="0" w:color="auto"/>
        <w:left w:val="none" w:sz="0" w:space="0" w:color="auto"/>
        <w:bottom w:val="none" w:sz="0" w:space="0" w:color="auto"/>
        <w:right w:val="none" w:sz="0" w:space="0" w:color="auto"/>
      </w:divBdr>
    </w:div>
    <w:div w:id="659503124">
      <w:bodyDiv w:val="1"/>
      <w:marLeft w:val="0"/>
      <w:marRight w:val="0"/>
      <w:marTop w:val="0"/>
      <w:marBottom w:val="0"/>
      <w:divBdr>
        <w:top w:val="none" w:sz="0" w:space="0" w:color="auto"/>
        <w:left w:val="none" w:sz="0" w:space="0" w:color="auto"/>
        <w:bottom w:val="none" w:sz="0" w:space="0" w:color="auto"/>
        <w:right w:val="none" w:sz="0" w:space="0" w:color="auto"/>
      </w:divBdr>
    </w:div>
    <w:div w:id="926114674">
      <w:bodyDiv w:val="1"/>
      <w:marLeft w:val="0"/>
      <w:marRight w:val="0"/>
      <w:marTop w:val="0"/>
      <w:marBottom w:val="0"/>
      <w:divBdr>
        <w:top w:val="none" w:sz="0" w:space="0" w:color="auto"/>
        <w:left w:val="none" w:sz="0" w:space="0" w:color="auto"/>
        <w:bottom w:val="none" w:sz="0" w:space="0" w:color="auto"/>
        <w:right w:val="none" w:sz="0" w:space="0" w:color="auto"/>
      </w:divBdr>
    </w:div>
    <w:div w:id="1052340035">
      <w:bodyDiv w:val="1"/>
      <w:marLeft w:val="0"/>
      <w:marRight w:val="0"/>
      <w:marTop w:val="0"/>
      <w:marBottom w:val="0"/>
      <w:divBdr>
        <w:top w:val="none" w:sz="0" w:space="0" w:color="auto"/>
        <w:left w:val="none" w:sz="0" w:space="0" w:color="auto"/>
        <w:bottom w:val="none" w:sz="0" w:space="0" w:color="auto"/>
        <w:right w:val="none" w:sz="0" w:space="0" w:color="auto"/>
      </w:divBdr>
    </w:div>
    <w:div w:id="1597129987">
      <w:bodyDiv w:val="1"/>
      <w:marLeft w:val="0"/>
      <w:marRight w:val="0"/>
      <w:marTop w:val="0"/>
      <w:marBottom w:val="0"/>
      <w:divBdr>
        <w:top w:val="none" w:sz="0" w:space="0" w:color="auto"/>
        <w:left w:val="none" w:sz="0" w:space="0" w:color="auto"/>
        <w:bottom w:val="none" w:sz="0" w:space="0" w:color="auto"/>
        <w:right w:val="none" w:sz="0" w:space="0" w:color="auto"/>
      </w:divBdr>
    </w:div>
    <w:div w:id="1611468931">
      <w:bodyDiv w:val="1"/>
      <w:marLeft w:val="0"/>
      <w:marRight w:val="0"/>
      <w:marTop w:val="0"/>
      <w:marBottom w:val="0"/>
      <w:divBdr>
        <w:top w:val="none" w:sz="0" w:space="0" w:color="auto"/>
        <w:left w:val="none" w:sz="0" w:space="0" w:color="auto"/>
        <w:bottom w:val="none" w:sz="0" w:space="0" w:color="auto"/>
        <w:right w:val="none" w:sz="0" w:space="0" w:color="auto"/>
      </w:divBdr>
    </w:div>
    <w:div w:id="1633635357">
      <w:bodyDiv w:val="1"/>
      <w:marLeft w:val="0"/>
      <w:marRight w:val="0"/>
      <w:marTop w:val="0"/>
      <w:marBottom w:val="0"/>
      <w:divBdr>
        <w:top w:val="none" w:sz="0" w:space="0" w:color="auto"/>
        <w:left w:val="none" w:sz="0" w:space="0" w:color="auto"/>
        <w:bottom w:val="none" w:sz="0" w:space="0" w:color="auto"/>
        <w:right w:val="none" w:sz="0" w:space="0" w:color="auto"/>
      </w:divBdr>
    </w:div>
    <w:div w:id="1787045521">
      <w:bodyDiv w:val="1"/>
      <w:marLeft w:val="0"/>
      <w:marRight w:val="0"/>
      <w:marTop w:val="0"/>
      <w:marBottom w:val="0"/>
      <w:divBdr>
        <w:top w:val="none" w:sz="0" w:space="0" w:color="auto"/>
        <w:left w:val="none" w:sz="0" w:space="0" w:color="auto"/>
        <w:bottom w:val="none" w:sz="0" w:space="0" w:color="auto"/>
        <w:right w:val="none" w:sz="0" w:space="0" w:color="auto"/>
      </w:divBdr>
    </w:div>
    <w:div w:id="1952661805">
      <w:bodyDiv w:val="1"/>
      <w:marLeft w:val="0"/>
      <w:marRight w:val="0"/>
      <w:marTop w:val="0"/>
      <w:marBottom w:val="0"/>
      <w:divBdr>
        <w:top w:val="none" w:sz="0" w:space="0" w:color="auto"/>
        <w:left w:val="none" w:sz="0" w:space="0" w:color="auto"/>
        <w:bottom w:val="none" w:sz="0" w:space="0" w:color="auto"/>
        <w:right w:val="none" w:sz="0" w:space="0" w:color="auto"/>
      </w:divBdr>
    </w:div>
    <w:div w:id="1959531699">
      <w:bodyDiv w:val="1"/>
      <w:marLeft w:val="0"/>
      <w:marRight w:val="0"/>
      <w:marTop w:val="0"/>
      <w:marBottom w:val="0"/>
      <w:divBdr>
        <w:top w:val="none" w:sz="0" w:space="0" w:color="auto"/>
        <w:left w:val="none" w:sz="0" w:space="0" w:color="auto"/>
        <w:bottom w:val="none" w:sz="0" w:space="0" w:color="auto"/>
        <w:right w:val="none" w:sz="0" w:space="0" w:color="auto"/>
      </w:divBdr>
    </w:div>
    <w:div w:id="20480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pn.eu/20302-2/" TargetMode="External"/><Relationship Id="rId18" Type="http://schemas.openxmlformats.org/officeDocument/2006/relationships/hyperlink" Target="https://www.eapn.eu/eapn-position-paper-on-adequate-income/" TargetMode="External"/><Relationship Id="rId26" Type="http://schemas.openxmlformats.org/officeDocument/2006/relationships/hyperlink" Target="https://www.feantsa.org/en/toolkit/2005/04/01/ethos-typology-on-homelessness-and-housing-exclusion" TargetMode="External"/><Relationship Id="rId39" Type="http://schemas.openxmlformats.org/officeDocument/2006/relationships/hyperlink" Target="https://www.eapn.eu/eapn-answers-the-european-commission-consultation-on-access-to-social-protection-for-all-workers/" TargetMode="External"/><Relationship Id="rId21" Type="http://schemas.openxmlformats.org/officeDocument/2006/relationships/hyperlink" Target="file:///C:\Users\Sian\AppData\Local\Microsoft\Windows\INetCache\Content.Outlook\XETF4GGI\Proposalfor%20a%20Council%20Recommendation%20on%20the%20Child%20Guaranteefor%20the%20wellbeing%20of%20all%20children%20across%20the%20EU" TargetMode="External"/><Relationship Id="rId34" Type="http://schemas.openxmlformats.org/officeDocument/2006/relationships/hyperlink" Target="https://eminnetwork.files.wordpress.com/2018/12/EAPN-2010-Minimum-Income-Directive-legal-assessment-107.pdf" TargetMode="External"/><Relationship Id="rId42" Type="http://schemas.openxmlformats.org/officeDocument/2006/relationships/hyperlink" Target="https://ec.europa.eu/social/main.jsp?catId=89&amp;furtherNews=yes&amp;langId=en&amp;newsId=9478" TargetMode="External"/><Relationship Id="rId47" Type="http://schemas.openxmlformats.org/officeDocument/2006/relationships/hyperlink" Target="https://www.eapn.eu/images/stories/docs/eapn-books/2014-EAPN-Explainer-Quality-of-Work-and-Employment-web.pdf" TargetMode="External"/><Relationship Id="rId50" Type="http://schemas.openxmlformats.org/officeDocument/2006/relationships/hyperlink" Target="https://www.eapn.eu/wp-content/uploads/2018/03/EAPN-Short-Report_PeP2017_electronic.pdf" TargetMode="External"/><Relationship Id="rId55" Type="http://schemas.openxmlformats.org/officeDocument/2006/relationships/hyperlink" Target="https://www.eapn.eu/wp-content/uploads/2020/02/EAPN-2019PEP-REPORT-4119.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EAPN%20calls%20for%20a%20high-profile%20EPSR%20Action%20Plan%20proposing%20soft%20and%20hard%20law%20measures,%20with%20a%20clear%20timetable%20at%20EU%20and%20national%20level,%20mapping%20progress%20towards%20obligatory%20social%20rights%20that%20guarantee%20basic%20living%20standards%20fhttps:/www.eapn.eu/delivering-agenda-2030-for-people-and-planet-eapn-proposals-for-a-post-europe-2020-strategy/" TargetMode="External"/><Relationship Id="rId20" Type="http://schemas.openxmlformats.org/officeDocument/2006/relationships/hyperlink" Target="https://www.feantsa.org/en/toolkit/2005/04/01/ethos-typology-on-homelessness-and-housing-exclusion" TargetMode="External"/><Relationship Id="rId29" Type="http://schemas.openxmlformats.org/officeDocument/2006/relationships/hyperlink" Target="https://eur-lex.europa.eu/legal-content/EN/TXT/?uri=COM%3A2018%3A375%3AFIN" TargetMode="External"/><Relationship Id="rId41" Type="http://schemas.openxmlformats.org/officeDocument/2006/relationships/hyperlink" Target="https://www.eapn.eu/wp-content/uploads/2016/01/2012-10-principles-on-quality-work.pdf" TargetMode="External"/><Relationship Id="rId54" Type="http://schemas.openxmlformats.org/officeDocument/2006/relationships/hyperlink" Target="https://www.eapn.eu/wp-content/uploads/2017/01/EAPN-2016-12-EAPN-Access-to-Housing-and-Health-Services-963.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pn.eu/15644-2/" TargetMode="External"/><Relationship Id="rId24" Type="http://schemas.openxmlformats.org/officeDocument/2006/relationships/hyperlink" Target="https://eur-lex.europa.eu/LexUriServ/LexUriServ.do?uri=OJ:L:2008:307:0011:0014:EN:PDF" TargetMode="External"/><Relationship Id="rId32" Type="http://schemas.openxmlformats.org/officeDocument/2006/relationships/hyperlink" Target="https://www.eapn.eu/eapn-position-paper-on-adequate-income/" TargetMode="External"/><Relationship Id="rId37" Type="http://schemas.openxmlformats.org/officeDocument/2006/relationships/hyperlink" Target="https://www.socialplatform.org/wp-content/uploads/2014/06/20140624_SocialPlatform_PositionPaper_Directive-Minimum-Income.pdf" TargetMode="External"/><Relationship Id="rId40" Type="http://schemas.openxmlformats.org/officeDocument/2006/relationships/hyperlink" Target="https://www.ilo.org/secsoc/areas-of-work/legal-advice/WCMS_205341/lang--en/index.htm" TargetMode="External"/><Relationship Id="rId45" Type="http://schemas.openxmlformats.org/officeDocument/2006/relationships/hyperlink" Target="https://www.eapn.eu/the-future-of-work-labour-market-trends-and-their-implications-for-risks-of-poverty-and-social-exclusion/" TargetMode="External"/><Relationship Id="rId53" Type="http://schemas.openxmlformats.org/officeDocument/2006/relationships/hyperlink" Target="https://www.eapn.eu/eapn-position-paper-on-adequate-income/" TargetMode="External"/><Relationship Id="rId58" Type="http://schemas.openxmlformats.org/officeDocument/2006/relationships/hyperlink" Target="https://www.feantsa.org/en/toolkit/2005/04/01/ethos-typology-on-homelessness-and-housing-exclusion" TargetMode="External"/><Relationship Id="rId5" Type="http://schemas.openxmlformats.org/officeDocument/2006/relationships/webSettings" Target="webSettings.xml"/><Relationship Id="rId15" Type="http://schemas.openxmlformats.org/officeDocument/2006/relationships/hyperlink" Target="https://www.eapn.eu/voices-of-poverty/" TargetMode="External"/><Relationship Id="rId23" Type="http://schemas.openxmlformats.org/officeDocument/2006/relationships/hyperlink" Target="https://www.eapn.eu/delivering-agenda-2030-for-people-and-planet-eapn-proposals-for-a-post-europe-2020-strategy/" TargetMode="External"/><Relationship Id="rId28" Type="http://schemas.openxmlformats.org/officeDocument/2006/relationships/hyperlink" Target="https://eur-lex.europa.eu/legal-content/EN/TXT/?uri=CELLAR:4119596d-a475-11e9-9d01-01aa75ed71a1" TargetMode="External"/><Relationship Id="rId36" Type="http://schemas.openxmlformats.org/officeDocument/2006/relationships/hyperlink" Target="https://www.etuc.org/sites/default/files/document/file/2020-02/A%20Trade%20Union%20input%20for%20an%20Action%20Plan%20to%20Implement%20the%20European%20Pillar%20of%20Social%20Rights%20%20%2B%20Annex%20%28Adopted%29.pdf" TargetMode="External"/><Relationship Id="rId49" Type="http://schemas.openxmlformats.org/officeDocument/2006/relationships/hyperlink" Target="https://www.eapn.eu/wp-content/uploads/2018/01/EAPN-16thPEP-Meeting-2017-full-report_final-smaller-document-size.pdf" TargetMode="External"/><Relationship Id="rId57" Type="http://schemas.openxmlformats.org/officeDocument/2006/relationships/hyperlink" Target="https://ec.europa.eu/energy/topics/energy-strategy/national-energy-climate-plans_en" TargetMode="External"/><Relationship Id="rId61" Type="http://schemas.openxmlformats.org/officeDocument/2006/relationships/hyperlink" Target="https://www.eapn.eu/wp-content/uploads/2019/04/EAPN-Long-Report_PEP_FINAL-3537.pdf" TargetMode="External"/><Relationship Id="rId10" Type="http://schemas.openxmlformats.org/officeDocument/2006/relationships/hyperlink" Target="https://www.eapn.eu/wp-content/uploads/2020/03/EAPN-2020-EAPN-open-letter-to-EU-leaders-on-COVID19_-4174.pdf" TargetMode="External"/><Relationship Id="rId19" Type="http://schemas.openxmlformats.org/officeDocument/2006/relationships/hyperlink" Target="https://www.eapn.eu/eapn-position-paper-on-adequate-income/" TargetMode="External"/><Relationship Id="rId31" Type="http://schemas.openxmlformats.org/officeDocument/2006/relationships/hyperlink" Target="https://www.budgeting.ie/publications/mesl-2019/" TargetMode="External"/><Relationship Id="rId44" Type="http://schemas.openxmlformats.org/officeDocument/2006/relationships/hyperlink" Target="https://www.eapn.eu/inclusive-labour-markets-quality-employment-eapn-position-paper/" TargetMode="External"/><Relationship Id="rId52" Type="http://schemas.openxmlformats.org/officeDocument/2006/relationships/hyperlink" Target="https://ec.europa.eu/eurostat/statistics-explained/index.php?title=Glossary:Median" TargetMode="External"/><Relationship Id="rId60" Type="http://schemas.openxmlformats.org/officeDocument/2006/relationships/hyperlink" Target="file:///C:\Users\Sian\AppData\Local\Microsoft\Windows\INetCache\Content.Outlook\XETF4GGI\Proposalfor%20a%20Council%20Recommendation%20on%20the%20Child%20Guaranteefor%20the%20wellbeing%20of%20all%20children%20across%20the%20E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social/main.jsp?catId=1487&amp;langId=en" TargetMode="External"/><Relationship Id="rId14" Type="http://schemas.openxmlformats.org/officeDocument/2006/relationships/hyperlink" Target="https://www.eapn.eu/delivering-agenda-2030-for-people-and-planet-eapn-proposals-for-a-post-europe-2020-strategy/" TargetMode="External"/><Relationship Id="rId22" Type="http://schemas.openxmlformats.org/officeDocument/2006/relationships/hyperlink" Target="https://www.eapn.eu/crs-2020-putting-social-rights-and-poverty-reduction-at-the-heart-of-the-covid-19-response-eapn-letter-to-commissioner-dombrovskis/" TargetMode="External"/><Relationship Id="rId27" Type="http://schemas.openxmlformats.org/officeDocument/2006/relationships/hyperlink" Target="https://en.wikipedia.org/wiki/Charter_of_the_United_Nations" TargetMode="External"/><Relationship Id="rId30" Type="http://schemas.openxmlformats.org/officeDocument/2006/relationships/hyperlink" Target="https://www.eapn.eu/voices-of-poverty/" TargetMode="External"/><Relationship Id="rId35" Type="http://schemas.openxmlformats.org/officeDocument/2006/relationships/hyperlink" Target="https://www.eesc.europa.eu/en/our-work/opinions-information-reports/opinions/european-framework-directive-minimum-income-own-initiative-opinion" TargetMode="External"/><Relationship Id="rId43" Type="http://schemas.openxmlformats.org/officeDocument/2006/relationships/hyperlink" Target="https://www.eapn.eu/quality-work-for-quality-life-eapn-s-10-principles/" TargetMode="External"/><Relationship Id="rId48" Type="http://schemas.openxmlformats.org/officeDocument/2006/relationships/hyperlink" Target="https://www.eapn.eu/16th-european-meeting-people-experiencing-poverty-lets-tackle-in-work-poverty-2017pep/" TargetMode="External"/><Relationship Id="rId56" Type="http://schemas.openxmlformats.org/officeDocument/2006/relationships/hyperlink" Target="https://www.eapn.eu/wp-content/uploads/2020/02/EAPN-2019PEP-REPORT-4119.pdf" TargetMode="External"/><Relationship Id="rId64" Type="http://schemas.openxmlformats.org/officeDocument/2006/relationships/fontTable" Target="fontTable.xml"/><Relationship Id="rId8" Type="http://schemas.openxmlformats.org/officeDocument/2006/relationships/hyperlink" Target="https://eur-lex.europa.eu/legal-content/EN/TXT/HTML/?uri=CELEX:52020DC0014&amp;from=EN" TargetMode="External"/><Relationship Id="rId51" Type="http://schemas.openxmlformats.org/officeDocument/2006/relationships/hyperlink" Target="https://www.eapn.eu/combatting-in-work-poverty-eapn-compendium-of-promising-practices/" TargetMode="External"/><Relationship Id="rId3" Type="http://schemas.openxmlformats.org/officeDocument/2006/relationships/styles" Target="styles.xml"/><Relationship Id="rId12" Type="http://schemas.openxmlformats.org/officeDocument/2006/relationships/hyperlink" Target="https://www.eapn.eu/18092-2/" TargetMode="External"/><Relationship Id="rId17" Type="http://schemas.openxmlformats.org/officeDocument/2006/relationships/hyperlink" Target="https://www.feantsa.org/en/toolkit/2005/04/01/ethos-typology-on-homelessness-and-housing-exclusion" TargetMode="External"/><Relationship Id="rId25" Type="http://schemas.openxmlformats.org/officeDocument/2006/relationships/hyperlink" Target="https://eur-lex.europa.eu/legal-content/EN/ALL/?uri=CELEX:32013H0112" TargetMode="External"/><Relationship Id="rId33" Type="http://schemas.openxmlformats.org/officeDocument/2006/relationships/hyperlink" Target="https://www.eapn.eu/wp-content/uploads/Working-Paper-on-a-Framework-Directive-EN-FINAL.pdf" TargetMode="External"/><Relationship Id="rId38" Type="http://schemas.openxmlformats.org/officeDocument/2006/relationships/hyperlink" Target="https://www.europarl.europa.eu/doceo/document/A-8-2017-0292_EN.html" TargetMode="External"/><Relationship Id="rId46" Type="http://schemas.openxmlformats.org/officeDocument/2006/relationships/hyperlink" Target="https://www.eapn.eu/images/stories/docs/EAPN-position-papers-and-reports/2013-EAPN-in-work-poverty-position-paper-web.pdf" TargetMode="External"/><Relationship Id="rId59" Type="http://schemas.openxmlformats.org/officeDocument/2006/relationships/hyperlink" Target="https://www.eurochild.org/fileadmin/public/03_Internal/Calls/Child_Guarantee_pdf_fi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minnetwork.files.wordpress.com/2013/04/emin-synthesis-report-road-map-2014-en.pdf" TargetMode="External"/><Relationship Id="rId13" Type="http://schemas.openxmlformats.org/officeDocument/2006/relationships/hyperlink" Target="https://ec.europa.eu/eurostat/statistics-explained/index.php/Glossary:At-risk-of-poverty_rate" TargetMode="External"/><Relationship Id="rId18" Type="http://schemas.openxmlformats.org/officeDocument/2006/relationships/hyperlink" Target="https://www.eapn.eu/launch-of-energy-poverty-handbook-in-european-parliament/" TargetMode="External"/><Relationship Id="rId3" Type="http://schemas.openxmlformats.org/officeDocument/2006/relationships/hyperlink" Target="http://www.feantsa.org" TargetMode="External"/><Relationship Id="rId21" Type="http://schemas.openxmlformats.org/officeDocument/2006/relationships/hyperlink" Target="https://righttoenergy.org/2019/11/28/a-green-new-deal-for-all/" TargetMode="External"/><Relationship Id="rId7" Type="http://schemas.openxmlformats.org/officeDocument/2006/relationships/hyperlink" Target="https://www.eesc.europa.eu/en/our-work/opinions-information-reports/opinions/european-framework-directive-minimum-income-own-initiative-opinion" TargetMode="External"/><Relationship Id="rId12" Type="http://schemas.openxmlformats.org/officeDocument/2006/relationships/hyperlink" Target="https://www.eapn.eu/images/stories/docs/campaigns/2016-EAPN-Living-Wage-2-pager.pdf" TargetMode="External"/><Relationship Id="rId17" Type="http://schemas.openxmlformats.org/officeDocument/2006/relationships/hyperlink" Target="https://righttoenergy.org/2019/11/28/a-green-new-deal-for-all/" TargetMode="External"/><Relationship Id="rId2" Type="http://schemas.openxmlformats.org/officeDocument/2006/relationships/hyperlink" Target="http://www.feantsa.org" TargetMode="External"/><Relationship Id="rId16" Type="http://schemas.openxmlformats.org/officeDocument/2006/relationships/hyperlink" Target="https://eur-lex.europa.eu/legal-content/EN/ALL/?uri=CELEX:32008H0867" TargetMode="External"/><Relationship Id="rId20" Type="http://schemas.openxmlformats.org/officeDocument/2006/relationships/hyperlink" Target="https://www.epsu.org/article/right-energy-all-europeans-be-promoted-european-parliament" TargetMode="External"/><Relationship Id="rId1" Type="http://schemas.openxmlformats.org/officeDocument/2006/relationships/hyperlink" Target="https://www.eapn.eu/voices-of-poverty/" TargetMode="External"/><Relationship Id="rId6" Type="http://schemas.openxmlformats.org/officeDocument/2006/relationships/hyperlink" Target="http://WWW.budgeting.ie" TargetMode="External"/><Relationship Id="rId11" Type="http://schemas.openxmlformats.org/officeDocument/2006/relationships/hyperlink" Target="https://www.etuc.org/sites/default/files/document/file/2020-02/ETUC%20REPLY%20to%20the%20First%20Phase%20Consultation%20of%20Social%20Partners%20under%20Article%20154%20TFEU%20on%20a%20possible%20action%20addressing%20the%20challenges%20related%20to%20fair%20minimum%20wages_0.pdf" TargetMode="External"/><Relationship Id="rId24" Type="http://schemas.openxmlformats.org/officeDocument/2006/relationships/hyperlink" Target="https://www.cedefop.europa.eu/en/events-and-projects/projects/validation-non-formal-and-informal-learning/european-inventory" TargetMode="External"/><Relationship Id="rId5" Type="http://schemas.openxmlformats.org/officeDocument/2006/relationships/hyperlink" Target="https://www.eapn.eu/a-step-forward-for-social-rights-eapn-assessment-of-2019-country-specific-recommendations-country-analysis/" TargetMode="External"/><Relationship Id="rId15" Type="http://schemas.openxmlformats.org/officeDocument/2006/relationships/hyperlink" Target="https://eur-lex.europa.eu/legal-content/EN/ALL/?uri=CELEX:52008DC0639" TargetMode="External"/><Relationship Id="rId23" Type="http://schemas.openxmlformats.org/officeDocument/2006/relationships/hyperlink" Target="https://www.eapn.eu/leaving-nobody-behind-ensuring-education-vocational-training-and-lifelong-learning-contributes-to-the-prevention-and-reduction-of-poverty-and-social-exclusion-eapn-key-issues-and-promising-pract/" TargetMode="External"/><Relationship Id="rId10" Type="http://schemas.openxmlformats.org/officeDocument/2006/relationships/hyperlink" Target="https://www.ilo.org/global/topics/decent-work/lang--en/index.htm" TargetMode="External"/><Relationship Id="rId19" Type="http://schemas.openxmlformats.org/officeDocument/2006/relationships/hyperlink" Target="https://righttoenergy.org/" TargetMode="External"/><Relationship Id="rId4" Type="http://schemas.openxmlformats.org/officeDocument/2006/relationships/hyperlink" Target="http://www.feantsa.org" TargetMode="External"/><Relationship Id="rId9" Type="http://schemas.openxmlformats.org/officeDocument/2006/relationships/hyperlink" Target="https://eminnetwork.files.wordpress.com/2019/02/emin2-eu-final-report-jan_2018.pdf" TargetMode="External"/><Relationship Id="rId14" Type="http://schemas.openxmlformats.org/officeDocument/2006/relationships/hyperlink" Target="https://ec.europa.eu/commission/presscorner/detail/en/IP_19_3412" TargetMode="External"/><Relationship Id="rId22" Type="http://schemas.openxmlformats.org/officeDocument/2006/relationships/hyperlink" Target="http://www.fean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F4F-3772-4C5A-B1EB-80DEC2E1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15271</Words>
  <Characters>87050</Characters>
  <Application>Microsoft Office Word</Application>
  <DocSecurity>0</DocSecurity>
  <Lines>725</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Sian Jones</cp:lastModifiedBy>
  <cp:revision>2</cp:revision>
  <cp:lastPrinted>2020-03-20T15:38:00Z</cp:lastPrinted>
  <dcterms:created xsi:type="dcterms:W3CDTF">2020-06-08T10:53:00Z</dcterms:created>
  <dcterms:modified xsi:type="dcterms:W3CDTF">2020-06-08T10:53:00Z</dcterms:modified>
</cp:coreProperties>
</file>