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A7183" w:rsidRDefault="004A7183" w:rsidP="0027795D">
      <w:pPr>
        <w:rPr>
          <w:b/>
          <w:bCs/>
          <w:lang w:val="en-US"/>
        </w:rPr>
      </w:pPr>
      <w:r w:rsidRPr="00812E2E">
        <w:rPr>
          <w:b/>
          <w:bCs/>
          <w:lang w:val="en-US"/>
        </w:rPr>
        <w:t>EAPN Spain</w:t>
      </w:r>
      <w:r w:rsidR="00812E2E">
        <w:rPr>
          <w:b/>
          <w:bCs/>
          <w:lang w:val="en-US"/>
        </w:rPr>
        <w:t>’s</w:t>
      </w:r>
      <w:r w:rsidRPr="00812E2E">
        <w:rPr>
          <w:b/>
          <w:bCs/>
          <w:lang w:val="en-US"/>
        </w:rPr>
        <w:t xml:space="preserve"> input on Green </w:t>
      </w:r>
      <w:r w:rsidR="00C3096C">
        <w:rPr>
          <w:b/>
          <w:bCs/>
          <w:lang w:val="en-US"/>
        </w:rPr>
        <w:t xml:space="preserve">and Social </w:t>
      </w:r>
      <w:r w:rsidRPr="00812E2E">
        <w:rPr>
          <w:b/>
          <w:bCs/>
          <w:lang w:val="en-US"/>
        </w:rPr>
        <w:t>Transition</w:t>
      </w:r>
    </w:p>
    <w:p w:rsidR="00085977" w:rsidRDefault="00085977" w:rsidP="00812E2E">
      <w:pPr>
        <w:ind w:left="720" w:hanging="360"/>
        <w:rPr>
          <w:b/>
          <w:bCs/>
          <w:lang w:val="en-US"/>
        </w:rPr>
      </w:pPr>
    </w:p>
    <w:p w:rsidR="00085977" w:rsidRDefault="00085977" w:rsidP="00085977">
      <w:pPr>
        <w:rPr>
          <w:b/>
          <w:bCs/>
          <w:lang w:val="en-US"/>
        </w:rPr>
      </w:pPr>
      <w:r>
        <w:rPr>
          <w:b/>
          <w:bCs/>
          <w:lang w:val="en-US"/>
        </w:rPr>
        <w:t>A proposed common strategy on three tiers:</w:t>
      </w:r>
    </w:p>
    <w:p w:rsidR="00C3096C" w:rsidRDefault="00C3096C" w:rsidP="00812E2E">
      <w:pPr>
        <w:ind w:left="720" w:hanging="360"/>
        <w:rPr>
          <w:b/>
          <w:bCs/>
          <w:lang w:val="en-US"/>
        </w:rPr>
      </w:pPr>
    </w:p>
    <w:p w:rsidR="00C3096C" w:rsidRPr="00C3096C" w:rsidRDefault="00C3096C" w:rsidP="00C3096C">
      <w:pPr>
        <w:pStyle w:val="Prrafodelista"/>
        <w:numPr>
          <w:ilvl w:val="0"/>
          <w:numId w:val="7"/>
        </w:numPr>
        <w:rPr>
          <w:lang w:val="en-US"/>
        </w:rPr>
      </w:pPr>
      <w:r w:rsidRPr="00C3096C">
        <w:rPr>
          <w:lang w:val="en-US"/>
        </w:rPr>
        <w:t xml:space="preserve">Advocacy to the EU and our national governments to deliver in the environmental SDG, with ambitious timelines. </w:t>
      </w:r>
    </w:p>
    <w:p w:rsidR="00C3096C" w:rsidRPr="00C3096C" w:rsidRDefault="00C3096C" w:rsidP="00C3096C">
      <w:pPr>
        <w:pStyle w:val="Prrafodelista"/>
        <w:numPr>
          <w:ilvl w:val="0"/>
          <w:numId w:val="7"/>
        </w:numPr>
        <w:rPr>
          <w:lang w:val="en-US"/>
        </w:rPr>
      </w:pPr>
      <w:r w:rsidRPr="00C3096C">
        <w:rPr>
          <w:lang w:val="en-US"/>
        </w:rPr>
        <w:t xml:space="preserve">A </w:t>
      </w:r>
      <w:proofErr w:type="spellStart"/>
      <w:r w:rsidRPr="00C3096C">
        <w:rPr>
          <w:lang w:val="en-US"/>
        </w:rPr>
        <w:t>multisectorial</w:t>
      </w:r>
      <w:proofErr w:type="spellEnd"/>
      <w:r w:rsidRPr="00C3096C">
        <w:rPr>
          <w:lang w:val="en-US"/>
        </w:rPr>
        <w:t xml:space="preserve"> approach which explains the consequences of the proposed green transition and PEP. </w:t>
      </w:r>
    </w:p>
    <w:p w:rsidR="00C3096C" w:rsidRPr="00C3096C" w:rsidRDefault="00C3096C" w:rsidP="00C3096C">
      <w:pPr>
        <w:pStyle w:val="Prrafodelista"/>
        <w:numPr>
          <w:ilvl w:val="0"/>
          <w:numId w:val="7"/>
        </w:numPr>
        <w:rPr>
          <w:lang w:val="en-US"/>
        </w:rPr>
      </w:pPr>
      <w:r w:rsidRPr="00C3096C">
        <w:rPr>
          <w:lang w:val="en-US"/>
        </w:rPr>
        <w:t>Thematic analysis</w:t>
      </w:r>
      <w:r w:rsidRPr="00C3096C">
        <w:rPr>
          <w:lang w:val="en-US"/>
        </w:rPr>
        <w:t xml:space="preserve"> as energy poverty.</w:t>
      </w:r>
    </w:p>
    <w:p w:rsidR="00E9634F" w:rsidRDefault="00E9634F" w:rsidP="009325C1">
      <w:pPr>
        <w:rPr>
          <w:lang w:val="en-GB"/>
        </w:rPr>
      </w:pPr>
    </w:p>
    <w:p w:rsidR="00085977" w:rsidRPr="00085977" w:rsidRDefault="00085977" w:rsidP="009325C1">
      <w:pPr>
        <w:rPr>
          <w:b/>
          <w:bCs/>
          <w:lang w:val="en-GB"/>
        </w:rPr>
      </w:pPr>
      <w:r w:rsidRPr="00085977">
        <w:rPr>
          <w:b/>
          <w:bCs/>
          <w:lang w:val="en-GB"/>
        </w:rPr>
        <w:t>The Spanish input</w:t>
      </w:r>
    </w:p>
    <w:p w:rsidR="00085977" w:rsidRDefault="00085977" w:rsidP="009325C1">
      <w:pPr>
        <w:rPr>
          <w:lang w:val="en-GB"/>
        </w:rPr>
      </w:pPr>
    </w:p>
    <w:p w:rsidR="00085977" w:rsidRDefault="00085977" w:rsidP="009325C1">
      <w:pPr>
        <w:rPr>
          <w:lang w:val="en-GB"/>
        </w:rPr>
      </w:pPr>
    </w:p>
    <w:p w:rsidR="004A7183" w:rsidRPr="004A7183" w:rsidRDefault="004A7183" w:rsidP="004A7183">
      <w:pPr>
        <w:pStyle w:val="Prrafodelista"/>
        <w:numPr>
          <w:ilvl w:val="0"/>
          <w:numId w:val="6"/>
        </w:numPr>
        <w:jc w:val="left"/>
        <w:rPr>
          <w:lang w:val="en-GB"/>
        </w:rPr>
      </w:pPr>
      <w:r w:rsidRPr="004A7183">
        <w:rPr>
          <w:lang w:val="en-GB"/>
        </w:rPr>
        <w:t xml:space="preserve">Ecological and inclusive transition is at the top level of the political discourse. You can see an example here: </w:t>
      </w:r>
      <w:r w:rsidRPr="004A7183">
        <w:rPr>
          <w:lang w:val="en-GB"/>
        </w:rPr>
        <w:t>THE AGENDA FOR CHANGE</w:t>
      </w:r>
      <w:r>
        <w:rPr>
          <w:lang w:val="en-GB"/>
        </w:rPr>
        <w:t xml:space="preserve">. </w:t>
      </w:r>
      <w:r w:rsidRPr="004A7183">
        <w:rPr>
          <w:lang w:val="en-GB"/>
        </w:rPr>
        <w:t>TOWARDS AN</w:t>
      </w:r>
      <w:r>
        <w:rPr>
          <w:lang w:val="en-GB"/>
        </w:rPr>
        <w:t xml:space="preserve"> </w:t>
      </w:r>
      <w:r w:rsidRPr="004A7183">
        <w:rPr>
          <w:lang w:val="en-GB"/>
        </w:rPr>
        <w:t>INCLUSIVE ECONOMY AND</w:t>
      </w:r>
      <w:r>
        <w:rPr>
          <w:lang w:val="en-GB"/>
        </w:rPr>
        <w:t xml:space="preserve"> </w:t>
      </w:r>
      <w:r w:rsidRPr="004A7183">
        <w:rPr>
          <w:lang w:val="en-US"/>
        </w:rPr>
        <w:t>SUSTAINABLE</w:t>
      </w:r>
      <w:r w:rsidRPr="004A7183">
        <w:rPr>
          <w:rFonts w:ascii="Times New Roman" w:hAnsi="Times New Roman"/>
          <w:lang w:val="en-US"/>
        </w:rPr>
        <w:t xml:space="preserve"> </w:t>
      </w:r>
      <w:r>
        <w:rPr>
          <w:rFonts w:ascii="Times New Roman" w:hAnsi="Times New Roman"/>
          <w:lang w:val="en-US"/>
        </w:rPr>
        <w:t xml:space="preserve">(February 8, 2019) </w:t>
      </w:r>
      <w:hyperlink r:id="rId8" w:history="1">
        <w:r w:rsidRPr="009C335A">
          <w:rPr>
            <w:rStyle w:val="Hipervnculo"/>
            <w:rFonts w:ascii="Times New Roman" w:hAnsi="Times New Roman"/>
            <w:lang w:val="en-US"/>
          </w:rPr>
          <w:t>https://www.mineco.gob.es/stfls/mineco/ministerio/ficheros/190208_agenda_del_cambio.pdf</w:t>
        </w:r>
      </w:hyperlink>
    </w:p>
    <w:p w:rsidR="004A7183" w:rsidRPr="0027795D" w:rsidRDefault="004A7183" w:rsidP="0027795D">
      <w:pPr>
        <w:rPr>
          <w:lang w:val="en-US"/>
        </w:rPr>
      </w:pPr>
    </w:p>
    <w:p w:rsidR="004A7183" w:rsidRPr="004A7183" w:rsidRDefault="004A7183" w:rsidP="004A7183">
      <w:pPr>
        <w:pStyle w:val="Prrafodelista"/>
        <w:rPr>
          <w:lang w:val="en-US"/>
        </w:rPr>
      </w:pPr>
    </w:p>
    <w:p w:rsidR="009325C1" w:rsidRPr="00E9634F" w:rsidRDefault="009325C1" w:rsidP="004A7183">
      <w:pPr>
        <w:pStyle w:val="Prrafodelista"/>
        <w:numPr>
          <w:ilvl w:val="0"/>
          <w:numId w:val="6"/>
        </w:numPr>
        <w:rPr>
          <w:lang w:val="en-GB"/>
        </w:rPr>
      </w:pPr>
      <w:r w:rsidRPr="00E9634F">
        <w:rPr>
          <w:lang w:val="en-GB"/>
        </w:rPr>
        <w:t>Green Jobs are taken by the Secretary of State for Climate Change</w:t>
      </w:r>
      <w:r w:rsidR="00E9634F" w:rsidRPr="00E9634F">
        <w:rPr>
          <w:lang w:val="en-GB"/>
        </w:rPr>
        <w:t>, and the Ministry of Rights and 2030 Agenda</w:t>
      </w:r>
    </w:p>
    <w:p w:rsidR="00E9634F" w:rsidRDefault="00E9634F" w:rsidP="009325C1">
      <w:pPr>
        <w:rPr>
          <w:lang w:val="en-GB"/>
        </w:rPr>
      </w:pPr>
    </w:p>
    <w:p w:rsidR="00E9634F" w:rsidRDefault="00E9634F" w:rsidP="009325C1">
      <w:pPr>
        <w:rPr>
          <w:lang w:val="en-GB"/>
        </w:rPr>
      </w:pPr>
      <w:r>
        <w:rPr>
          <w:lang w:val="en-GB"/>
        </w:rPr>
        <w:t xml:space="preserve">Initiative: </w:t>
      </w:r>
      <w:proofErr w:type="spellStart"/>
      <w:r>
        <w:rPr>
          <w:lang w:val="en-GB"/>
        </w:rPr>
        <w:t>EMPLEAVERDE</w:t>
      </w:r>
      <w:proofErr w:type="spellEnd"/>
    </w:p>
    <w:p w:rsidR="00E9634F" w:rsidRPr="00E9634F" w:rsidRDefault="00E9634F" w:rsidP="00E9634F">
      <w:pPr>
        <w:jc w:val="left"/>
        <w:rPr>
          <w:rFonts w:ascii="Times New Roman" w:hAnsi="Times New Roman"/>
          <w:lang w:val="en-US"/>
        </w:rPr>
      </w:pPr>
      <w:hyperlink r:id="rId9" w:history="1">
        <w:r w:rsidRPr="00E9634F">
          <w:rPr>
            <w:rFonts w:ascii="Times New Roman" w:hAnsi="Times New Roman"/>
            <w:color w:val="0000FF"/>
            <w:u w:val="single"/>
            <w:lang w:val="en-US"/>
          </w:rPr>
          <w:t>https://www.empleaverde.es/sites/default/files/informe_empleo_verde.pdf</w:t>
        </w:r>
      </w:hyperlink>
    </w:p>
    <w:p w:rsidR="009325C1" w:rsidRPr="00E9634F" w:rsidRDefault="009325C1" w:rsidP="009325C1">
      <w:pPr>
        <w:rPr>
          <w:lang w:val="en-GB"/>
        </w:rPr>
      </w:pPr>
    </w:p>
    <w:p w:rsidR="009325C1" w:rsidRPr="00E9634F" w:rsidRDefault="009325C1" w:rsidP="009325C1">
      <w:pPr>
        <w:rPr>
          <w:lang w:val="en-GB"/>
        </w:rPr>
      </w:pPr>
      <w:r w:rsidRPr="00E9634F">
        <w:rPr>
          <w:lang w:val="en-GB"/>
        </w:rPr>
        <w:t>To get out of this systemic unsustainability</w:t>
      </w:r>
      <w:r w:rsidRPr="00E9634F">
        <w:rPr>
          <w:lang w:val="en-GB"/>
        </w:rPr>
        <w:t xml:space="preserve"> with high rates of poverty</w:t>
      </w:r>
      <w:r w:rsidRPr="00E9634F">
        <w:rPr>
          <w:lang w:val="en-GB"/>
        </w:rPr>
        <w:t xml:space="preserve">, </w:t>
      </w:r>
      <w:r w:rsidRPr="00E9634F">
        <w:rPr>
          <w:lang w:val="en-GB"/>
        </w:rPr>
        <w:t>“</w:t>
      </w:r>
      <w:r w:rsidRPr="00E9634F">
        <w:rPr>
          <w:lang w:val="en-GB"/>
        </w:rPr>
        <w:t>it is necessary</w:t>
      </w:r>
      <w:r w:rsidRPr="00E9634F">
        <w:rPr>
          <w:lang w:val="en-GB"/>
        </w:rPr>
        <w:t xml:space="preserve"> </w:t>
      </w:r>
      <w:r w:rsidRPr="00E9634F">
        <w:rPr>
          <w:lang w:val="en-GB"/>
        </w:rPr>
        <w:t>move towards a new economy based on ecological principles that is capable of generating new deposits of</w:t>
      </w:r>
      <w:r w:rsidRPr="00E9634F">
        <w:rPr>
          <w:lang w:val="en-GB"/>
        </w:rPr>
        <w:t xml:space="preserve"> </w:t>
      </w:r>
      <w:r w:rsidRPr="00E9634F">
        <w:rPr>
          <w:lang w:val="en-GB"/>
        </w:rPr>
        <w:t>"Green job". For decades, a new trend</w:t>
      </w:r>
      <w:r w:rsidRPr="00E9634F">
        <w:rPr>
          <w:lang w:val="en-GB"/>
        </w:rPr>
        <w:t xml:space="preserve"> </w:t>
      </w:r>
      <w:r w:rsidRPr="00E9634F">
        <w:rPr>
          <w:lang w:val="en-GB"/>
        </w:rPr>
        <w:t>which emphasizes the complementarity and synergies that can</w:t>
      </w:r>
      <w:r w:rsidRPr="00E9634F">
        <w:rPr>
          <w:lang w:val="en-GB"/>
        </w:rPr>
        <w:t xml:space="preserve"> </w:t>
      </w:r>
      <w:r w:rsidRPr="00E9634F">
        <w:rPr>
          <w:lang w:val="en-GB"/>
        </w:rPr>
        <w:t>trigger environmental and employment policies is gone</w:t>
      </w:r>
      <w:r w:rsidRPr="00E9634F">
        <w:rPr>
          <w:lang w:val="en-GB"/>
        </w:rPr>
        <w:t xml:space="preserve"> </w:t>
      </w:r>
      <w:r w:rsidRPr="00E9634F">
        <w:rPr>
          <w:lang w:val="en-GB"/>
        </w:rPr>
        <w:t>imposing and gaining weight in social demands.</w:t>
      </w:r>
      <w:r w:rsidRPr="00E9634F">
        <w:rPr>
          <w:lang w:val="en-GB"/>
        </w:rPr>
        <w:t>”</w:t>
      </w:r>
    </w:p>
    <w:p w:rsidR="009325C1" w:rsidRPr="00E9634F" w:rsidRDefault="009325C1" w:rsidP="009325C1">
      <w:pPr>
        <w:rPr>
          <w:lang w:val="en-GB"/>
        </w:rPr>
      </w:pPr>
    </w:p>
    <w:p w:rsidR="009325C1" w:rsidRPr="00E9634F" w:rsidRDefault="009325C1" w:rsidP="009325C1">
      <w:pPr>
        <w:rPr>
          <w:lang w:val="en-GB"/>
        </w:rPr>
      </w:pPr>
      <w:r w:rsidRPr="00E9634F">
        <w:rPr>
          <w:lang w:val="en-GB"/>
        </w:rPr>
        <w:t>Almost 57% of the existing green employment in Spain is concentrated in four autonomous communities: Catalonia, Andalusia, the Community of Madrid and the Valencian Community</w:t>
      </w:r>
      <w:r w:rsidRPr="00E9634F">
        <w:rPr>
          <w:lang w:val="en-GB"/>
        </w:rPr>
        <w:t>.</w:t>
      </w:r>
    </w:p>
    <w:p w:rsidR="009325C1" w:rsidRPr="00E9634F" w:rsidRDefault="009325C1" w:rsidP="009325C1">
      <w:pPr>
        <w:rPr>
          <w:lang w:val="en-GB"/>
        </w:rPr>
      </w:pPr>
    </w:p>
    <w:p w:rsidR="009325C1" w:rsidRPr="00E9634F" w:rsidRDefault="009325C1" w:rsidP="009325C1">
      <w:pPr>
        <w:rPr>
          <w:lang w:val="en-GB"/>
        </w:rPr>
      </w:pPr>
      <w:r w:rsidRPr="00E9634F">
        <w:rPr>
          <w:lang w:val="en-GB"/>
        </w:rPr>
        <w:t>Definition of environmental occupations</w:t>
      </w:r>
    </w:p>
    <w:p w:rsidR="009325C1" w:rsidRPr="00E9634F" w:rsidRDefault="009325C1" w:rsidP="009325C1">
      <w:pPr>
        <w:rPr>
          <w:lang w:val="en-GB"/>
        </w:rPr>
      </w:pPr>
      <w:r w:rsidRPr="00E9634F">
        <w:rPr>
          <w:lang w:val="en-GB"/>
        </w:rPr>
        <w:t xml:space="preserve">(traditional green job) </w:t>
      </w:r>
      <w:r w:rsidRPr="00E9634F">
        <w:rPr>
          <w:lang w:val="en-GB"/>
        </w:rPr>
        <w:t>530.947 jobs</w:t>
      </w:r>
      <w:r w:rsidRPr="00E9634F">
        <w:rPr>
          <w:lang w:val="en-GB"/>
        </w:rPr>
        <w:tab/>
      </w:r>
    </w:p>
    <w:p w:rsidR="009325C1" w:rsidRPr="00E9634F" w:rsidRDefault="009325C1" w:rsidP="009325C1">
      <w:pPr>
        <w:rPr>
          <w:lang w:val="en-GB"/>
        </w:rPr>
      </w:pPr>
    </w:p>
    <w:p w:rsidR="009325C1" w:rsidRPr="00E9634F" w:rsidRDefault="009325C1" w:rsidP="009325C1">
      <w:pPr>
        <w:rPr>
          <w:lang w:val="en-GB"/>
        </w:rPr>
      </w:pPr>
      <w:r w:rsidRPr="00E9634F">
        <w:rPr>
          <w:lang w:val="en-GB"/>
        </w:rPr>
        <w:t>1. Treatment and purification of wastewater</w:t>
      </w:r>
    </w:p>
    <w:p w:rsidR="009325C1" w:rsidRPr="00E9634F" w:rsidRDefault="009325C1" w:rsidP="009325C1">
      <w:pPr>
        <w:rPr>
          <w:lang w:val="en-GB"/>
        </w:rPr>
      </w:pPr>
      <w:r w:rsidRPr="00E9634F">
        <w:rPr>
          <w:lang w:val="en-GB"/>
        </w:rPr>
        <w:t>2. Waste management and treatment</w:t>
      </w:r>
    </w:p>
    <w:p w:rsidR="009325C1" w:rsidRPr="00E9634F" w:rsidRDefault="009325C1" w:rsidP="009325C1">
      <w:pPr>
        <w:pStyle w:val="Prrafodelista"/>
        <w:numPr>
          <w:ilvl w:val="0"/>
          <w:numId w:val="2"/>
        </w:numPr>
        <w:rPr>
          <w:lang w:val="en-GB"/>
        </w:rPr>
      </w:pPr>
      <w:r w:rsidRPr="00E9634F">
        <w:rPr>
          <w:lang w:val="en-GB"/>
        </w:rPr>
        <w:t>Urban waste management</w:t>
      </w:r>
    </w:p>
    <w:p w:rsidR="009325C1" w:rsidRPr="00E9634F" w:rsidRDefault="009325C1" w:rsidP="009325C1">
      <w:pPr>
        <w:pStyle w:val="Prrafodelista"/>
        <w:numPr>
          <w:ilvl w:val="0"/>
          <w:numId w:val="2"/>
        </w:numPr>
        <w:rPr>
          <w:lang w:val="en-GB"/>
        </w:rPr>
      </w:pPr>
      <w:r w:rsidRPr="00E9634F">
        <w:rPr>
          <w:lang w:val="en-GB"/>
        </w:rPr>
        <w:t>Hazardous waste management</w:t>
      </w:r>
    </w:p>
    <w:p w:rsidR="009325C1" w:rsidRPr="00E9634F" w:rsidRDefault="009325C1" w:rsidP="009325C1">
      <w:pPr>
        <w:pStyle w:val="Prrafodelista"/>
        <w:numPr>
          <w:ilvl w:val="0"/>
          <w:numId w:val="2"/>
        </w:numPr>
        <w:rPr>
          <w:lang w:val="en-GB"/>
        </w:rPr>
      </w:pPr>
      <w:r w:rsidRPr="00E9634F">
        <w:rPr>
          <w:lang w:val="en-GB"/>
        </w:rPr>
        <w:t>Construction and demolition management</w:t>
      </w:r>
    </w:p>
    <w:p w:rsidR="009325C1" w:rsidRPr="00E9634F" w:rsidRDefault="009325C1" w:rsidP="009325C1">
      <w:pPr>
        <w:pStyle w:val="Prrafodelista"/>
        <w:numPr>
          <w:ilvl w:val="0"/>
          <w:numId w:val="2"/>
        </w:numPr>
        <w:rPr>
          <w:lang w:val="en-GB"/>
        </w:rPr>
      </w:pPr>
      <w:r w:rsidRPr="00E9634F">
        <w:rPr>
          <w:lang w:val="en-GB"/>
        </w:rPr>
        <w:t>Recovery, recycling and recovery of waste</w:t>
      </w:r>
    </w:p>
    <w:p w:rsidR="009325C1" w:rsidRPr="00E9634F" w:rsidRDefault="009325C1" w:rsidP="009325C1">
      <w:pPr>
        <w:pStyle w:val="Prrafodelista"/>
        <w:numPr>
          <w:ilvl w:val="0"/>
          <w:numId w:val="2"/>
        </w:numPr>
        <w:rPr>
          <w:lang w:val="en-GB"/>
        </w:rPr>
      </w:pPr>
      <w:r w:rsidRPr="00E9634F">
        <w:rPr>
          <w:lang w:val="en-GB"/>
        </w:rPr>
        <w:t>(paper / cardboard, glass, plastic, metals, oils, vehicles</w:t>
      </w:r>
    </w:p>
    <w:p w:rsidR="009325C1" w:rsidRPr="00E9634F" w:rsidRDefault="009325C1" w:rsidP="009325C1">
      <w:pPr>
        <w:pStyle w:val="Prrafodelista"/>
        <w:numPr>
          <w:ilvl w:val="0"/>
          <w:numId w:val="2"/>
        </w:numPr>
        <w:rPr>
          <w:lang w:val="en-GB"/>
        </w:rPr>
      </w:pPr>
      <w:r w:rsidRPr="00E9634F">
        <w:rPr>
          <w:lang w:val="en-GB"/>
        </w:rPr>
        <w:t>out of use, batteries and metallic and electronic material)</w:t>
      </w:r>
    </w:p>
    <w:p w:rsidR="009325C1" w:rsidRPr="00E9634F" w:rsidRDefault="009325C1" w:rsidP="009325C1">
      <w:pPr>
        <w:rPr>
          <w:lang w:val="en-GB"/>
        </w:rPr>
      </w:pPr>
      <w:r w:rsidRPr="00E9634F">
        <w:rPr>
          <w:lang w:val="en-GB"/>
        </w:rPr>
        <w:lastRenderedPageBreak/>
        <w:t>3. Renewable energy production</w:t>
      </w:r>
    </w:p>
    <w:p w:rsidR="009325C1" w:rsidRPr="00E9634F" w:rsidRDefault="009325C1" w:rsidP="009325C1">
      <w:pPr>
        <w:pStyle w:val="Prrafodelista"/>
        <w:numPr>
          <w:ilvl w:val="0"/>
          <w:numId w:val="3"/>
        </w:numPr>
        <w:rPr>
          <w:lang w:val="en-GB"/>
        </w:rPr>
      </w:pPr>
      <w:r w:rsidRPr="00E9634F">
        <w:rPr>
          <w:lang w:val="en-GB"/>
        </w:rPr>
        <w:t>Wind power</w:t>
      </w:r>
    </w:p>
    <w:p w:rsidR="009325C1" w:rsidRPr="00E9634F" w:rsidRDefault="009325C1" w:rsidP="009325C1">
      <w:pPr>
        <w:pStyle w:val="Prrafodelista"/>
        <w:numPr>
          <w:ilvl w:val="0"/>
          <w:numId w:val="3"/>
        </w:numPr>
        <w:rPr>
          <w:lang w:val="en-GB"/>
        </w:rPr>
      </w:pPr>
      <w:r w:rsidRPr="00E9634F">
        <w:rPr>
          <w:lang w:val="en-GB"/>
        </w:rPr>
        <w:t>Photovoltaic Solar Energy</w:t>
      </w:r>
    </w:p>
    <w:p w:rsidR="009325C1" w:rsidRPr="00E9634F" w:rsidRDefault="009325C1" w:rsidP="009325C1">
      <w:pPr>
        <w:pStyle w:val="Prrafodelista"/>
        <w:numPr>
          <w:ilvl w:val="0"/>
          <w:numId w:val="3"/>
        </w:numPr>
        <w:rPr>
          <w:lang w:val="en-GB"/>
        </w:rPr>
      </w:pPr>
      <w:r w:rsidRPr="00E9634F">
        <w:rPr>
          <w:lang w:val="en-GB"/>
        </w:rPr>
        <w:t>Thermal solar energy</w:t>
      </w:r>
    </w:p>
    <w:p w:rsidR="009325C1" w:rsidRPr="00E9634F" w:rsidRDefault="009325C1" w:rsidP="009325C1">
      <w:pPr>
        <w:pStyle w:val="Prrafodelista"/>
        <w:numPr>
          <w:ilvl w:val="0"/>
          <w:numId w:val="3"/>
        </w:numPr>
        <w:rPr>
          <w:lang w:val="en-GB"/>
        </w:rPr>
      </w:pPr>
      <w:r w:rsidRPr="00E9634F">
        <w:rPr>
          <w:lang w:val="en-GB"/>
        </w:rPr>
        <w:t>Biomass energy use</w:t>
      </w:r>
    </w:p>
    <w:p w:rsidR="009325C1" w:rsidRPr="00E9634F" w:rsidRDefault="009325C1" w:rsidP="009325C1">
      <w:pPr>
        <w:pStyle w:val="Prrafodelista"/>
        <w:numPr>
          <w:ilvl w:val="0"/>
          <w:numId w:val="3"/>
        </w:numPr>
        <w:rPr>
          <w:lang w:val="en-GB"/>
        </w:rPr>
      </w:pPr>
      <w:r w:rsidRPr="00E9634F">
        <w:rPr>
          <w:lang w:val="en-GB"/>
        </w:rPr>
        <w:t>Biofuel production</w:t>
      </w:r>
    </w:p>
    <w:p w:rsidR="009325C1" w:rsidRPr="00E9634F" w:rsidRDefault="009325C1" w:rsidP="009325C1">
      <w:pPr>
        <w:pStyle w:val="Prrafodelista"/>
        <w:numPr>
          <w:ilvl w:val="0"/>
          <w:numId w:val="3"/>
        </w:numPr>
        <w:rPr>
          <w:lang w:val="en-GB"/>
        </w:rPr>
      </w:pPr>
      <w:r w:rsidRPr="00E9634F">
        <w:rPr>
          <w:lang w:val="en-GB"/>
        </w:rPr>
        <w:t>Another type of renewable energy</w:t>
      </w:r>
    </w:p>
    <w:p w:rsidR="009325C1" w:rsidRPr="00E9634F" w:rsidRDefault="009325C1" w:rsidP="009325C1">
      <w:pPr>
        <w:rPr>
          <w:lang w:val="en-GB"/>
        </w:rPr>
      </w:pPr>
      <w:r w:rsidRPr="00E9634F">
        <w:rPr>
          <w:lang w:val="en-GB"/>
        </w:rPr>
        <w:t>4. Management of protected natural areas</w:t>
      </w:r>
    </w:p>
    <w:p w:rsidR="009325C1" w:rsidRPr="00E9634F" w:rsidRDefault="009325C1" w:rsidP="009325C1">
      <w:pPr>
        <w:rPr>
          <w:lang w:val="en-GB"/>
        </w:rPr>
      </w:pPr>
      <w:r w:rsidRPr="00E9634F">
        <w:rPr>
          <w:lang w:val="en-GB"/>
        </w:rPr>
        <w:t>5. Forest area management</w:t>
      </w:r>
    </w:p>
    <w:p w:rsidR="009325C1" w:rsidRPr="00E9634F" w:rsidRDefault="009325C1" w:rsidP="009325C1">
      <w:pPr>
        <w:rPr>
          <w:lang w:val="en-GB"/>
        </w:rPr>
      </w:pPr>
      <w:r w:rsidRPr="00E9634F">
        <w:rPr>
          <w:lang w:val="en-GB"/>
        </w:rPr>
        <w:t>6. Environmental services to companies and entities</w:t>
      </w:r>
    </w:p>
    <w:p w:rsidR="009325C1" w:rsidRPr="00E9634F" w:rsidRDefault="009325C1" w:rsidP="009325C1">
      <w:pPr>
        <w:pStyle w:val="Prrafodelista"/>
        <w:numPr>
          <w:ilvl w:val="0"/>
          <w:numId w:val="4"/>
        </w:numPr>
        <w:rPr>
          <w:lang w:val="en-GB"/>
        </w:rPr>
      </w:pPr>
      <w:r w:rsidRPr="00E9634F">
        <w:rPr>
          <w:lang w:val="en-GB"/>
        </w:rPr>
        <w:t>Environmental consulting</w:t>
      </w:r>
    </w:p>
    <w:p w:rsidR="009325C1" w:rsidRPr="00E9634F" w:rsidRDefault="009325C1" w:rsidP="009325C1">
      <w:pPr>
        <w:pStyle w:val="Prrafodelista"/>
        <w:numPr>
          <w:ilvl w:val="0"/>
          <w:numId w:val="4"/>
        </w:numPr>
        <w:rPr>
          <w:lang w:val="en-GB"/>
        </w:rPr>
      </w:pPr>
      <w:r w:rsidRPr="00E9634F">
        <w:rPr>
          <w:lang w:val="en-GB"/>
        </w:rPr>
        <w:t>Environmental engineering</w:t>
      </w:r>
    </w:p>
    <w:p w:rsidR="009325C1" w:rsidRPr="00E9634F" w:rsidRDefault="009325C1" w:rsidP="009325C1">
      <w:pPr>
        <w:pStyle w:val="Prrafodelista"/>
        <w:numPr>
          <w:ilvl w:val="0"/>
          <w:numId w:val="4"/>
        </w:numPr>
        <w:rPr>
          <w:lang w:val="en-GB"/>
        </w:rPr>
      </w:pPr>
      <w:r w:rsidRPr="00E9634F">
        <w:rPr>
          <w:lang w:val="en-GB"/>
        </w:rPr>
        <w:t>Environmental audit</w:t>
      </w:r>
    </w:p>
    <w:p w:rsidR="009325C1" w:rsidRPr="00E9634F" w:rsidRDefault="009325C1" w:rsidP="009325C1">
      <w:pPr>
        <w:rPr>
          <w:lang w:val="en-GB"/>
        </w:rPr>
      </w:pPr>
      <w:r w:rsidRPr="00E9634F">
        <w:rPr>
          <w:lang w:val="en-GB"/>
        </w:rPr>
        <w:t>7. Environmental education and information</w:t>
      </w:r>
    </w:p>
    <w:p w:rsidR="0004531D" w:rsidRPr="00E9634F" w:rsidRDefault="009325C1" w:rsidP="009325C1">
      <w:pPr>
        <w:rPr>
          <w:lang w:val="en-GB"/>
        </w:rPr>
      </w:pPr>
      <w:r w:rsidRPr="00E9634F">
        <w:rPr>
          <w:lang w:val="en-GB"/>
        </w:rPr>
        <w:t>8. Organic farming and livestock</w:t>
      </w:r>
    </w:p>
    <w:p w:rsidR="009325C1" w:rsidRPr="00E9634F" w:rsidRDefault="009325C1" w:rsidP="009325C1">
      <w:pPr>
        <w:rPr>
          <w:lang w:val="en-GB"/>
        </w:rPr>
      </w:pPr>
    </w:p>
    <w:p w:rsidR="009325C1" w:rsidRDefault="009325C1" w:rsidP="009325C1">
      <w:pPr>
        <w:rPr>
          <w:lang w:val="en-GB"/>
        </w:rPr>
      </w:pPr>
      <w:r w:rsidRPr="00E9634F">
        <w:rPr>
          <w:lang w:val="en-GB"/>
        </w:rPr>
        <w:t xml:space="preserve">The number of green jobs in new job pools could be multiplied </w:t>
      </w:r>
      <w:r w:rsidRPr="00E9634F">
        <w:rPr>
          <w:b/>
          <w:bCs/>
          <w:lang w:val="en-GB"/>
        </w:rPr>
        <w:t>by a change in the sustainable economic model</w:t>
      </w:r>
      <w:r w:rsidRPr="00E9634F">
        <w:rPr>
          <w:lang w:val="en-GB"/>
        </w:rPr>
        <w:t>. In addition to these traditional sectors, the new fields will provide green jobs that will add to the traditional sectors. The fields of information and communication technologies, sustainable rehabilitation-building, sustainable tourism, specific activities related to mitigation or adaptation to climate change, mobility and sustainable transport, the economy of biodiversity, crops</w:t>
      </w:r>
      <w:r w:rsidR="004A7183">
        <w:rPr>
          <w:lang w:val="en-GB"/>
        </w:rPr>
        <w:t xml:space="preserve">, </w:t>
      </w:r>
      <w:proofErr w:type="spellStart"/>
      <w:r w:rsidR="004A7183">
        <w:rPr>
          <w:lang w:val="en-GB"/>
        </w:rPr>
        <w:t>a</w:t>
      </w:r>
      <w:r w:rsidRPr="00E9634F">
        <w:rPr>
          <w:lang w:val="en-GB"/>
        </w:rPr>
        <w:t>gro</w:t>
      </w:r>
      <w:proofErr w:type="spellEnd"/>
      <w:r w:rsidRPr="00E9634F">
        <w:rPr>
          <w:lang w:val="en-GB"/>
        </w:rPr>
        <w:t>-energy, the automobile sector and industrial ecology are examples of them.</w:t>
      </w:r>
    </w:p>
    <w:p w:rsidR="00E9634F" w:rsidRPr="00E9634F" w:rsidRDefault="00E9634F" w:rsidP="009325C1">
      <w:pPr>
        <w:rPr>
          <w:lang w:val="en-GB"/>
        </w:rPr>
      </w:pPr>
    </w:p>
    <w:p w:rsidR="00E9634F" w:rsidRDefault="009325C1" w:rsidP="009325C1">
      <w:pPr>
        <w:rPr>
          <w:lang w:val="en-GB"/>
        </w:rPr>
      </w:pPr>
      <w:r w:rsidRPr="00E9634F">
        <w:rPr>
          <w:lang w:val="en-GB"/>
        </w:rPr>
        <w:t>An example is activities related to mitigation or</w:t>
      </w:r>
      <w:r w:rsidRPr="00E9634F">
        <w:rPr>
          <w:lang w:val="en-GB"/>
        </w:rPr>
        <w:t xml:space="preserve"> </w:t>
      </w:r>
      <w:r w:rsidRPr="00E9634F">
        <w:rPr>
          <w:lang w:val="en-GB"/>
        </w:rPr>
        <w:t>adaptation to climate change. The transition to a low carbon economy is an opportunity for many sectors. Activities such as the exploitation of renewable energy, construction, the distribution of efficient products to the consumer, the production of less carbon-intensive industrial goods or transport have already detected the advantages of facing this transition. This adaptation to a low carbon economy will also be in favo</w:t>
      </w:r>
      <w:r w:rsidR="00E9634F">
        <w:rPr>
          <w:lang w:val="en-GB"/>
        </w:rPr>
        <w:t>u</w:t>
      </w:r>
      <w:r w:rsidRPr="00E9634F">
        <w:rPr>
          <w:lang w:val="en-GB"/>
        </w:rPr>
        <w:t>r of mitigating the more serious effects of climate change. Also, sectors such as agriculture and livestock, energy, health, forest area management, water treatment and purification, insurance and certifications, tourism, transport, telecommunications and the information society.</w:t>
      </w:r>
      <w:r w:rsidR="00E9634F">
        <w:rPr>
          <w:lang w:val="en-GB"/>
        </w:rPr>
        <w:t xml:space="preserve"> I</w:t>
      </w:r>
      <w:r w:rsidRPr="00E9634F">
        <w:rPr>
          <w:lang w:val="en-GB"/>
        </w:rPr>
        <w:t>ndustrial activities, or the financial sector may be affected or even benefited in a context of adaptation to climate change</w:t>
      </w:r>
      <w:r w:rsidRPr="00E9634F">
        <w:rPr>
          <w:lang w:val="en-GB"/>
        </w:rPr>
        <w:t>.</w:t>
      </w:r>
      <w:r w:rsidR="00812E2E">
        <w:rPr>
          <w:lang w:val="en-GB"/>
        </w:rPr>
        <w:t xml:space="preserve"> For example,</w:t>
      </w:r>
      <w:r w:rsidR="00E9634F">
        <w:rPr>
          <w:lang w:val="en-GB"/>
        </w:rPr>
        <w:t xml:space="preserve"> </w:t>
      </w:r>
      <w:r w:rsidR="00812E2E">
        <w:rPr>
          <w:lang w:val="en-GB"/>
        </w:rPr>
        <w:t>i</w:t>
      </w:r>
      <w:r w:rsidR="00E9634F" w:rsidRPr="00E9634F">
        <w:rPr>
          <w:lang w:val="en-GB"/>
        </w:rPr>
        <w:t>t is estimated that, if the growth trend continues, rural tourism could go on to employ about 45,000 workers in 2020</w:t>
      </w:r>
      <w:r w:rsidR="00E9634F">
        <w:rPr>
          <w:lang w:val="en-GB"/>
        </w:rPr>
        <w:t>.</w:t>
      </w:r>
    </w:p>
    <w:p w:rsidR="00DB7EC6" w:rsidRDefault="00DB7EC6" w:rsidP="009325C1">
      <w:pPr>
        <w:rPr>
          <w:lang w:val="en-GB"/>
        </w:rPr>
      </w:pPr>
    </w:p>
    <w:p w:rsidR="00DB7EC6" w:rsidRPr="00DB7EC6" w:rsidRDefault="00DB7EC6" w:rsidP="00DB7EC6">
      <w:pPr>
        <w:jc w:val="left"/>
        <w:rPr>
          <w:rFonts w:ascii="Times New Roman" w:hAnsi="Times New Roman"/>
          <w:lang w:val="en-US"/>
        </w:rPr>
      </w:pPr>
      <w:r>
        <w:rPr>
          <w:lang w:val="en-GB"/>
        </w:rPr>
        <w:t xml:space="preserve">One of the two Spanish trade unions, </w:t>
      </w:r>
      <w:proofErr w:type="spellStart"/>
      <w:r>
        <w:rPr>
          <w:lang w:val="en-GB"/>
        </w:rPr>
        <w:t>UGT</w:t>
      </w:r>
      <w:proofErr w:type="spellEnd"/>
      <w:r>
        <w:rPr>
          <w:lang w:val="en-GB"/>
        </w:rPr>
        <w:t>, made a campaign in favour of combating climate change and published a report supporting the green transition from the perspective of job creation.</w:t>
      </w:r>
      <w:r>
        <w:rPr>
          <w:rStyle w:val="Refdenotaalpie"/>
          <w:lang w:val="en-GB"/>
        </w:rPr>
        <w:footnoteReference w:id="1"/>
      </w:r>
      <w:r>
        <w:rPr>
          <w:lang w:val="en-GB"/>
        </w:rPr>
        <w:t xml:space="preserve"> According to the figures appearing in the next table, there would around 400,000 new jobs with a 69% of success in the three main goals (emissions reduction, energy efficiency and resources efficiency)</w:t>
      </w:r>
    </w:p>
    <w:p w:rsidR="00DB7EC6" w:rsidRPr="00DB7EC6" w:rsidRDefault="00DB7EC6" w:rsidP="00DB7EC6">
      <w:pPr>
        <w:rPr>
          <w:lang w:val="en-US"/>
        </w:rPr>
      </w:pPr>
    </w:p>
    <w:p w:rsidR="00DB7EC6" w:rsidRDefault="00DB7EC6" w:rsidP="009325C1">
      <w:pPr>
        <w:rPr>
          <w:lang w:val="en-US"/>
        </w:rPr>
      </w:pPr>
      <w:r>
        <w:rPr>
          <w:noProof/>
          <w:lang w:val="en-US"/>
        </w:rPr>
        <w:lastRenderedPageBreak/>
        <w:drawing>
          <wp:inline distT="0" distB="0" distL="0" distR="0" wp14:anchorId="46428AD1" wp14:editId="01D45363">
            <wp:extent cx="5314122" cy="2005924"/>
            <wp:effectExtent l="0" t="0" r="0" b="1270"/>
            <wp:docPr id="1" name="Imagen 1" descr="Una captura de pantalla de una computador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png"/>
                    <pic:cNvPicPr/>
                  </pic:nvPicPr>
                  <pic:blipFill rotWithShape="1">
                    <a:blip r:embed="rId10" cstate="print">
                      <a:extLst>
                        <a:ext uri="{28A0092B-C50C-407E-A947-70E740481C1C}">
                          <a14:useLocalDpi xmlns:a14="http://schemas.microsoft.com/office/drawing/2010/main" val="0"/>
                        </a:ext>
                      </a:extLst>
                    </a:blip>
                    <a:srcRect l="17808" t="42792" r="20045" b="17903"/>
                    <a:stretch/>
                  </pic:blipFill>
                  <pic:spPr bwMode="auto">
                    <a:xfrm>
                      <a:off x="0" y="0"/>
                      <a:ext cx="5323455" cy="2009447"/>
                    </a:xfrm>
                    <a:prstGeom prst="rect">
                      <a:avLst/>
                    </a:prstGeom>
                    <a:ln>
                      <a:noFill/>
                    </a:ln>
                    <a:extLst>
                      <a:ext uri="{53640926-AAD7-44D8-BBD7-CCE9431645EC}">
                        <a14:shadowObscured xmlns:a14="http://schemas.microsoft.com/office/drawing/2010/main"/>
                      </a:ext>
                    </a:extLst>
                  </pic:spPr>
                </pic:pic>
              </a:graphicData>
            </a:graphic>
          </wp:inline>
        </w:drawing>
      </w:r>
    </w:p>
    <w:p w:rsidR="0027795D" w:rsidRDefault="0027795D" w:rsidP="009325C1">
      <w:pPr>
        <w:rPr>
          <w:lang w:val="en-US"/>
        </w:rPr>
      </w:pPr>
    </w:p>
    <w:p w:rsidR="0027795D" w:rsidRPr="0027795D" w:rsidRDefault="0027795D" w:rsidP="009325C1">
      <w:pPr>
        <w:rPr>
          <w:b/>
          <w:bCs/>
          <w:lang w:val="en-US"/>
        </w:rPr>
      </w:pPr>
      <w:r w:rsidRPr="0027795D">
        <w:rPr>
          <w:b/>
          <w:bCs/>
          <w:lang w:val="en-US"/>
        </w:rPr>
        <w:t>EAPN Spain’s advocacy</w:t>
      </w:r>
    </w:p>
    <w:p w:rsidR="0027795D" w:rsidRDefault="0027795D" w:rsidP="009325C1">
      <w:pPr>
        <w:rPr>
          <w:lang w:val="en-US"/>
        </w:rPr>
      </w:pPr>
    </w:p>
    <w:p w:rsidR="0027795D" w:rsidRPr="0027795D" w:rsidRDefault="0027795D" w:rsidP="0027795D">
      <w:pPr>
        <w:rPr>
          <w:lang w:val="en-GB"/>
        </w:rPr>
      </w:pPr>
      <w:r w:rsidRPr="0027795D">
        <w:rPr>
          <w:lang w:val="en-US"/>
        </w:rPr>
        <w:t>EAPN Spain’s advocacy on this matter is carried out through a coalition of NGO,</w:t>
      </w:r>
      <w:r w:rsidRPr="0027795D">
        <w:rPr>
          <w:lang w:val="en-GB"/>
        </w:rPr>
        <w:t xml:space="preserve"> </w:t>
      </w:r>
      <w:r w:rsidRPr="0027795D">
        <w:rPr>
          <w:lang w:val="en-GB"/>
        </w:rPr>
        <w:t>EAPN Spain is working in coalition with Common Future, “</w:t>
      </w:r>
      <w:proofErr w:type="spellStart"/>
      <w:r w:rsidRPr="0027795D">
        <w:rPr>
          <w:lang w:val="en-GB"/>
        </w:rPr>
        <w:t>Futuro</w:t>
      </w:r>
      <w:proofErr w:type="spellEnd"/>
      <w:r w:rsidRPr="0027795D">
        <w:rPr>
          <w:lang w:val="en-GB"/>
        </w:rPr>
        <w:t xml:space="preserve"> </w:t>
      </w:r>
      <w:proofErr w:type="spellStart"/>
      <w:r w:rsidRPr="0027795D">
        <w:rPr>
          <w:lang w:val="en-GB"/>
        </w:rPr>
        <w:t>en</w:t>
      </w:r>
      <w:proofErr w:type="spellEnd"/>
      <w:r w:rsidRPr="0027795D">
        <w:rPr>
          <w:lang w:val="en-GB"/>
        </w:rPr>
        <w:t xml:space="preserve"> </w:t>
      </w:r>
      <w:proofErr w:type="spellStart"/>
      <w:r w:rsidRPr="0027795D">
        <w:rPr>
          <w:lang w:val="en-GB"/>
        </w:rPr>
        <w:t>Común</w:t>
      </w:r>
      <w:proofErr w:type="spellEnd"/>
      <w:r w:rsidRPr="0027795D">
        <w:rPr>
          <w:lang w:val="en-GB"/>
        </w:rPr>
        <w:t>”, a coalition of NGOs, including environmental organizations.</w:t>
      </w:r>
    </w:p>
    <w:p w:rsidR="0027795D" w:rsidRDefault="0027795D" w:rsidP="0027795D">
      <w:pPr>
        <w:rPr>
          <w:lang w:val="en-GB"/>
        </w:rPr>
      </w:pPr>
    </w:p>
    <w:p w:rsidR="0027795D" w:rsidRDefault="0027795D" w:rsidP="0027795D">
      <w:pPr>
        <w:rPr>
          <w:lang w:val="en-GB"/>
        </w:rPr>
      </w:pPr>
      <w:r>
        <w:rPr>
          <w:lang w:val="en-GB"/>
        </w:rPr>
        <w:t>“</w:t>
      </w:r>
      <w:r w:rsidRPr="00E9634F">
        <w:rPr>
          <w:lang w:val="en-GB"/>
        </w:rPr>
        <w:t>The current development model, focused on economic growth, is socially and environmentally unsustainable and therefore cannot continue to be a measure of progress. We want to build an alternative society in which people and the planet are the cornerstones. Only by placing citizens and the environment at the centre of this new model can we build fully democratic societies.</w:t>
      </w:r>
      <w:r>
        <w:rPr>
          <w:lang w:val="en-GB"/>
        </w:rPr>
        <w:t>”</w:t>
      </w:r>
      <w:r>
        <w:rPr>
          <w:rStyle w:val="Refdenotaalpie"/>
          <w:lang w:val="en-GB"/>
        </w:rPr>
        <w:footnoteReference w:id="2"/>
      </w:r>
    </w:p>
    <w:p w:rsidR="0027795D" w:rsidRPr="00DB7EC6" w:rsidRDefault="0027795D" w:rsidP="009325C1">
      <w:pPr>
        <w:rPr>
          <w:lang w:val="en-US"/>
        </w:rPr>
      </w:pPr>
    </w:p>
    <w:p w:rsidR="00DB7EC6" w:rsidRPr="00DB7EC6" w:rsidRDefault="00DB7EC6" w:rsidP="009325C1">
      <w:pPr>
        <w:rPr>
          <w:b/>
          <w:bCs/>
          <w:lang w:val="en-GB"/>
        </w:rPr>
      </w:pPr>
      <w:r w:rsidRPr="00DB7EC6">
        <w:rPr>
          <w:b/>
          <w:bCs/>
          <w:lang w:val="en-GB"/>
        </w:rPr>
        <w:t>EAPN Spain’s concerns</w:t>
      </w:r>
    </w:p>
    <w:p w:rsidR="00DB7EC6" w:rsidRDefault="00DB7EC6" w:rsidP="00DB7EC6">
      <w:pPr>
        <w:rPr>
          <w:lang w:val="en-GB"/>
        </w:rPr>
      </w:pPr>
    </w:p>
    <w:p w:rsidR="00DB7EC6" w:rsidRDefault="00DB7EC6" w:rsidP="00DB7EC6">
      <w:pPr>
        <w:rPr>
          <w:lang w:val="en-GB"/>
        </w:rPr>
      </w:pPr>
      <w:r w:rsidRPr="00DB7EC6">
        <w:rPr>
          <w:lang w:val="en-GB"/>
        </w:rPr>
        <w:t xml:space="preserve">The greening of jobs and the promotion of green employment, both in traditional and emerging sectors, </w:t>
      </w:r>
      <w:proofErr w:type="spellStart"/>
      <w:r w:rsidRPr="00DB7EC6">
        <w:rPr>
          <w:lang w:val="en-GB"/>
        </w:rPr>
        <w:t>favors</w:t>
      </w:r>
      <w:proofErr w:type="spellEnd"/>
      <w:r w:rsidRPr="00DB7EC6">
        <w:rPr>
          <w:lang w:val="en-GB"/>
        </w:rPr>
        <w:t xml:space="preserve"> the development of an ecologically sustainable, competitive economy with a small carbon footprint, as well as modes of consumption and production sustainable, contributing to the fight against climate change.</w:t>
      </w:r>
      <w:r>
        <w:rPr>
          <w:lang w:val="en-GB"/>
        </w:rPr>
        <w:t xml:space="preserve"> </w:t>
      </w:r>
    </w:p>
    <w:p w:rsidR="00DB7EC6" w:rsidRDefault="00DB7EC6" w:rsidP="00DB7EC6">
      <w:pPr>
        <w:rPr>
          <w:lang w:val="en-GB"/>
        </w:rPr>
      </w:pPr>
    </w:p>
    <w:p w:rsidR="00DB7EC6" w:rsidRDefault="00DB7EC6" w:rsidP="00DB7EC6">
      <w:pPr>
        <w:rPr>
          <w:lang w:val="en-GB"/>
        </w:rPr>
      </w:pPr>
      <w:r w:rsidRPr="00DB7EC6">
        <w:rPr>
          <w:b/>
          <w:bCs/>
          <w:lang w:val="en-GB"/>
        </w:rPr>
        <w:t>The transition to a low carbon economy inevitably means that there will be winners and losers.</w:t>
      </w:r>
      <w:r w:rsidRPr="00DB7EC6">
        <w:rPr>
          <w:lang w:val="en-GB"/>
        </w:rPr>
        <w:t xml:space="preserve"> </w:t>
      </w:r>
    </w:p>
    <w:p w:rsidR="00085977" w:rsidRDefault="00085977" w:rsidP="009325C1">
      <w:pPr>
        <w:rPr>
          <w:b/>
          <w:bCs/>
          <w:lang w:val="en-GB"/>
        </w:rPr>
      </w:pPr>
    </w:p>
    <w:p w:rsidR="00DB7EC6" w:rsidRDefault="00DB7EC6" w:rsidP="00085977">
      <w:pPr>
        <w:pStyle w:val="Prrafodelista"/>
        <w:numPr>
          <w:ilvl w:val="0"/>
          <w:numId w:val="9"/>
        </w:numPr>
        <w:rPr>
          <w:b/>
          <w:bCs/>
          <w:lang w:val="en-GB"/>
        </w:rPr>
      </w:pPr>
      <w:r w:rsidRPr="00DB7EC6">
        <w:rPr>
          <w:b/>
          <w:bCs/>
          <w:lang w:val="en-GB"/>
        </w:rPr>
        <w:t xml:space="preserve">Increased costs </w:t>
      </w:r>
      <w:r>
        <w:rPr>
          <w:b/>
          <w:bCs/>
          <w:lang w:val="en-GB"/>
        </w:rPr>
        <w:t>would have a negative impact on poor households; it is one of the main threats.</w:t>
      </w:r>
    </w:p>
    <w:p w:rsidR="00085977" w:rsidRPr="0027795D" w:rsidRDefault="00DB7EC6" w:rsidP="0027795D">
      <w:pPr>
        <w:pStyle w:val="Prrafodelista"/>
        <w:numPr>
          <w:ilvl w:val="0"/>
          <w:numId w:val="9"/>
        </w:numPr>
        <w:rPr>
          <w:b/>
          <w:bCs/>
          <w:lang w:val="en-GB"/>
        </w:rPr>
      </w:pPr>
      <w:r>
        <w:rPr>
          <w:b/>
          <w:bCs/>
          <w:lang w:val="en-GB"/>
        </w:rPr>
        <w:t>S</w:t>
      </w:r>
      <w:r w:rsidRPr="00DB7EC6">
        <w:rPr>
          <w:b/>
          <w:bCs/>
          <w:lang w:val="en-GB"/>
        </w:rPr>
        <w:t>hortage of skills</w:t>
      </w:r>
      <w:r w:rsidR="0027795D">
        <w:rPr>
          <w:b/>
          <w:bCs/>
          <w:lang w:val="en-GB"/>
        </w:rPr>
        <w:t xml:space="preserve"> is a second threat: </w:t>
      </w:r>
      <w:r w:rsidR="00085977" w:rsidRPr="0027795D">
        <w:rPr>
          <w:b/>
          <w:bCs/>
          <w:lang w:val="en-GB"/>
        </w:rPr>
        <w:t xml:space="preserve">those </w:t>
      </w:r>
      <w:r w:rsidR="0027795D">
        <w:rPr>
          <w:b/>
          <w:bCs/>
          <w:lang w:val="en-GB"/>
        </w:rPr>
        <w:t>long-term unemployed</w:t>
      </w:r>
      <w:r w:rsidR="00085977" w:rsidRPr="0027795D">
        <w:rPr>
          <w:b/>
          <w:bCs/>
          <w:lang w:val="en-GB"/>
        </w:rPr>
        <w:t xml:space="preserve">, low-skilled and other vulnerable profiles </w:t>
      </w:r>
      <w:r w:rsidR="0027795D">
        <w:rPr>
          <w:b/>
          <w:bCs/>
          <w:lang w:val="en-GB"/>
        </w:rPr>
        <w:t xml:space="preserve">would struggle </w:t>
      </w:r>
      <w:r w:rsidR="00085977" w:rsidRPr="0027795D">
        <w:rPr>
          <w:b/>
          <w:bCs/>
          <w:lang w:val="en-GB"/>
        </w:rPr>
        <w:t>to get these new jobs</w:t>
      </w:r>
      <w:r w:rsidR="0027795D">
        <w:rPr>
          <w:b/>
          <w:bCs/>
          <w:lang w:val="en-GB"/>
        </w:rPr>
        <w:t>. They will have to</w:t>
      </w:r>
      <w:r w:rsidR="00085977" w:rsidRPr="0027795D">
        <w:rPr>
          <w:b/>
          <w:bCs/>
          <w:lang w:val="en-GB"/>
        </w:rPr>
        <w:t xml:space="preserve"> be trained or retrained to apply for them</w:t>
      </w:r>
      <w:r w:rsidR="0027795D">
        <w:rPr>
          <w:b/>
          <w:bCs/>
          <w:lang w:val="en-GB"/>
        </w:rPr>
        <w:t xml:space="preserve">, which means big social investment, in inclusive and active employment. </w:t>
      </w:r>
    </w:p>
    <w:p w:rsidR="00085977" w:rsidRDefault="00085977" w:rsidP="009325C1">
      <w:pPr>
        <w:pStyle w:val="Prrafodelista"/>
        <w:numPr>
          <w:ilvl w:val="0"/>
          <w:numId w:val="9"/>
        </w:numPr>
        <w:rPr>
          <w:b/>
          <w:bCs/>
          <w:lang w:val="en-GB"/>
        </w:rPr>
      </w:pPr>
      <w:r w:rsidRPr="00085977">
        <w:rPr>
          <w:b/>
          <w:bCs/>
          <w:lang w:val="en-GB"/>
        </w:rPr>
        <w:t xml:space="preserve">With a huge youth unemployment, a share of them </w:t>
      </w:r>
      <w:r w:rsidR="0027795D">
        <w:rPr>
          <w:b/>
          <w:bCs/>
          <w:lang w:val="en-GB"/>
        </w:rPr>
        <w:t>with</w:t>
      </w:r>
      <w:r>
        <w:rPr>
          <w:b/>
          <w:bCs/>
          <w:lang w:val="en-GB"/>
        </w:rPr>
        <w:t xml:space="preserve"> very </w:t>
      </w:r>
      <w:r w:rsidRPr="00085977">
        <w:rPr>
          <w:b/>
          <w:bCs/>
          <w:lang w:val="en-GB"/>
        </w:rPr>
        <w:t>qualified</w:t>
      </w:r>
      <w:r>
        <w:rPr>
          <w:b/>
          <w:bCs/>
          <w:lang w:val="en-GB"/>
        </w:rPr>
        <w:t xml:space="preserve"> profiles</w:t>
      </w:r>
      <w:r w:rsidRPr="00085977">
        <w:rPr>
          <w:b/>
          <w:bCs/>
          <w:lang w:val="en-GB"/>
        </w:rPr>
        <w:t xml:space="preserve">, there would be a trend </w:t>
      </w:r>
      <w:r>
        <w:rPr>
          <w:b/>
          <w:bCs/>
          <w:lang w:val="en-GB"/>
        </w:rPr>
        <w:t xml:space="preserve">to </w:t>
      </w:r>
      <w:r w:rsidRPr="00085977">
        <w:rPr>
          <w:b/>
          <w:bCs/>
          <w:lang w:val="en-GB"/>
        </w:rPr>
        <w:t>employ the most employable</w:t>
      </w:r>
      <w:r w:rsidR="0027795D">
        <w:rPr>
          <w:b/>
          <w:bCs/>
          <w:lang w:val="en-GB"/>
        </w:rPr>
        <w:t>.</w:t>
      </w:r>
    </w:p>
    <w:p w:rsidR="00085977" w:rsidRDefault="00085977" w:rsidP="009325C1">
      <w:pPr>
        <w:pStyle w:val="Prrafodelista"/>
        <w:numPr>
          <w:ilvl w:val="0"/>
          <w:numId w:val="9"/>
        </w:numPr>
        <w:rPr>
          <w:b/>
          <w:bCs/>
          <w:lang w:val="en-GB"/>
        </w:rPr>
      </w:pPr>
      <w:r w:rsidRPr="00085977">
        <w:rPr>
          <w:b/>
          <w:bCs/>
          <w:lang w:val="en-GB"/>
        </w:rPr>
        <w:t>The social consequences of layoffs of workers from the traditional contaminating industries</w:t>
      </w:r>
      <w:r>
        <w:rPr>
          <w:b/>
          <w:bCs/>
          <w:lang w:val="en-GB"/>
        </w:rPr>
        <w:t xml:space="preserve"> and services</w:t>
      </w:r>
      <w:r w:rsidRPr="00085977">
        <w:rPr>
          <w:b/>
          <w:bCs/>
          <w:lang w:val="en-GB"/>
        </w:rPr>
        <w:t xml:space="preserve"> could be huge.</w:t>
      </w:r>
      <w:r w:rsidR="0027795D">
        <w:rPr>
          <w:b/>
          <w:bCs/>
          <w:lang w:val="en-GB"/>
        </w:rPr>
        <w:t xml:space="preserve"> </w:t>
      </w:r>
    </w:p>
    <w:p w:rsidR="0027795D" w:rsidRDefault="0027795D" w:rsidP="009325C1">
      <w:pPr>
        <w:pStyle w:val="Prrafodelista"/>
        <w:numPr>
          <w:ilvl w:val="0"/>
          <w:numId w:val="9"/>
        </w:numPr>
        <w:rPr>
          <w:b/>
          <w:bCs/>
          <w:lang w:val="en-GB"/>
        </w:rPr>
      </w:pPr>
      <w:r>
        <w:rPr>
          <w:b/>
          <w:bCs/>
          <w:lang w:val="en-GB"/>
        </w:rPr>
        <w:lastRenderedPageBreak/>
        <w:t>Consequently, the obstacles with big companies and landlords, and the reluctance to enlarge social investment would mean the lack of delivery of environmental commitments.</w:t>
      </w:r>
    </w:p>
    <w:p w:rsidR="00DB7EC6" w:rsidRDefault="00DB7EC6" w:rsidP="00DB7EC6">
      <w:pPr>
        <w:rPr>
          <w:b/>
          <w:bCs/>
          <w:lang w:val="en-GB"/>
        </w:rPr>
      </w:pPr>
    </w:p>
    <w:p w:rsidR="0027795D" w:rsidRDefault="0027795D" w:rsidP="00DB7EC6">
      <w:pPr>
        <w:rPr>
          <w:b/>
          <w:bCs/>
          <w:lang w:val="en-GB"/>
        </w:rPr>
      </w:pPr>
      <w:r>
        <w:rPr>
          <w:b/>
          <w:bCs/>
          <w:lang w:val="en-GB"/>
        </w:rPr>
        <w:t>Proposals:</w:t>
      </w:r>
    </w:p>
    <w:p w:rsidR="0027795D" w:rsidRDefault="0027795D" w:rsidP="00DB7EC6">
      <w:pPr>
        <w:rPr>
          <w:b/>
          <w:bCs/>
          <w:lang w:val="en-GB"/>
        </w:rPr>
      </w:pPr>
    </w:p>
    <w:p w:rsidR="0027795D" w:rsidRPr="0027795D" w:rsidRDefault="0027795D" w:rsidP="0027795D">
      <w:pPr>
        <w:pStyle w:val="Prrafodelista"/>
        <w:numPr>
          <w:ilvl w:val="0"/>
          <w:numId w:val="10"/>
        </w:numPr>
        <w:rPr>
          <w:lang w:val="en-GB"/>
        </w:rPr>
      </w:pPr>
      <w:r w:rsidRPr="0027795D">
        <w:rPr>
          <w:lang w:val="en-GB"/>
        </w:rPr>
        <w:t>I</w:t>
      </w:r>
      <w:r w:rsidRPr="0027795D">
        <w:rPr>
          <w:lang w:val="en-GB"/>
        </w:rPr>
        <w:t xml:space="preserve">t is imperative to manage the transition in a fair and controlled manner. </w:t>
      </w:r>
    </w:p>
    <w:p w:rsidR="0027795D" w:rsidRPr="0027795D" w:rsidRDefault="0027795D" w:rsidP="0027795D">
      <w:pPr>
        <w:pStyle w:val="Prrafodelista"/>
        <w:numPr>
          <w:ilvl w:val="0"/>
          <w:numId w:val="10"/>
        </w:numPr>
        <w:rPr>
          <w:lang w:val="en-GB"/>
        </w:rPr>
      </w:pPr>
      <w:r w:rsidRPr="0027795D">
        <w:rPr>
          <w:lang w:val="en-GB"/>
        </w:rPr>
        <w:t xml:space="preserve">Adequate measures are needed to help businesses and citizens adapt to the new situation </w:t>
      </w:r>
    </w:p>
    <w:p w:rsidR="0027795D" w:rsidRPr="0027795D" w:rsidRDefault="0027795D" w:rsidP="0027795D">
      <w:pPr>
        <w:pStyle w:val="Prrafodelista"/>
        <w:numPr>
          <w:ilvl w:val="0"/>
          <w:numId w:val="10"/>
        </w:numPr>
        <w:rPr>
          <w:lang w:val="en-GB"/>
        </w:rPr>
      </w:pPr>
      <w:r w:rsidRPr="0027795D">
        <w:rPr>
          <w:lang w:val="en-GB"/>
        </w:rPr>
        <w:t>Selective financial assistance, based on identifying the most vulnerable sectors and groups of people, is a relevant option.</w:t>
      </w:r>
    </w:p>
    <w:p w:rsidR="0027795D" w:rsidRPr="0027795D" w:rsidRDefault="0027795D" w:rsidP="0027795D">
      <w:pPr>
        <w:pStyle w:val="Prrafodelista"/>
        <w:numPr>
          <w:ilvl w:val="0"/>
          <w:numId w:val="10"/>
        </w:numPr>
        <w:rPr>
          <w:lang w:val="en-GB"/>
        </w:rPr>
      </w:pPr>
      <w:r w:rsidRPr="0027795D">
        <w:rPr>
          <w:lang w:val="en-GB"/>
        </w:rPr>
        <w:t>E</w:t>
      </w:r>
      <w:r w:rsidRPr="0027795D">
        <w:rPr>
          <w:lang w:val="en-GB"/>
        </w:rPr>
        <w:t>fforts should continue to focus primarily on finding new solutions and developing skills.</w:t>
      </w:r>
    </w:p>
    <w:p w:rsidR="0027795D" w:rsidRDefault="0027795D" w:rsidP="00DB7EC6">
      <w:pPr>
        <w:rPr>
          <w:b/>
          <w:bCs/>
          <w:lang w:val="en-GB"/>
        </w:rPr>
      </w:pPr>
    </w:p>
    <w:p w:rsidR="004A7183" w:rsidRDefault="004A7183" w:rsidP="004A7183">
      <w:pPr>
        <w:rPr>
          <w:lang w:val="en-GB"/>
        </w:rPr>
      </w:pPr>
    </w:p>
    <w:p w:rsidR="004A7183" w:rsidRPr="004A7183" w:rsidRDefault="004A7183" w:rsidP="004A7183">
      <w:pPr>
        <w:rPr>
          <w:lang w:val="en-GB"/>
        </w:rPr>
      </w:pPr>
    </w:p>
    <w:sectPr w:rsidR="004A7183" w:rsidRPr="004A7183" w:rsidSect="00CE075E">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A3E99" w:rsidRDefault="005A3E99" w:rsidP="00DB7EC6">
      <w:r>
        <w:separator/>
      </w:r>
    </w:p>
  </w:endnote>
  <w:endnote w:type="continuationSeparator" w:id="0">
    <w:p w:rsidR="005A3E99" w:rsidRDefault="005A3E99" w:rsidP="00DB7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Next Condensed">
    <w:panose1 w:val="020B0506020202020204"/>
    <w:charset w:val="00"/>
    <w:family w:val="swiss"/>
    <w:pitch w:val="variable"/>
    <w:sig w:usb0="8000002F" w:usb1="5000204A" w:usb2="00000000" w:usb3="00000000" w:csb0="0000009B"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A3E99" w:rsidRDefault="005A3E99" w:rsidP="00DB7EC6">
      <w:r>
        <w:separator/>
      </w:r>
    </w:p>
  </w:footnote>
  <w:footnote w:type="continuationSeparator" w:id="0">
    <w:p w:rsidR="005A3E99" w:rsidRDefault="005A3E99" w:rsidP="00DB7EC6">
      <w:r>
        <w:continuationSeparator/>
      </w:r>
    </w:p>
  </w:footnote>
  <w:footnote w:id="1">
    <w:p w:rsidR="00DB7EC6" w:rsidRPr="00DB7EC6" w:rsidRDefault="00DB7EC6" w:rsidP="00DB7EC6">
      <w:pPr>
        <w:pStyle w:val="Textonotapie"/>
        <w:rPr>
          <w:lang w:val="en-US"/>
        </w:rPr>
      </w:pPr>
      <w:r>
        <w:rPr>
          <w:rStyle w:val="Refdenotaalpie"/>
        </w:rPr>
        <w:footnoteRef/>
      </w:r>
      <w:r w:rsidRPr="00DB7EC6">
        <w:rPr>
          <w:lang w:val="en-US"/>
        </w:rPr>
        <w:t xml:space="preserve"> Here: https://www.ugt.es/sites/default/files/node_gallery/Galer-a%20UGT/Informe%20UGT%20Cambio%20Climatico%202017.pdf</w:t>
      </w:r>
    </w:p>
  </w:footnote>
  <w:footnote w:id="2">
    <w:p w:rsidR="0027795D" w:rsidRPr="004A7183" w:rsidRDefault="0027795D" w:rsidP="0027795D">
      <w:pPr>
        <w:jc w:val="left"/>
        <w:rPr>
          <w:rFonts w:ascii="Times New Roman" w:hAnsi="Times New Roman"/>
          <w:lang w:val="en-US"/>
        </w:rPr>
      </w:pPr>
      <w:r>
        <w:rPr>
          <w:rStyle w:val="Refdenotaalpie"/>
        </w:rPr>
        <w:footnoteRef/>
      </w:r>
      <w:r w:rsidRPr="0027795D">
        <w:rPr>
          <w:lang w:val="en-US"/>
        </w:rPr>
        <w:t xml:space="preserve"> </w:t>
      </w:r>
      <w:r>
        <w:rPr>
          <w:lang w:val="en-GB"/>
        </w:rPr>
        <w:t xml:space="preserve">See more information here: </w:t>
      </w:r>
      <w:hyperlink r:id="rId1" w:history="1">
        <w:r w:rsidRPr="004A7183">
          <w:rPr>
            <w:rFonts w:ascii="Times New Roman" w:hAnsi="Times New Roman"/>
            <w:color w:val="0000FF"/>
            <w:u w:val="single"/>
            <w:lang w:val="en-US"/>
          </w:rPr>
          <w:t>https://futuroencomun.net/somos/</w:t>
        </w:r>
      </w:hyperlink>
    </w:p>
    <w:p w:rsidR="0027795D" w:rsidRPr="0027795D" w:rsidRDefault="0027795D">
      <w:pPr>
        <w:pStyle w:val="Textonotapie"/>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C368E"/>
    <w:multiLevelType w:val="hybridMultilevel"/>
    <w:tmpl w:val="AF9C78AC"/>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BC76AFB"/>
    <w:multiLevelType w:val="hybridMultilevel"/>
    <w:tmpl w:val="E618BE86"/>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 w15:restartNumberingAfterBreak="0">
    <w:nsid w:val="31E015B2"/>
    <w:multiLevelType w:val="hybridMultilevel"/>
    <w:tmpl w:val="22C402D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33BA2BEC"/>
    <w:multiLevelType w:val="hybridMultilevel"/>
    <w:tmpl w:val="71D2170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48EB21FD"/>
    <w:multiLevelType w:val="multilevel"/>
    <w:tmpl w:val="B93E391A"/>
    <w:styleLink w:val="Estilo2"/>
    <w:lvl w:ilvl="0">
      <w:start w:val="1"/>
      <w:numFmt w:val="decimal"/>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DC25D4F"/>
    <w:multiLevelType w:val="hybridMultilevel"/>
    <w:tmpl w:val="3928FF94"/>
    <w:lvl w:ilvl="0" w:tplc="C652B940">
      <w:start w:val="1"/>
      <w:numFmt w:val="decimal"/>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6" w15:restartNumberingAfterBreak="0">
    <w:nsid w:val="541026BD"/>
    <w:multiLevelType w:val="hybridMultilevel"/>
    <w:tmpl w:val="A9E8B74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636F60D7"/>
    <w:multiLevelType w:val="hybridMultilevel"/>
    <w:tmpl w:val="FDAAE6CE"/>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6AFF0ADE"/>
    <w:multiLevelType w:val="hybridMultilevel"/>
    <w:tmpl w:val="0E90E65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753070FE"/>
    <w:multiLevelType w:val="hybridMultilevel"/>
    <w:tmpl w:val="3B4C50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7BE83AE9"/>
    <w:multiLevelType w:val="hybridMultilevel"/>
    <w:tmpl w:val="3928FF94"/>
    <w:lvl w:ilvl="0" w:tplc="C652B940">
      <w:start w:val="1"/>
      <w:numFmt w:val="decimal"/>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num w:numId="1">
    <w:abstractNumId w:val="4"/>
  </w:num>
  <w:num w:numId="2">
    <w:abstractNumId w:val="3"/>
  </w:num>
  <w:num w:numId="3">
    <w:abstractNumId w:val="6"/>
  </w:num>
  <w:num w:numId="4">
    <w:abstractNumId w:val="2"/>
  </w:num>
  <w:num w:numId="5">
    <w:abstractNumId w:val="0"/>
  </w:num>
  <w:num w:numId="6">
    <w:abstractNumId w:val="5"/>
  </w:num>
  <w:num w:numId="7">
    <w:abstractNumId w:val="1"/>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5C1"/>
    <w:rsid w:val="00085977"/>
    <w:rsid w:val="000B1C60"/>
    <w:rsid w:val="0012116A"/>
    <w:rsid w:val="0027795D"/>
    <w:rsid w:val="002E6E72"/>
    <w:rsid w:val="00344762"/>
    <w:rsid w:val="003F6FEC"/>
    <w:rsid w:val="004A7183"/>
    <w:rsid w:val="004D2BCF"/>
    <w:rsid w:val="00587D08"/>
    <w:rsid w:val="005A3E99"/>
    <w:rsid w:val="006B1E9C"/>
    <w:rsid w:val="006C5618"/>
    <w:rsid w:val="007134C5"/>
    <w:rsid w:val="00810466"/>
    <w:rsid w:val="00812E2E"/>
    <w:rsid w:val="009325C1"/>
    <w:rsid w:val="009C1101"/>
    <w:rsid w:val="00A37BBF"/>
    <w:rsid w:val="00A55661"/>
    <w:rsid w:val="00AA0965"/>
    <w:rsid w:val="00B000C6"/>
    <w:rsid w:val="00B537CF"/>
    <w:rsid w:val="00C06E8F"/>
    <w:rsid w:val="00C22518"/>
    <w:rsid w:val="00C3096C"/>
    <w:rsid w:val="00C70627"/>
    <w:rsid w:val="00CE075E"/>
    <w:rsid w:val="00DB7EC6"/>
    <w:rsid w:val="00DD47B0"/>
    <w:rsid w:val="00E12B9D"/>
    <w:rsid w:val="00E963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41DF6F3C"/>
  <w15:chartTrackingRefBased/>
  <w15:docId w15:val="{BF42FB7A-45D5-614F-B390-52C11CCD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E8F"/>
    <w:pPr>
      <w:jc w:val="both"/>
    </w:pPr>
    <w:rPr>
      <w:rFonts w:cs="Times New Roman"/>
      <w:lang w:eastAsia="es-ES_tradnl"/>
    </w:rPr>
  </w:style>
  <w:style w:type="paragraph" w:styleId="Ttulo2">
    <w:name w:val="heading 2"/>
    <w:basedOn w:val="Normal"/>
    <w:next w:val="Normal"/>
    <w:link w:val="Ttulo2Car"/>
    <w:uiPriority w:val="9"/>
    <w:unhideWhenUsed/>
    <w:qFormat/>
    <w:rsid w:val="006B1E9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344762"/>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B1E9C"/>
    <w:rPr>
      <w:rFonts w:asciiTheme="majorHAnsi" w:eastAsiaTheme="majorEastAsia" w:hAnsiTheme="majorHAnsi" w:cstheme="majorBidi"/>
      <w:color w:val="2F5496" w:themeColor="accent1" w:themeShade="BF"/>
      <w:sz w:val="26"/>
      <w:szCs w:val="26"/>
      <w:lang w:eastAsia="es-ES_tradnl"/>
    </w:rPr>
  </w:style>
  <w:style w:type="table" w:customStyle="1" w:styleId="Tabladecuadrcula5oscura-nfasis21">
    <w:name w:val="Tabla de cuadrícula 5 oscura - Énfasis 21"/>
    <w:basedOn w:val="Tablanormal"/>
    <w:uiPriority w:val="50"/>
    <w:rsid w:val="0012116A"/>
    <w:rPr>
      <w:rFonts w:eastAsiaTheme="minorHAnsi"/>
      <w:sz w:val="20"/>
      <w:szCs w:val="22"/>
      <w:lang w:val="es-ES_tradn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customStyle="1" w:styleId="fuente">
    <w:name w:val="fuente"/>
    <w:basedOn w:val="Normal"/>
    <w:qFormat/>
    <w:rsid w:val="0012116A"/>
    <w:rPr>
      <w:i/>
      <w:noProof/>
      <w:sz w:val="20"/>
      <w:szCs w:val="20"/>
    </w:rPr>
  </w:style>
  <w:style w:type="character" w:styleId="Refdenotaalpie">
    <w:name w:val="footnote reference"/>
    <w:uiPriority w:val="99"/>
    <w:unhideWhenUsed/>
    <w:qFormat/>
    <w:rsid w:val="002E6E72"/>
    <w:rPr>
      <w:rFonts w:ascii="Avenir Next Condensed" w:hAnsi="Avenir Next Condensed"/>
      <w:sz w:val="18"/>
      <w:vertAlign w:val="superscript"/>
    </w:rPr>
  </w:style>
  <w:style w:type="paragraph" w:customStyle="1" w:styleId="Ttul">
    <w:name w:val="Títul"/>
    <w:basedOn w:val="Ttulo3"/>
    <w:qFormat/>
    <w:rsid w:val="00344762"/>
    <w:pPr>
      <w:keepNext w:val="0"/>
      <w:keepLines w:val="0"/>
      <w:pBdr>
        <w:top w:val="single" w:sz="6" w:space="2" w:color="4472C4" w:themeColor="accent1"/>
        <w:left w:val="single" w:sz="6" w:space="2" w:color="4472C4" w:themeColor="accent1"/>
      </w:pBdr>
      <w:spacing w:before="300" w:line="276" w:lineRule="auto"/>
      <w:jc w:val="left"/>
    </w:pPr>
    <w:rPr>
      <w:rFonts w:asciiTheme="minorHAnsi" w:eastAsia="Helvetica Neue" w:hAnsiTheme="minorHAnsi" w:cstheme="minorBidi"/>
      <w:caps/>
      <w:spacing w:val="15"/>
      <w:sz w:val="22"/>
      <w:szCs w:val="22"/>
    </w:rPr>
  </w:style>
  <w:style w:type="character" w:customStyle="1" w:styleId="Ttulo3Car">
    <w:name w:val="Título 3 Car"/>
    <w:basedOn w:val="Fuentedeprrafopredeter"/>
    <w:link w:val="Ttulo3"/>
    <w:uiPriority w:val="9"/>
    <w:semiHidden/>
    <w:rsid w:val="00344762"/>
    <w:rPr>
      <w:rFonts w:asciiTheme="majorHAnsi" w:eastAsiaTheme="majorEastAsia" w:hAnsiTheme="majorHAnsi" w:cstheme="majorBidi"/>
      <w:color w:val="1F3763" w:themeColor="accent1" w:themeShade="7F"/>
      <w:lang w:eastAsia="es-ES_tradnl"/>
    </w:rPr>
  </w:style>
  <w:style w:type="numbering" w:customStyle="1" w:styleId="Estilo2">
    <w:name w:val="Estilo2"/>
    <w:uiPriority w:val="99"/>
    <w:rsid w:val="007134C5"/>
    <w:pPr>
      <w:numPr>
        <w:numId w:val="1"/>
      </w:numPr>
    </w:pPr>
  </w:style>
  <w:style w:type="paragraph" w:styleId="Prrafodelista">
    <w:name w:val="List Paragraph"/>
    <w:basedOn w:val="Normal"/>
    <w:uiPriority w:val="34"/>
    <w:qFormat/>
    <w:rsid w:val="009325C1"/>
    <w:pPr>
      <w:ind w:left="720"/>
      <w:contextualSpacing/>
    </w:pPr>
  </w:style>
  <w:style w:type="character" w:styleId="Hipervnculo">
    <w:name w:val="Hyperlink"/>
    <w:basedOn w:val="Fuentedeprrafopredeter"/>
    <w:uiPriority w:val="99"/>
    <w:unhideWhenUsed/>
    <w:rsid w:val="00E9634F"/>
    <w:rPr>
      <w:color w:val="0000FF"/>
      <w:u w:val="single"/>
    </w:rPr>
  </w:style>
  <w:style w:type="character" w:styleId="Mencinsinresolver">
    <w:name w:val="Unresolved Mention"/>
    <w:basedOn w:val="Fuentedeprrafopredeter"/>
    <w:uiPriority w:val="99"/>
    <w:semiHidden/>
    <w:unhideWhenUsed/>
    <w:rsid w:val="004A7183"/>
    <w:rPr>
      <w:color w:val="605E5C"/>
      <w:shd w:val="clear" w:color="auto" w:fill="E1DFDD"/>
    </w:rPr>
  </w:style>
  <w:style w:type="paragraph" w:styleId="Textonotapie">
    <w:name w:val="footnote text"/>
    <w:basedOn w:val="Normal"/>
    <w:link w:val="TextonotapieCar"/>
    <w:uiPriority w:val="99"/>
    <w:semiHidden/>
    <w:unhideWhenUsed/>
    <w:rsid w:val="00DB7EC6"/>
    <w:rPr>
      <w:sz w:val="20"/>
      <w:szCs w:val="20"/>
    </w:rPr>
  </w:style>
  <w:style w:type="character" w:customStyle="1" w:styleId="TextonotapieCar">
    <w:name w:val="Texto nota pie Car"/>
    <w:basedOn w:val="Fuentedeprrafopredeter"/>
    <w:link w:val="Textonotapie"/>
    <w:uiPriority w:val="99"/>
    <w:semiHidden/>
    <w:rsid w:val="00DB7EC6"/>
    <w:rPr>
      <w:rFonts w:cs="Times New Roman"/>
      <w:sz w:val="20"/>
      <w:szCs w:val="2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045471">
      <w:bodyDiv w:val="1"/>
      <w:marLeft w:val="0"/>
      <w:marRight w:val="0"/>
      <w:marTop w:val="0"/>
      <w:marBottom w:val="0"/>
      <w:divBdr>
        <w:top w:val="none" w:sz="0" w:space="0" w:color="auto"/>
        <w:left w:val="none" w:sz="0" w:space="0" w:color="auto"/>
        <w:bottom w:val="none" w:sz="0" w:space="0" w:color="auto"/>
        <w:right w:val="none" w:sz="0" w:space="0" w:color="auto"/>
      </w:divBdr>
    </w:div>
    <w:div w:id="168327906">
      <w:bodyDiv w:val="1"/>
      <w:marLeft w:val="0"/>
      <w:marRight w:val="0"/>
      <w:marTop w:val="0"/>
      <w:marBottom w:val="0"/>
      <w:divBdr>
        <w:top w:val="none" w:sz="0" w:space="0" w:color="auto"/>
        <w:left w:val="none" w:sz="0" w:space="0" w:color="auto"/>
        <w:bottom w:val="none" w:sz="0" w:space="0" w:color="auto"/>
        <w:right w:val="none" w:sz="0" w:space="0" w:color="auto"/>
      </w:divBdr>
    </w:div>
    <w:div w:id="243076491">
      <w:bodyDiv w:val="1"/>
      <w:marLeft w:val="0"/>
      <w:marRight w:val="0"/>
      <w:marTop w:val="0"/>
      <w:marBottom w:val="0"/>
      <w:divBdr>
        <w:top w:val="none" w:sz="0" w:space="0" w:color="auto"/>
        <w:left w:val="none" w:sz="0" w:space="0" w:color="auto"/>
        <w:bottom w:val="none" w:sz="0" w:space="0" w:color="auto"/>
        <w:right w:val="none" w:sz="0" w:space="0" w:color="auto"/>
      </w:divBdr>
    </w:div>
    <w:div w:id="1054937525">
      <w:bodyDiv w:val="1"/>
      <w:marLeft w:val="0"/>
      <w:marRight w:val="0"/>
      <w:marTop w:val="0"/>
      <w:marBottom w:val="0"/>
      <w:divBdr>
        <w:top w:val="none" w:sz="0" w:space="0" w:color="auto"/>
        <w:left w:val="none" w:sz="0" w:space="0" w:color="auto"/>
        <w:bottom w:val="none" w:sz="0" w:space="0" w:color="auto"/>
        <w:right w:val="none" w:sz="0" w:space="0" w:color="auto"/>
      </w:divBdr>
    </w:div>
    <w:div w:id="125947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eco.gob.es/stfls/mineco/ministerio/ficheros/190208_agenda_del_cambio.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empleaverde.es/sites/default/files/informe_empleo_verde.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futuroencomun.net/som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DD090-CA8B-4341-92D7-CD3FA537E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1031</Words>
  <Characters>5676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Graciela Malgesini</dc:creator>
  <cp:keywords/>
  <dc:description/>
  <cp:lastModifiedBy>Graciela Malgesini</cp:lastModifiedBy>
  <cp:revision>3</cp:revision>
  <dcterms:created xsi:type="dcterms:W3CDTF">2020-06-25T13:24:00Z</dcterms:created>
  <dcterms:modified xsi:type="dcterms:W3CDTF">2020-06-25T14:27:00Z</dcterms:modified>
</cp:coreProperties>
</file>