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5F3BC" w14:textId="35D02CA1" w:rsidR="007D45D3" w:rsidRPr="002E3469" w:rsidRDefault="007D45D3" w:rsidP="005A2AEB">
      <w:pPr>
        <w:pBdr>
          <w:top w:val="single" w:sz="4" w:space="1" w:color="auto"/>
          <w:left w:val="single" w:sz="4" w:space="4" w:color="auto"/>
          <w:bottom w:val="single" w:sz="4" w:space="1" w:color="auto"/>
          <w:right w:val="single" w:sz="4" w:space="4" w:color="auto"/>
        </w:pBdr>
        <w:jc w:val="center"/>
        <w:textAlignment w:val="baseline"/>
        <w:rPr>
          <w:rFonts w:cstheme="minorHAnsi"/>
          <w:b/>
          <w:bCs/>
          <w:i/>
          <w:iCs/>
          <w:color w:val="000000"/>
          <w:sz w:val="28"/>
          <w:szCs w:val="28"/>
          <w:lang w:val="en-GB"/>
        </w:rPr>
      </w:pPr>
      <w:r w:rsidRPr="002E3469">
        <w:rPr>
          <w:rFonts w:cstheme="minorHAnsi"/>
          <w:b/>
          <w:bCs/>
          <w:i/>
          <w:iCs/>
          <w:color w:val="000000"/>
          <w:sz w:val="28"/>
          <w:szCs w:val="28"/>
          <w:lang w:val="en-GB"/>
        </w:rPr>
        <w:t xml:space="preserve">GENDER </w:t>
      </w:r>
      <w:r w:rsidR="009C0569">
        <w:rPr>
          <w:rFonts w:cstheme="minorHAnsi"/>
          <w:b/>
          <w:bCs/>
          <w:i/>
          <w:iCs/>
          <w:color w:val="000000"/>
          <w:sz w:val="28"/>
          <w:szCs w:val="28"/>
          <w:lang w:val="en-GB"/>
        </w:rPr>
        <w:t xml:space="preserve">EQUALITY </w:t>
      </w:r>
      <w:r w:rsidRPr="002E3469">
        <w:rPr>
          <w:rFonts w:cstheme="minorHAnsi"/>
          <w:b/>
          <w:bCs/>
          <w:i/>
          <w:iCs/>
          <w:color w:val="000000"/>
          <w:sz w:val="28"/>
          <w:szCs w:val="28"/>
          <w:lang w:val="en-GB"/>
        </w:rPr>
        <w:t xml:space="preserve">MAINSTREAMING </w:t>
      </w:r>
      <w:r w:rsidR="005A2AEB" w:rsidRPr="002E3469">
        <w:rPr>
          <w:rFonts w:cstheme="minorHAnsi"/>
          <w:b/>
          <w:bCs/>
          <w:i/>
          <w:iCs/>
          <w:color w:val="000000"/>
          <w:sz w:val="28"/>
          <w:szCs w:val="28"/>
          <w:lang w:val="en-GB"/>
        </w:rPr>
        <w:t>WORKSHOP</w:t>
      </w:r>
    </w:p>
    <w:p w14:paraId="764748C2" w14:textId="7711E801" w:rsidR="00511F37" w:rsidRPr="00511F37" w:rsidRDefault="00511F37" w:rsidP="005A2AEB">
      <w:pPr>
        <w:pBdr>
          <w:top w:val="single" w:sz="4" w:space="1" w:color="auto"/>
          <w:left w:val="single" w:sz="4" w:space="4" w:color="auto"/>
          <w:bottom w:val="single" w:sz="4" w:space="1" w:color="auto"/>
          <w:right w:val="single" w:sz="4" w:space="4" w:color="auto"/>
        </w:pBdr>
        <w:jc w:val="center"/>
        <w:textAlignment w:val="baseline"/>
        <w:rPr>
          <w:rFonts w:cstheme="minorHAnsi"/>
          <w:b/>
          <w:bCs/>
          <w:color w:val="000000"/>
          <w:lang w:val="en-GB"/>
        </w:rPr>
      </w:pPr>
      <w:r w:rsidRPr="002E3469">
        <w:rPr>
          <w:rFonts w:cstheme="minorHAnsi"/>
          <w:b/>
          <w:bCs/>
          <w:i/>
          <w:iCs/>
          <w:color w:val="000000"/>
          <w:sz w:val="28"/>
          <w:szCs w:val="28"/>
          <w:lang w:val="en-GB"/>
        </w:rPr>
        <w:t>Ba</w:t>
      </w:r>
      <w:r w:rsidR="002E3469" w:rsidRPr="002E3469">
        <w:rPr>
          <w:rFonts w:cstheme="minorHAnsi"/>
          <w:b/>
          <w:bCs/>
          <w:i/>
          <w:iCs/>
          <w:color w:val="000000"/>
          <w:sz w:val="28"/>
          <w:szCs w:val="28"/>
          <w:lang w:val="en-GB"/>
        </w:rPr>
        <w:t xml:space="preserve">ckground </w:t>
      </w:r>
      <w:r w:rsidRPr="002E3469">
        <w:rPr>
          <w:rFonts w:cstheme="minorHAnsi"/>
          <w:b/>
          <w:bCs/>
          <w:i/>
          <w:iCs/>
          <w:color w:val="000000"/>
          <w:sz w:val="28"/>
          <w:szCs w:val="28"/>
          <w:lang w:val="en-GB"/>
        </w:rPr>
        <w:t>Note</w:t>
      </w:r>
    </w:p>
    <w:p w14:paraId="45E1DFDC" w14:textId="77777777" w:rsidR="00136E8F" w:rsidRPr="00511F37" w:rsidRDefault="00136E8F" w:rsidP="007D45D3">
      <w:pPr>
        <w:jc w:val="left"/>
        <w:textAlignment w:val="baseline"/>
        <w:rPr>
          <w:rFonts w:cstheme="minorHAnsi"/>
          <w:b/>
          <w:bCs/>
          <w:color w:val="000000"/>
          <w:lang w:val="en-GB"/>
        </w:rPr>
      </w:pPr>
    </w:p>
    <w:p w14:paraId="1754DD84" w14:textId="757F92D9" w:rsidR="00511F37" w:rsidRPr="00511F37" w:rsidRDefault="009C0569" w:rsidP="009C0569">
      <w:pPr>
        <w:textAlignment w:val="baseline"/>
        <w:rPr>
          <w:rFonts w:cstheme="minorHAnsi"/>
          <w:b/>
          <w:bCs/>
          <w:color w:val="000000"/>
          <w:lang w:val="en-GB"/>
        </w:rPr>
      </w:pPr>
      <w:r>
        <w:rPr>
          <w:rFonts w:cstheme="minorHAnsi"/>
          <w:b/>
          <w:bCs/>
          <w:color w:val="000000"/>
          <w:lang w:val="en-GB"/>
        </w:rPr>
        <w:t xml:space="preserve">1. </w:t>
      </w:r>
      <w:r w:rsidR="00511F37" w:rsidRPr="00511F37">
        <w:rPr>
          <w:rFonts w:cstheme="minorHAnsi"/>
          <w:b/>
          <w:bCs/>
          <w:color w:val="000000"/>
          <w:lang w:val="en-GB"/>
        </w:rPr>
        <w:t>Introduction</w:t>
      </w:r>
      <w:r w:rsidR="00074E37">
        <w:rPr>
          <w:rFonts w:cstheme="minorHAnsi"/>
          <w:b/>
          <w:bCs/>
          <w:color w:val="000000"/>
          <w:lang w:val="en-GB"/>
        </w:rPr>
        <w:t xml:space="preserve"> to EAPN Gender Mainstreaming Actions</w:t>
      </w:r>
    </w:p>
    <w:p w14:paraId="105B4DE9" w14:textId="77777777" w:rsidR="00511F37" w:rsidRPr="00511F37" w:rsidRDefault="00511F37" w:rsidP="007D45D3">
      <w:pPr>
        <w:jc w:val="left"/>
        <w:textAlignment w:val="baseline"/>
        <w:rPr>
          <w:rFonts w:cstheme="minorHAnsi"/>
          <w:b/>
          <w:bCs/>
          <w:color w:val="000000"/>
          <w:lang w:val="en-GB"/>
        </w:rPr>
      </w:pPr>
    </w:p>
    <w:p w14:paraId="18265A00" w14:textId="50D71C7B" w:rsidR="00074E37" w:rsidRDefault="00511F37" w:rsidP="00511F37">
      <w:pPr>
        <w:rPr>
          <w:lang w:val="en-GB"/>
        </w:rPr>
      </w:pPr>
      <w:r w:rsidRPr="00511F37">
        <w:rPr>
          <w:lang w:val="en-GB"/>
        </w:rPr>
        <w:t>EAPN is the largest independent network of grass-roots antipoverty NGOs based in 32 Countries across Europe</w:t>
      </w:r>
      <w:r>
        <w:rPr>
          <w:lang w:val="en-GB"/>
        </w:rPr>
        <w:t xml:space="preserve"> </w:t>
      </w:r>
      <w:r w:rsidRPr="00511F37">
        <w:rPr>
          <w:lang w:val="en-GB"/>
        </w:rPr>
        <w:t>and committed to</w:t>
      </w:r>
      <w:r w:rsidR="00345336">
        <w:rPr>
          <w:lang w:val="en-GB"/>
        </w:rPr>
        <w:t xml:space="preserve"> fight against poverty and inequality, based on </w:t>
      </w:r>
      <w:r w:rsidRPr="00511F37">
        <w:rPr>
          <w:lang w:val="en-GB"/>
        </w:rPr>
        <w:t>the direct engagement of people facing poverty and exclusion. In 20</w:t>
      </w:r>
      <w:r w:rsidR="002E3469">
        <w:rPr>
          <w:lang w:val="en-GB"/>
        </w:rPr>
        <w:t>17</w:t>
      </w:r>
      <w:r w:rsidRPr="00511F37">
        <w:rPr>
          <w:lang w:val="en-GB"/>
        </w:rPr>
        <w:t>, EAPN members formed a</w:t>
      </w:r>
      <w:r w:rsidR="00A14BE0">
        <w:rPr>
          <w:lang w:val="en-GB"/>
        </w:rPr>
        <w:t xml:space="preserve">n </w:t>
      </w:r>
      <w:proofErr w:type="spellStart"/>
      <w:r w:rsidR="00A14BE0">
        <w:rPr>
          <w:lang w:val="en-GB"/>
        </w:rPr>
        <w:t>Adhoc</w:t>
      </w:r>
      <w:proofErr w:type="spellEnd"/>
      <w:r w:rsidRPr="00511F37">
        <w:rPr>
          <w:lang w:val="en-GB"/>
        </w:rPr>
        <w:t xml:space="preserve"> </w:t>
      </w:r>
      <w:r w:rsidRPr="00511F37">
        <w:rPr>
          <w:b/>
          <w:bCs/>
          <w:lang w:val="en-GB"/>
        </w:rPr>
        <w:t>Gender and Poverty Group</w:t>
      </w:r>
      <w:r w:rsidRPr="00511F37">
        <w:rPr>
          <w:lang w:val="en-GB"/>
        </w:rPr>
        <w:t xml:space="preserve"> which produced two </w:t>
      </w:r>
      <w:r w:rsidR="00345336">
        <w:rPr>
          <w:lang w:val="en-GB"/>
        </w:rPr>
        <w:t>briefings</w:t>
      </w:r>
      <w:r w:rsidRPr="00511F37">
        <w:rPr>
          <w:lang w:val="en-GB"/>
        </w:rPr>
        <w:t xml:space="preserve">: 1) A </w:t>
      </w:r>
      <w:hyperlink r:id="rId8" w:history="1">
        <w:r w:rsidRPr="00511F37">
          <w:rPr>
            <w:rStyle w:val="Hyperlink"/>
            <w:rFonts w:eastAsiaTheme="majorEastAsia"/>
            <w:lang w:val="en-GB"/>
          </w:rPr>
          <w:t>Gender and Poverty</w:t>
        </w:r>
      </w:hyperlink>
      <w:r w:rsidRPr="00511F37">
        <w:rPr>
          <w:lang w:val="en-GB"/>
        </w:rPr>
        <w:t xml:space="preserve"> and 2) </w:t>
      </w:r>
      <w:hyperlink r:id="rId9" w:history="1">
        <w:r w:rsidRPr="00511F37">
          <w:rPr>
            <w:rStyle w:val="Hyperlink"/>
            <w:rFonts w:eastAsiaTheme="majorEastAsia"/>
            <w:lang w:val="en-GB"/>
          </w:rPr>
          <w:t>Gender and Violence</w:t>
        </w:r>
      </w:hyperlink>
      <w:r w:rsidRPr="00511F37">
        <w:rPr>
          <w:lang w:val="en-GB"/>
        </w:rPr>
        <w:t xml:space="preserve">. </w:t>
      </w:r>
      <w:r w:rsidR="003D20ED">
        <w:rPr>
          <w:lang w:val="en-GB"/>
        </w:rPr>
        <w:t>Building on</w:t>
      </w:r>
      <w:r w:rsidR="00074E37">
        <w:rPr>
          <w:lang w:val="en-GB"/>
        </w:rPr>
        <w:t xml:space="preserve"> this work</w:t>
      </w:r>
      <w:r w:rsidR="003D20ED">
        <w:rPr>
          <w:lang w:val="en-GB"/>
        </w:rPr>
        <w:t>,</w:t>
      </w:r>
      <w:r w:rsidR="00074E37">
        <w:rPr>
          <w:lang w:val="en-GB"/>
        </w:rPr>
        <w:t xml:space="preserve"> </w:t>
      </w:r>
      <w:r w:rsidR="002E3469" w:rsidRPr="00511F37">
        <w:rPr>
          <w:lang w:val="en-GB"/>
        </w:rPr>
        <w:t xml:space="preserve">EAPN </w:t>
      </w:r>
      <w:r w:rsidR="00074E37">
        <w:rPr>
          <w:lang w:val="en-GB"/>
        </w:rPr>
        <w:t>made a commitment</w:t>
      </w:r>
      <w:r w:rsidR="002E3469" w:rsidRPr="00511F37">
        <w:rPr>
          <w:lang w:val="en-GB"/>
        </w:rPr>
        <w:t xml:space="preserve"> to carry out Gender Mainstreaming within the organization, </w:t>
      </w:r>
      <w:proofErr w:type="gramStart"/>
      <w:r w:rsidR="002E3469" w:rsidRPr="00511F37">
        <w:rPr>
          <w:lang w:val="en-GB"/>
        </w:rPr>
        <w:t>in order to</w:t>
      </w:r>
      <w:proofErr w:type="gramEnd"/>
      <w:r w:rsidR="002E3469" w:rsidRPr="00511F37">
        <w:rPr>
          <w:lang w:val="en-GB"/>
        </w:rPr>
        <w:t xml:space="preserve"> more effectively promote gender equality within EAPN structures, member organizations and in </w:t>
      </w:r>
      <w:r w:rsidR="00345336">
        <w:rPr>
          <w:lang w:val="en-GB"/>
        </w:rPr>
        <w:t xml:space="preserve">EAPN </w:t>
      </w:r>
      <w:r w:rsidR="002E3469" w:rsidRPr="00511F37">
        <w:rPr>
          <w:lang w:val="en-GB"/>
        </w:rPr>
        <w:t>policy/advocacy</w:t>
      </w:r>
      <w:r w:rsidR="003D20ED">
        <w:rPr>
          <w:lang w:val="en-GB"/>
        </w:rPr>
        <w:t xml:space="preserve"> and </w:t>
      </w:r>
      <w:r w:rsidR="00A14BE0">
        <w:rPr>
          <w:lang w:val="en-GB"/>
        </w:rPr>
        <w:t xml:space="preserve">other </w:t>
      </w:r>
      <w:r w:rsidR="002E3469" w:rsidRPr="00511F37">
        <w:rPr>
          <w:lang w:val="en-GB"/>
        </w:rPr>
        <w:t>work.</w:t>
      </w:r>
      <w:r w:rsidR="00074E37">
        <w:rPr>
          <w:lang w:val="en-GB"/>
        </w:rPr>
        <w:t xml:space="preserve"> </w:t>
      </w:r>
      <w:r w:rsidRPr="00511F37">
        <w:rPr>
          <w:lang w:val="en-GB"/>
        </w:rPr>
        <w:t>Following discussi</w:t>
      </w:r>
      <w:r w:rsidR="002E3469">
        <w:rPr>
          <w:lang w:val="en-GB"/>
        </w:rPr>
        <w:t>on</w:t>
      </w:r>
      <w:r w:rsidRPr="00511F37">
        <w:rPr>
          <w:lang w:val="en-GB"/>
        </w:rPr>
        <w:t xml:space="preserve"> with the EA</w:t>
      </w:r>
      <w:r w:rsidR="00345336">
        <w:rPr>
          <w:lang w:val="en-GB"/>
        </w:rPr>
        <w:t xml:space="preserve">PN </w:t>
      </w:r>
      <w:r w:rsidRPr="00511F37">
        <w:rPr>
          <w:lang w:val="en-GB"/>
        </w:rPr>
        <w:t>EU Inclusion Strategies Group</w:t>
      </w:r>
      <w:r w:rsidR="00345336">
        <w:rPr>
          <w:lang w:val="en-GB"/>
        </w:rPr>
        <w:t xml:space="preserve"> (</w:t>
      </w:r>
      <w:r w:rsidRPr="00511F37">
        <w:rPr>
          <w:lang w:val="en-GB"/>
        </w:rPr>
        <w:t xml:space="preserve">EUISG) and the Executive Committee (EXCO) it was agreed to </w:t>
      </w:r>
      <w:r w:rsidR="002E3469">
        <w:rPr>
          <w:lang w:val="en-GB"/>
        </w:rPr>
        <w:t xml:space="preserve">take steps to progress on </w:t>
      </w:r>
      <w:r w:rsidRPr="00511F37">
        <w:rPr>
          <w:lang w:val="en-GB"/>
        </w:rPr>
        <w:t xml:space="preserve">gender mainstreaming </w:t>
      </w:r>
      <w:r w:rsidR="00345336">
        <w:rPr>
          <w:lang w:val="en-GB"/>
        </w:rPr>
        <w:t>in</w:t>
      </w:r>
      <w:r w:rsidRPr="00511F37">
        <w:rPr>
          <w:lang w:val="en-GB"/>
        </w:rPr>
        <w:t xml:space="preserve"> 2020-21. This</w:t>
      </w:r>
      <w:r w:rsidR="00074E37">
        <w:rPr>
          <w:lang w:val="en-GB"/>
        </w:rPr>
        <w:t xml:space="preserve"> commitment</w:t>
      </w:r>
      <w:r w:rsidRPr="00511F37">
        <w:rPr>
          <w:lang w:val="en-GB"/>
        </w:rPr>
        <w:t xml:space="preserve"> was formally adopted in the EAPN 2020 Work Programme.</w:t>
      </w:r>
      <w:r w:rsidR="002E3469">
        <w:rPr>
          <w:lang w:val="en-GB"/>
        </w:rPr>
        <w:t xml:space="preserve"> </w:t>
      </w:r>
    </w:p>
    <w:p w14:paraId="0C9DA1C5" w14:textId="1653C029" w:rsidR="00074E37" w:rsidRDefault="00074E37" w:rsidP="00511F37">
      <w:pPr>
        <w:rPr>
          <w:lang w:val="en-GB"/>
        </w:rPr>
      </w:pPr>
    </w:p>
    <w:p w14:paraId="25FFA436" w14:textId="03F3B2F3" w:rsidR="00074E37" w:rsidRDefault="00074E37" w:rsidP="00511F37">
      <w:pPr>
        <w:rPr>
          <w:lang w:val="en-GB"/>
        </w:rPr>
      </w:pPr>
      <w:r w:rsidRPr="00074E37">
        <w:rPr>
          <w:i/>
          <w:iCs/>
          <w:lang w:val="en-GB"/>
        </w:rPr>
        <w:t>The objectives of the Gender Mainstreaming Actions</w:t>
      </w:r>
      <w:r>
        <w:rPr>
          <w:lang w:val="en-GB"/>
        </w:rPr>
        <w:t xml:space="preserve"> </w:t>
      </w:r>
      <w:r w:rsidR="00345336">
        <w:rPr>
          <w:lang w:val="en-GB"/>
        </w:rPr>
        <w:t xml:space="preserve">2020-21 </w:t>
      </w:r>
      <w:r>
        <w:rPr>
          <w:lang w:val="en-GB"/>
        </w:rPr>
        <w:t>are:</w:t>
      </w:r>
    </w:p>
    <w:p w14:paraId="17505724" w14:textId="77777777" w:rsidR="00074E37" w:rsidRPr="00511F37" w:rsidRDefault="00074E37" w:rsidP="00074E37">
      <w:pPr>
        <w:pStyle w:val="xmsonormal"/>
        <w:numPr>
          <w:ilvl w:val="0"/>
          <w:numId w:val="15"/>
        </w:numPr>
        <w:shd w:val="clear" w:color="auto" w:fill="FFFFFF"/>
        <w:spacing w:before="0" w:beforeAutospacing="0" w:after="0" w:afterAutospacing="0"/>
        <w:jc w:val="both"/>
        <w:textAlignment w:val="baseline"/>
        <w:rPr>
          <w:rFonts w:asciiTheme="minorHAnsi" w:hAnsiTheme="minorHAnsi" w:cstheme="minorHAnsi"/>
          <w:color w:val="201F1E"/>
          <w:lang w:val="en-GB"/>
        </w:rPr>
      </w:pPr>
      <w:r w:rsidRPr="00511F37">
        <w:rPr>
          <w:rFonts w:asciiTheme="minorHAnsi" w:hAnsiTheme="minorHAnsi" w:cstheme="minorHAnsi"/>
          <w:color w:val="201F1E"/>
          <w:lang w:val="en-GB"/>
        </w:rPr>
        <w:t>To explore the situation related to the gender aspects of EAPN members organizational structures, work (support, campaigning, advocacy, research), and communication materials.</w:t>
      </w:r>
    </w:p>
    <w:p w14:paraId="588484D9" w14:textId="641BF51B" w:rsidR="00074E37" w:rsidRPr="00074E37" w:rsidRDefault="00074E37" w:rsidP="00EB2E85">
      <w:pPr>
        <w:pStyle w:val="xmsonormal"/>
        <w:numPr>
          <w:ilvl w:val="0"/>
          <w:numId w:val="15"/>
        </w:numPr>
        <w:shd w:val="clear" w:color="auto" w:fill="FFFFFF"/>
        <w:spacing w:before="0" w:beforeAutospacing="0" w:after="0" w:afterAutospacing="0"/>
        <w:jc w:val="both"/>
        <w:textAlignment w:val="baseline"/>
        <w:rPr>
          <w:rFonts w:asciiTheme="minorHAnsi" w:hAnsiTheme="minorHAnsi" w:cstheme="minorHAnsi"/>
          <w:color w:val="201F1E"/>
          <w:lang w:val="en-GB"/>
        </w:rPr>
      </w:pPr>
      <w:r w:rsidRPr="00074E37">
        <w:rPr>
          <w:rFonts w:asciiTheme="minorHAnsi" w:hAnsiTheme="minorHAnsi" w:cstheme="minorHAnsi"/>
          <w:color w:val="201F1E"/>
          <w:lang w:val="en-GB"/>
        </w:rPr>
        <w:t>To Initiate gender mainstreaming processes by increasing the capacities of EAPN members in understanding the importance and ways how to mainstream gender in organizational structures, work, and communication, as well as to provide simple tools to check if they are on the right track.</w:t>
      </w:r>
    </w:p>
    <w:p w14:paraId="6EE95F7B" w14:textId="6145DE87" w:rsidR="00074E37" w:rsidRPr="00511F37" w:rsidRDefault="00074E37" w:rsidP="00074E37">
      <w:pPr>
        <w:pStyle w:val="xmsonormal"/>
        <w:numPr>
          <w:ilvl w:val="0"/>
          <w:numId w:val="15"/>
        </w:numPr>
        <w:shd w:val="clear" w:color="auto" w:fill="FFFFFF"/>
        <w:spacing w:before="0" w:beforeAutospacing="0" w:after="0" w:afterAutospacing="0"/>
        <w:jc w:val="both"/>
        <w:textAlignment w:val="baseline"/>
        <w:rPr>
          <w:rFonts w:asciiTheme="minorHAnsi" w:hAnsiTheme="minorHAnsi" w:cstheme="minorHAnsi"/>
          <w:color w:val="201F1E"/>
          <w:lang w:val="en-GB"/>
        </w:rPr>
      </w:pPr>
      <w:r w:rsidRPr="00511F37">
        <w:rPr>
          <w:rFonts w:asciiTheme="minorHAnsi" w:hAnsiTheme="minorHAnsi" w:cstheme="minorHAnsi"/>
          <w:color w:val="201F1E"/>
          <w:lang w:val="en-GB"/>
        </w:rPr>
        <w:t>To agree on initial guidelines on mainstreaming gender at the national level (Looking at all things with the eyes of gender).</w:t>
      </w:r>
    </w:p>
    <w:p w14:paraId="0A00EC0C" w14:textId="77777777" w:rsidR="00074E37" w:rsidRPr="00511F37" w:rsidRDefault="00074E37" w:rsidP="00074E37">
      <w:pPr>
        <w:pStyle w:val="xmsonormal"/>
        <w:shd w:val="clear" w:color="auto" w:fill="FFFFFF"/>
        <w:spacing w:before="0" w:beforeAutospacing="0" w:after="0" w:afterAutospacing="0"/>
        <w:jc w:val="both"/>
        <w:textAlignment w:val="baseline"/>
        <w:rPr>
          <w:rFonts w:asciiTheme="minorHAnsi" w:hAnsiTheme="minorHAnsi" w:cstheme="minorHAnsi"/>
          <w:color w:val="201F1E"/>
          <w:lang w:val="en-GB"/>
        </w:rPr>
      </w:pPr>
    </w:p>
    <w:p w14:paraId="5EE02BD9" w14:textId="1DCF47A4" w:rsidR="00511F37" w:rsidRPr="00074E37" w:rsidRDefault="00511F37" w:rsidP="00511F37">
      <w:pPr>
        <w:rPr>
          <w:i/>
          <w:iCs/>
          <w:lang w:val="en-GB"/>
        </w:rPr>
      </w:pPr>
      <w:r w:rsidRPr="00074E37">
        <w:rPr>
          <w:i/>
          <w:iCs/>
          <w:lang w:val="en-GB"/>
        </w:rPr>
        <w:t xml:space="preserve">The </w:t>
      </w:r>
      <w:r w:rsidR="00074E37" w:rsidRPr="00074E37">
        <w:rPr>
          <w:i/>
          <w:iCs/>
          <w:lang w:val="en-GB"/>
        </w:rPr>
        <w:t>actions agreed are:</w:t>
      </w:r>
      <w:r w:rsidR="002E3469" w:rsidRPr="00074E37">
        <w:rPr>
          <w:i/>
          <w:iCs/>
          <w:lang w:val="en-GB"/>
        </w:rPr>
        <w:t xml:space="preserve"> </w:t>
      </w:r>
    </w:p>
    <w:p w14:paraId="094A0F5D" w14:textId="1FDB0B3A" w:rsidR="00511F37" w:rsidRPr="002E3469" w:rsidRDefault="00511F37" w:rsidP="002E3469">
      <w:pPr>
        <w:pStyle w:val="ListParagraph"/>
        <w:numPr>
          <w:ilvl w:val="0"/>
          <w:numId w:val="12"/>
        </w:numPr>
        <w:rPr>
          <w:lang w:val="en-GB"/>
        </w:rPr>
      </w:pPr>
      <w:r w:rsidRPr="002E3469">
        <w:rPr>
          <w:lang w:val="en-GB"/>
        </w:rPr>
        <w:t>An on-line survey for EAPN members (national networks</w:t>
      </w:r>
      <w:r w:rsidR="002E3469">
        <w:rPr>
          <w:lang w:val="en-GB"/>
        </w:rPr>
        <w:t>/</w:t>
      </w:r>
      <w:r w:rsidRPr="002E3469">
        <w:rPr>
          <w:lang w:val="en-GB"/>
        </w:rPr>
        <w:t>European Organizations</w:t>
      </w:r>
      <w:r w:rsidR="002E3469">
        <w:rPr>
          <w:lang w:val="en-GB"/>
        </w:rPr>
        <w:t>)</w:t>
      </w:r>
    </w:p>
    <w:p w14:paraId="5A9A3542" w14:textId="5E4DA1A5" w:rsidR="00511F37" w:rsidRPr="002E3469" w:rsidRDefault="00511F37" w:rsidP="002E3469">
      <w:pPr>
        <w:pStyle w:val="ListParagraph"/>
        <w:numPr>
          <w:ilvl w:val="0"/>
          <w:numId w:val="12"/>
        </w:numPr>
        <w:rPr>
          <w:lang w:val="en-GB"/>
        </w:rPr>
      </w:pPr>
      <w:r w:rsidRPr="002E3469">
        <w:rPr>
          <w:lang w:val="en-GB"/>
        </w:rPr>
        <w:t xml:space="preserve">A participative workshop: presenting the </w:t>
      </w:r>
      <w:r w:rsidR="002E3469" w:rsidRPr="002E3469">
        <w:rPr>
          <w:lang w:val="en-GB"/>
        </w:rPr>
        <w:t xml:space="preserve">EU context, the </w:t>
      </w:r>
      <w:r w:rsidRPr="002E3469">
        <w:rPr>
          <w:lang w:val="en-GB"/>
        </w:rPr>
        <w:t xml:space="preserve">results of the survey </w:t>
      </w:r>
      <w:r w:rsidR="002E3469" w:rsidRPr="002E3469">
        <w:rPr>
          <w:lang w:val="en-GB"/>
        </w:rPr>
        <w:t xml:space="preserve">and the participative </w:t>
      </w:r>
      <w:r w:rsidRPr="002E3469">
        <w:rPr>
          <w:lang w:val="en-GB"/>
        </w:rPr>
        <w:t>development of guidelines/recommendations</w:t>
      </w:r>
    </w:p>
    <w:p w14:paraId="50779E61" w14:textId="7D508349" w:rsidR="002E3469" w:rsidRPr="002E3469" w:rsidRDefault="002E3469" w:rsidP="002E3469">
      <w:pPr>
        <w:pStyle w:val="ListParagraph"/>
        <w:numPr>
          <w:ilvl w:val="0"/>
          <w:numId w:val="12"/>
        </w:numPr>
        <w:rPr>
          <w:lang w:val="en-GB"/>
        </w:rPr>
      </w:pPr>
      <w:r w:rsidRPr="002E3469">
        <w:rPr>
          <w:lang w:val="en-GB"/>
        </w:rPr>
        <w:t xml:space="preserve">A final report </w:t>
      </w:r>
      <w:r>
        <w:rPr>
          <w:lang w:val="en-GB"/>
        </w:rPr>
        <w:t xml:space="preserve">to </w:t>
      </w:r>
      <w:r w:rsidRPr="002E3469">
        <w:rPr>
          <w:lang w:val="en-GB"/>
        </w:rPr>
        <w:t>capture the survey and workshop results incorporating the guidelines and recommendations for action in 2021.</w:t>
      </w:r>
    </w:p>
    <w:p w14:paraId="444D91D8" w14:textId="38FEEB40" w:rsidR="002E3469" w:rsidRDefault="002E3469" w:rsidP="002E3469">
      <w:pPr>
        <w:pStyle w:val="ListParagraph"/>
        <w:numPr>
          <w:ilvl w:val="0"/>
          <w:numId w:val="12"/>
        </w:numPr>
        <w:rPr>
          <w:lang w:val="en-GB"/>
        </w:rPr>
      </w:pPr>
      <w:r w:rsidRPr="002E3469">
        <w:rPr>
          <w:lang w:val="en-GB"/>
        </w:rPr>
        <w:t xml:space="preserve">In 2021, a continuation </w:t>
      </w:r>
      <w:r>
        <w:rPr>
          <w:lang w:val="en-GB"/>
        </w:rPr>
        <w:t>is</w:t>
      </w:r>
      <w:r w:rsidRPr="002E3469">
        <w:rPr>
          <w:lang w:val="en-GB"/>
        </w:rPr>
        <w:t xml:space="preserve"> proposed</w:t>
      </w:r>
      <w:r>
        <w:rPr>
          <w:lang w:val="en-GB"/>
        </w:rPr>
        <w:t xml:space="preserve"> in the WP 2021 to monitor with members the implementation of the recommendations and to develop EAPN Europe and EU wide recommendations</w:t>
      </w:r>
    </w:p>
    <w:p w14:paraId="2693D0B1" w14:textId="51EE0BBB" w:rsidR="002E3469" w:rsidRDefault="002E3469" w:rsidP="002E3469">
      <w:pPr>
        <w:rPr>
          <w:lang w:val="en-GB"/>
        </w:rPr>
      </w:pPr>
    </w:p>
    <w:p w14:paraId="3444D6AE" w14:textId="34B3C7C9" w:rsidR="002E3469" w:rsidRPr="002E3469" w:rsidRDefault="002E3469" w:rsidP="002E3469">
      <w:pPr>
        <w:rPr>
          <w:lang w:val="en-GB"/>
        </w:rPr>
      </w:pPr>
      <w:r>
        <w:rPr>
          <w:lang w:val="en-GB"/>
        </w:rPr>
        <w:t xml:space="preserve">To lead this work, it was agreed to contract 2 Gender Experts, EUISG co-chairs and co-founders of the Gender </w:t>
      </w:r>
      <w:proofErr w:type="spellStart"/>
      <w:r>
        <w:rPr>
          <w:lang w:val="en-GB"/>
        </w:rPr>
        <w:t>Adhoc</w:t>
      </w:r>
      <w:proofErr w:type="spellEnd"/>
      <w:r>
        <w:rPr>
          <w:lang w:val="en-GB"/>
        </w:rPr>
        <w:t xml:space="preserve"> Group on Gender and Poverty</w:t>
      </w:r>
      <w:r w:rsidR="00074E37">
        <w:rPr>
          <w:lang w:val="en-GB"/>
        </w:rPr>
        <w:t xml:space="preserve"> and lead authors of the 2 publications:</w:t>
      </w:r>
      <w:r>
        <w:rPr>
          <w:lang w:val="en-GB"/>
        </w:rPr>
        <w:t xml:space="preserve"> Graciela Malgesini and Marija Babovic. </w:t>
      </w:r>
      <w:r w:rsidR="00A14BE0">
        <w:rPr>
          <w:lang w:val="en-GB"/>
        </w:rPr>
        <w:t>(EAPN ES and Serbia).</w:t>
      </w:r>
    </w:p>
    <w:p w14:paraId="2FA635A1" w14:textId="77777777" w:rsidR="00074E37" w:rsidRDefault="00074E37" w:rsidP="002E3469">
      <w:pPr>
        <w:rPr>
          <w:b/>
          <w:bCs/>
          <w:lang w:val="en-GB"/>
        </w:rPr>
      </w:pPr>
    </w:p>
    <w:p w14:paraId="1D64A147" w14:textId="3724BB3E" w:rsidR="00074E37" w:rsidRDefault="00074E37" w:rsidP="002E3469">
      <w:pPr>
        <w:rPr>
          <w:b/>
          <w:bCs/>
          <w:lang w:val="en-GB"/>
        </w:rPr>
      </w:pPr>
    </w:p>
    <w:p w14:paraId="172FFE63" w14:textId="273ECCAC" w:rsidR="00345336" w:rsidRDefault="00345336" w:rsidP="002E3469">
      <w:pPr>
        <w:rPr>
          <w:b/>
          <w:bCs/>
          <w:lang w:val="en-GB"/>
        </w:rPr>
      </w:pPr>
    </w:p>
    <w:p w14:paraId="2F3E9882" w14:textId="0F6D8BA5" w:rsidR="00345336" w:rsidRDefault="00345336" w:rsidP="002E3469">
      <w:pPr>
        <w:rPr>
          <w:b/>
          <w:bCs/>
          <w:lang w:val="en-GB"/>
        </w:rPr>
      </w:pPr>
    </w:p>
    <w:p w14:paraId="7892F94D" w14:textId="3973004D" w:rsidR="00345336" w:rsidRDefault="00345336" w:rsidP="002E3469">
      <w:pPr>
        <w:rPr>
          <w:b/>
          <w:bCs/>
          <w:lang w:val="en-GB"/>
        </w:rPr>
      </w:pPr>
    </w:p>
    <w:p w14:paraId="0BDF513C" w14:textId="77777777" w:rsidR="00345336" w:rsidRDefault="00345336" w:rsidP="002E3469">
      <w:pPr>
        <w:rPr>
          <w:b/>
          <w:bCs/>
          <w:lang w:val="en-GB"/>
        </w:rPr>
      </w:pPr>
    </w:p>
    <w:p w14:paraId="625FE2D0" w14:textId="650D8E6C" w:rsidR="002E3469" w:rsidRDefault="009C0569" w:rsidP="002E3469">
      <w:pPr>
        <w:rPr>
          <w:b/>
          <w:bCs/>
          <w:lang w:val="en-GB"/>
        </w:rPr>
      </w:pPr>
      <w:r>
        <w:rPr>
          <w:b/>
          <w:bCs/>
          <w:lang w:val="en-GB"/>
        </w:rPr>
        <w:lastRenderedPageBreak/>
        <w:t xml:space="preserve">2. </w:t>
      </w:r>
      <w:r w:rsidR="00074E37" w:rsidRPr="00074E37">
        <w:rPr>
          <w:b/>
          <w:bCs/>
          <w:lang w:val="en-GB"/>
        </w:rPr>
        <w:t xml:space="preserve">Background to the </w:t>
      </w:r>
      <w:r w:rsidR="000D03DE">
        <w:rPr>
          <w:b/>
          <w:bCs/>
          <w:lang w:val="en-GB"/>
        </w:rPr>
        <w:t xml:space="preserve">Gender Equality Mainstreaming </w:t>
      </w:r>
      <w:r w:rsidR="00074E37" w:rsidRPr="00074E37">
        <w:rPr>
          <w:b/>
          <w:bCs/>
          <w:lang w:val="en-GB"/>
        </w:rPr>
        <w:t>Workshop</w:t>
      </w:r>
    </w:p>
    <w:p w14:paraId="26E17665" w14:textId="3287B97D" w:rsidR="006A353B" w:rsidRDefault="006A353B" w:rsidP="002E3469">
      <w:pPr>
        <w:rPr>
          <w:b/>
          <w:bCs/>
          <w:lang w:val="en-GB"/>
        </w:rPr>
      </w:pPr>
    </w:p>
    <w:p w14:paraId="0B011FE0" w14:textId="77777777" w:rsidR="006A353B" w:rsidRDefault="006A353B" w:rsidP="006A353B">
      <w:pPr>
        <w:jc w:val="left"/>
        <w:textAlignment w:val="baseline"/>
        <w:rPr>
          <w:b/>
          <w:bCs/>
          <w:lang w:val="en-GB"/>
        </w:rPr>
      </w:pPr>
      <w:r w:rsidRPr="00345336">
        <w:rPr>
          <w:b/>
          <w:bCs/>
          <w:lang w:val="en-GB"/>
        </w:rPr>
        <w:t>Objectives</w:t>
      </w:r>
    </w:p>
    <w:p w14:paraId="74176E00" w14:textId="2F9E2804" w:rsidR="006A353B" w:rsidRDefault="006A353B" w:rsidP="006A353B">
      <w:pPr>
        <w:jc w:val="left"/>
        <w:textAlignment w:val="baseline"/>
        <w:rPr>
          <w:lang w:val="en-GB"/>
        </w:rPr>
      </w:pPr>
      <w:r>
        <w:rPr>
          <w:lang w:val="en-GB"/>
        </w:rPr>
        <w:t xml:space="preserve">1) to explore </w:t>
      </w:r>
      <w:r w:rsidR="000D03DE">
        <w:rPr>
          <w:lang w:val="en-GB"/>
        </w:rPr>
        <w:t xml:space="preserve">the </w:t>
      </w:r>
      <w:r>
        <w:rPr>
          <w:lang w:val="en-GB"/>
        </w:rPr>
        <w:t>EU contex</w:t>
      </w:r>
      <w:r w:rsidR="000D03DE">
        <w:rPr>
          <w:lang w:val="en-GB"/>
        </w:rPr>
        <w:t>t of</w:t>
      </w:r>
      <w:r>
        <w:rPr>
          <w:lang w:val="en-GB"/>
        </w:rPr>
        <w:t xml:space="preserve"> the new</w:t>
      </w:r>
      <w:r w:rsidR="000D03DE">
        <w:rPr>
          <w:lang w:val="en-GB"/>
        </w:rPr>
        <w:t xml:space="preserve"> EU</w:t>
      </w:r>
      <w:r>
        <w:rPr>
          <w:lang w:val="en-GB"/>
        </w:rPr>
        <w:t xml:space="preserve"> Gender Equality Strategy</w:t>
      </w:r>
      <w:r w:rsidR="000D03DE">
        <w:rPr>
          <w:lang w:val="en-GB"/>
        </w:rPr>
        <w:t xml:space="preserve"> (2020-2025)</w:t>
      </w:r>
    </w:p>
    <w:p w14:paraId="41E3E32C" w14:textId="77777777" w:rsidR="006A353B" w:rsidRDefault="006A353B" w:rsidP="006A353B">
      <w:pPr>
        <w:jc w:val="left"/>
        <w:textAlignment w:val="baseline"/>
        <w:rPr>
          <w:lang w:val="en-GB"/>
        </w:rPr>
      </w:pPr>
      <w:r>
        <w:rPr>
          <w:lang w:val="en-GB"/>
        </w:rPr>
        <w:t>2) to discuss with members the findings of the EAPN Gender Mainstreaming survey</w:t>
      </w:r>
    </w:p>
    <w:p w14:paraId="5E8EDB7C" w14:textId="77777777" w:rsidR="006A353B" w:rsidRPr="00511F37" w:rsidRDefault="006A353B" w:rsidP="006A353B">
      <w:pPr>
        <w:jc w:val="left"/>
        <w:textAlignment w:val="baseline"/>
        <w:rPr>
          <w:rFonts w:cstheme="minorHAnsi"/>
          <w:b/>
          <w:bCs/>
          <w:color w:val="000000"/>
          <w:lang w:val="en-GB"/>
        </w:rPr>
      </w:pPr>
      <w:r>
        <w:rPr>
          <w:lang w:val="en-GB"/>
        </w:rPr>
        <w:t>3) to develop together guidance and recommendations to progress on Gender Mainstreaming from 2021.</w:t>
      </w:r>
    </w:p>
    <w:p w14:paraId="1BE3BE1D" w14:textId="77777777" w:rsidR="006A353B" w:rsidRDefault="006A353B" w:rsidP="002E3469">
      <w:pPr>
        <w:rPr>
          <w:b/>
          <w:bCs/>
          <w:lang w:val="en-GB"/>
        </w:rPr>
      </w:pPr>
    </w:p>
    <w:p w14:paraId="3AF14445" w14:textId="4A66ADA1" w:rsidR="006A353B" w:rsidRDefault="006A353B" w:rsidP="002E3469">
      <w:pPr>
        <w:rPr>
          <w:b/>
          <w:bCs/>
          <w:lang w:val="en-GB"/>
        </w:rPr>
      </w:pPr>
      <w:r>
        <w:rPr>
          <w:b/>
          <w:bCs/>
          <w:lang w:val="en-GB"/>
        </w:rPr>
        <w:t>Target Audience/</w:t>
      </w:r>
      <w:r w:rsidRPr="006A353B">
        <w:rPr>
          <w:b/>
          <w:bCs/>
          <w:lang w:val="en-GB"/>
        </w:rPr>
        <w:t>Participants</w:t>
      </w:r>
    </w:p>
    <w:p w14:paraId="030E701C" w14:textId="67E63B89" w:rsidR="006A353B" w:rsidRDefault="006A353B" w:rsidP="002E3469">
      <w:pPr>
        <w:rPr>
          <w:lang w:val="en-GB"/>
        </w:rPr>
      </w:pPr>
      <w:r w:rsidRPr="006A353B">
        <w:rPr>
          <w:lang w:val="en-GB"/>
        </w:rPr>
        <w:t>The workshop is targeted at EAPN members: EXCO and EUISG members. Other members from national networks and European Organizations are also welcome to participate.</w:t>
      </w:r>
    </w:p>
    <w:p w14:paraId="0686D82E" w14:textId="7E201547" w:rsidR="006A353B" w:rsidRDefault="006A353B" w:rsidP="002E3469">
      <w:pPr>
        <w:rPr>
          <w:lang w:val="en-GB"/>
        </w:rPr>
      </w:pPr>
    </w:p>
    <w:p w14:paraId="2FDD4A51" w14:textId="7A99CB00" w:rsidR="006A353B" w:rsidRDefault="006A353B" w:rsidP="002E3469">
      <w:pPr>
        <w:rPr>
          <w:b/>
          <w:bCs/>
          <w:lang w:val="en-GB"/>
        </w:rPr>
      </w:pPr>
      <w:r w:rsidRPr="006A353B">
        <w:rPr>
          <w:b/>
          <w:bCs/>
          <w:lang w:val="en-GB"/>
        </w:rPr>
        <w:t>Methodology</w:t>
      </w:r>
    </w:p>
    <w:p w14:paraId="69604482" w14:textId="29DFA900" w:rsidR="006A353B" w:rsidRPr="006A353B" w:rsidRDefault="006A353B" w:rsidP="002E3469">
      <w:pPr>
        <w:rPr>
          <w:lang w:val="en-GB"/>
        </w:rPr>
      </w:pPr>
      <w:r w:rsidRPr="006A353B">
        <w:rPr>
          <w:lang w:val="en-GB"/>
        </w:rPr>
        <w:t xml:space="preserve">The workshop will combine plenary sessions, involving external inputs and discussion on the Gender Equality Strategy, followed by presentation of the Survey findings. Participative break-out groups will then discuss the finding and propose guidance/recommendations </w:t>
      </w:r>
      <w:r>
        <w:rPr>
          <w:lang w:val="en-GB"/>
        </w:rPr>
        <w:t>to be implemented in 2021 at member level.</w:t>
      </w:r>
    </w:p>
    <w:p w14:paraId="6D4A7D24" w14:textId="04633494" w:rsidR="006A353B" w:rsidRDefault="006A353B" w:rsidP="002E3469">
      <w:pPr>
        <w:rPr>
          <w:lang w:val="en-GB"/>
        </w:rPr>
      </w:pPr>
    </w:p>
    <w:p w14:paraId="6CE4C17E" w14:textId="173D53A6" w:rsidR="006A353B" w:rsidRDefault="006A353B" w:rsidP="002E3469">
      <w:pPr>
        <w:rPr>
          <w:b/>
          <w:bCs/>
          <w:lang w:val="en-GB"/>
        </w:rPr>
      </w:pPr>
      <w:r w:rsidRPr="006A353B">
        <w:rPr>
          <w:b/>
          <w:bCs/>
          <w:lang w:val="en-GB"/>
        </w:rPr>
        <w:t>Background Info</w:t>
      </w:r>
      <w:r w:rsidR="009C0569">
        <w:rPr>
          <w:b/>
          <w:bCs/>
          <w:lang w:val="en-GB"/>
        </w:rPr>
        <w:t>rmation</w:t>
      </w:r>
    </w:p>
    <w:p w14:paraId="3FAD72AE" w14:textId="77777777" w:rsidR="00A637D6" w:rsidRPr="006A353B" w:rsidRDefault="00A637D6" w:rsidP="002E3469">
      <w:pPr>
        <w:rPr>
          <w:b/>
          <w:bCs/>
          <w:lang w:val="en-GB"/>
        </w:rPr>
      </w:pPr>
    </w:p>
    <w:p w14:paraId="7DBF79AE" w14:textId="62AD758B" w:rsidR="006A353B" w:rsidRPr="006A353B" w:rsidRDefault="006A353B" w:rsidP="006A353B">
      <w:pPr>
        <w:pStyle w:val="ListParagraph"/>
        <w:numPr>
          <w:ilvl w:val="0"/>
          <w:numId w:val="16"/>
        </w:numPr>
        <w:rPr>
          <w:b/>
          <w:bCs/>
          <w:lang w:val="en-GB"/>
        </w:rPr>
      </w:pPr>
      <w:r w:rsidRPr="006A353B">
        <w:rPr>
          <w:b/>
          <w:bCs/>
          <w:lang w:val="en-GB"/>
        </w:rPr>
        <w:t>EAPN Gender Equality Mainstreaming Survey</w:t>
      </w:r>
    </w:p>
    <w:p w14:paraId="3939D7A3" w14:textId="3CF14A0C" w:rsidR="00345336" w:rsidRDefault="00345336" w:rsidP="002E3469">
      <w:pPr>
        <w:rPr>
          <w:lang w:val="en-GB"/>
        </w:rPr>
      </w:pPr>
      <w:r w:rsidRPr="006A353B">
        <w:rPr>
          <w:lang w:val="en-GB"/>
        </w:rPr>
        <w:t xml:space="preserve">The on-line Gender </w:t>
      </w:r>
      <w:r w:rsidR="006A353B">
        <w:rPr>
          <w:lang w:val="en-GB"/>
        </w:rPr>
        <w:t xml:space="preserve">Equality </w:t>
      </w:r>
      <w:r w:rsidRPr="006A353B">
        <w:rPr>
          <w:lang w:val="en-GB"/>
        </w:rPr>
        <w:t>Mainstreaming Survey was launched</w:t>
      </w:r>
      <w:r w:rsidR="006A353B" w:rsidRPr="006A353B">
        <w:rPr>
          <w:lang w:val="en-GB"/>
        </w:rPr>
        <w:t xml:space="preserve"> on the 10 September </w:t>
      </w:r>
      <w:r w:rsidR="003D20ED">
        <w:rPr>
          <w:lang w:val="en-GB"/>
        </w:rPr>
        <w:t xml:space="preserve">2020 </w:t>
      </w:r>
      <w:r w:rsidR="006A353B" w:rsidRPr="006A353B">
        <w:rPr>
          <w:lang w:val="en-GB"/>
        </w:rPr>
        <w:t xml:space="preserve">with an extended deadline until the 30 September. </w:t>
      </w:r>
      <w:r w:rsidR="003D20ED">
        <w:rPr>
          <w:lang w:val="en-GB"/>
        </w:rPr>
        <w:t>Responses were received from 21 National Networks and 1 European Organization Member.</w:t>
      </w:r>
    </w:p>
    <w:p w14:paraId="55E7FC5B" w14:textId="3FC913EA" w:rsidR="003D20ED" w:rsidRDefault="003D20ED" w:rsidP="002E3469">
      <w:pPr>
        <w:rPr>
          <w:lang w:val="en-GB"/>
        </w:rPr>
      </w:pPr>
    </w:p>
    <w:tbl>
      <w:tblPr>
        <w:tblW w:w="8546"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blBorders>
        <w:tblLook w:val="06A0" w:firstRow="1" w:lastRow="0" w:firstColumn="1" w:lastColumn="0" w:noHBand="1" w:noVBand="1"/>
      </w:tblPr>
      <w:tblGrid>
        <w:gridCol w:w="3539"/>
        <w:gridCol w:w="5007"/>
      </w:tblGrid>
      <w:tr w:rsidR="003D20ED" w:rsidRPr="003D20ED" w14:paraId="16E7AE61" w14:textId="77777777" w:rsidTr="003D20ED">
        <w:trPr>
          <w:trHeight w:val="215"/>
        </w:trPr>
        <w:tc>
          <w:tcPr>
            <w:tcW w:w="3539" w:type="dxa"/>
            <w:tcBorders>
              <w:top w:val="single" w:sz="4" w:space="0" w:color="A5A5A5" w:themeColor="accent3"/>
              <w:left w:val="single" w:sz="4" w:space="0" w:color="A5A5A5" w:themeColor="accent3"/>
              <w:bottom w:val="single" w:sz="4" w:space="0" w:color="A5A5A5" w:themeColor="accent3"/>
              <w:right w:val="nil"/>
            </w:tcBorders>
            <w:shd w:val="clear" w:color="auto" w:fill="A5A5A5" w:themeFill="accent3"/>
            <w:vAlign w:val="center"/>
            <w:hideMark/>
          </w:tcPr>
          <w:p w14:paraId="041702B6" w14:textId="77777777" w:rsidR="003D20ED" w:rsidRPr="003D20ED" w:rsidRDefault="003D20ED">
            <w:pPr>
              <w:rPr>
                <w:rFonts w:eastAsiaTheme="minorHAnsi" w:cstheme="minorHAnsi"/>
                <w:sz w:val="22"/>
                <w:szCs w:val="22"/>
              </w:rPr>
            </w:pPr>
            <w:bookmarkStart w:id="0" w:name="OLE_LINK1"/>
            <w:r w:rsidRPr="003D20ED">
              <w:rPr>
                <w:rFonts w:cstheme="minorHAnsi"/>
                <w:b/>
                <w:bCs/>
                <w:color w:val="FFFFFF" w:themeColor="background1"/>
              </w:rPr>
              <w:t>MEMBER </w:t>
            </w:r>
          </w:p>
        </w:tc>
        <w:tc>
          <w:tcPr>
            <w:tcW w:w="5007" w:type="dxa"/>
            <w:tcBorders>
              <w:top w:val="single" w:sz="4" w:space="0" w:color="A5A5A5" w:themeColor="accent3"/>
              <w:left w:val="nil"/>
              <w:bottom w:val="single" w:sz="4" w:space="0" w:color="A5A5A5" w:themeColor="accent3"/>
              <w:right w:val="single" w:sz="4" w:space="0" w:color="A5A5A5" w:themeColor="accent3"/>
            </w:tcBorders>
            <w:shd w:val="clear" w:color="auto" w:fill="A5A5A5" w:themeFill="accent3"/>
            <w:vAlign w:val="center"/>
            <w:hideMark/>
          </w:tcPr>
          <w:p w14:paraId="01CFAB35" w14:textId="77777777" w:rsidR="003D20ED" w:rsidRPr="003D20ED" w:rsidRDefault="003D20ED">
            <w:pPr>
              <w:rPr>
                <w:rFonts w:cstheme="minorHAnsi"/>
              </w:rPr>
            </w:pPr>
            <w:proofErr w:type="spellStart"/>
            <w:r w:rsidRPr="003D20ED">
              <w:rPr>
                <w:rFonts w:cstheme="minorHAnsi"/>
                <w:b/>
                <w:bCs/>
                <w:color w:val="FFFFFF" w:themeColor="background1"/>
              </w:rPr>
              <w:t>Respondent</w:t>
            </w:r>
            <w:proofErr w:type="spellEnd"/>
            <w:r w:rsidRPr="003D20ED">
              <w:rPr>
                <w:rFonts w:cstheme="minorHAnsi"/>
                <w:b/>
                <w:bCs/>
                <w:color w:val="FFFFFF" w:themeColor="background1"/>
              </w:rPr>
              <w:t> </w:t>
            </w:r>
          </w:p>
        </w:tc>
      </w:tr>
      <w:tr w:rsidR="003D20ED" w:rsidRPr="003D20ED" w14:paraId="483C54C3"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1197377" w14:textId="77777777" w:rsidR="003D20ED" w:rsidRPr="003D20ED" w:rsidRDefault="003D20ED">
            <w:pPr>
              <w:rPr>
                <w:rFonts w:cstheme="minorHAnsi"/>
              </w:rPr>
            </w:pPr>
            <w:proofErr w:type="spellStart"/>
            <w:r w:rsidRPr="003D20ED">
              <w:rPr>
                <w:rFonts w:cstheme="minorHAnsi"/>
                <w:b/>
                <w:bCs/>
              </w:rPr>
              <w:t>Belgium</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86F7DDC" w14:textId="773B6F0F" w:rsidR="003D20ED" w:rsidRPr="003D20ED" w:rsidRDefault="003D20ED">
            <w:pPr>
              <w:rPr>
                <w:rFonts w:cstheme="minorHAnsi"/>
              </w:rPr>
            </w:pPr>
            <w:r w:rsidRPr="003D20ED">
              <w:rPr>
                <w:rFonts w:cstheme="minorHAnsi"/>
              </w:rPr>
              <w:t>Judith Tobac </w:t>
            </w:r>
            <w:r>
              <w:rPr>
                <w:rFonts w:cstheme="minorHAnsi"/>
              </w:rPr>
              <w:t>(EUISG)</w:t>
            </w:r>
          </w:p>
        </w:tc>
      </w:tr>
      <w:tr w:rsidR="003D20ED" w:rsidRPr="003D20ED" w14:paraId="586C6FC4"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D8C8FA3" w14:textId="77777777" w:rsidR="003D20ED" w:rsidRPr="003D20ED" w:rsidRDefault="003D20ED">
            <w:pPr>
              <w:rPr>
                <w:rFonts w:cstheme="minorHAnsi"/>
              </w:rPr>
            </w:pPr>
            <w:r w:rsidRPr="003D20ED">
              <w:rPr>
                <w:rFonts w:cstheme="minorHAnsi"/>
                <w:b/>
                <w:bCs/>
              </w:rPr>
              <w:t>Bulgaria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46F2F0B" w14:textId="78F367F8" w:rsidR="003D20ED" w:rsidRPr="003D20ED" w:rsidRDefault="003D20ED">
            <w:pPr>
              <w:rPr>
                <w:rFonts w:cstheme="minorHAnsi"/>
              </w:rPr>
            </w:pPr>
            <w:proofErr w:type="spellStart"/>
            <w:r w:rsidRPr="003D20ED">
              <w:rPr>
                <w:rFonts w:cstheme="minorHAnsi"/>
              </w:rPr>
              <w:t>Douhomir</w:t>
            </w:r>
            <w:proofErr w:type="spellEnd"/>
            <w:r w:rsidRPr="003D20ED">
              <w:rPr>
                <w:rFonts w:cstheme="minorHAnsi"/>
              </w:rPr>
              <w:t xml:space="preserve"> </w:t>
            </w:r>
            <w:proofErr w:type="spellStart"/>
            <w:r w:rsidRPr="003D20ED">
              <w:rPr>
                <w:rFonts w:cstheme="minorHAnsi"/>
              </w:rPr>
              <w:t>Minev</w:t>
            </w:r>
            <w:proofErr w:type="spellEnd"/>
            <w:r w:rsidRPr="003D20ED">
              <w:rPr>
                <w:rFonts w:cstheme="minorHAnsi"/>
              </w:rPr>
              <w:t xml:space="preserve"> &amp; Maria </w:t>
            </w:r>
            <w:proofErr w:type="spellStart"/>
            <w:r w:rsidRPr="003D20ED">
              <w:rPr>
                <w:rFonts w:cstheme="minorHAnsi"/>
              </w:rPr>
              <w:t>Jeliazkova</w:t>
            </w:r>
            <w:proofErr w:type="spellEnd"/>
            <w:r w:rsidRPr="003D20ED">
              <w:rPr>
                <w:rFonts w:cstheme="minorHAnsi"/>
              </w:rPr>
              <w:t> </w:t>
            </w:r>
            <w:r>
              <w:rPr>
                <w:rFonts w:cstheme="minorHAnsi"/>
              </w:rPr>
              <w:t>(EUISG/EXCO)</w:t>
            </w:r>
          </w:p>
        </w:tc>
      </w:tr>
      <w:tr w:rsidR="003D20ED" w:rsidRPr="003D20ED" w14:paraId="69E2AAE2"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308A9F0" w14:textId="77777777" w:rsidR="003D20ED" w:rsidRPr="003D20ED" w:rsidRDefault="003D20ED">
            <w:pPr>
              <w:rPr>
                <w:rFonts w:cstheme="minorHAnsi"/>
              </w:rPr>
            </w:pPr>
            <w:proofErr w:type="spellStart"/>
            <w:r w:rsidRPr="003D20ED">
              <w:rPr>
                <w:rFonts w:cstheme="minorHAnsi"/>
                <w:b/>
                <w:bCs/>
              </w:rPr>
              <w:t>Croatia</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E6C4012" w14:textId="041412EA" w:rsidR="003D20ED" w:rsidRPr="003D20ED" w:rsidRDefault="003D20ED">
            <w:pPr>
              <w:rPr>
                <w:rFonts w:cstheme="minorHAnsi"/>
              </w:rPr>
            </w:pPr>
            <w:r w:rsidRPr="003D20ED">
              <w:rPr>
                <w:rFonts w:cstheme="minorHAnsi"/>
              </w:rPr>
              <w:t xml:space="preserve">Aleksandra </w:t>
            </w:r>
            <w:proofErr w:type="spellStart"/>
            <w:r w:rsidRPr="003D20ED">
              <w:rPr>
                <w:rFonts w:cstheme="minorHAnsi"/>
              </w:rPr>
              <w:t>Selak</w:t>
            </w:r>
            <w:proofErr w:type="spellEnd"/>
            <w:r w:rsidRPr="003D20ED">
              <w:rPr>
                <w:rFonts w:cstheme="minorHAnsi"/>
              </w:rPr>
              <w:t xml:space="preserve"> </w:t>
            </w:r>
            <w:proofErr w:type="spellStart"/>
            <w:r w:rsidRPr="003D20ED">
              <w:rPr>
                <w:rFonts w:cstheme="minorHAnsi"/>
              </w:rPr>
              <w:t>Zivkovic</w:t>
            </w:r>
            <w:proofErr w:type="spellEnd"/>
            <w:r w:rsidRPr="003D20ED">
              <w:rPr>
                <w:rFonts w:cstheme="minorHAnsi"/>
              </w:rPr>
              <w:t> </w:t>
            </w:r>
            <w:r>
              <w:rPr>
                <w:rFonts w:cstheme="minorHAnsi"/>
              </w:rPr>
              <w:t>(EUISG)</w:t>
            </w:r>
          </w:p>
        </w:tc>
      </w:tr>
      <w:tr w:rsidR="003D20ED" w:rsidRPr="003D20ED" w14:paraId="54F9F6DB"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7C290B8" w14:textId="77777777" w:rsidR="003D20ED" w:rsidRPr="003D20ED" w:rsidRDefault="003D20ED">
            <w:pPr>
              <w:rPr>
                <w:rFonts w:cstheme="minorHAnsi"/>
              </w:rPr>
            </w:pPr>
            <w:proofErr w:type="spellStart"/>
            <w:r w:rsidRPr="003D20ED">
              <w:rPr>
                <w:rFonts w:cstheme="minorHAnsi"/>
                <w:b/>
                <w:bCs/>
              </w:rPr>
              <w:t>Cyprus</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E36BCE8" w14:textId="1A8383CF" w:rsidR="003D20ED" w:rsidRPr="003D20ED" w:rsidRDefault="003D20ED">
            <w:pPr>
              <w:rPr>
                <w:rFonts w:cstheme="minorHAnsi"/>
              </w:rPr>
            </w:pPr>
            <w:proofErr w:type="spellStart"/>
            <w:r w:rsidRPr="003D20ED">
              <w:rPr>
                <w:rFonts w:cstheme="minorHAnsi"/>
              </w:rPr>
              <w:t>Eleni</w:t>
            </w:r>
            <w:proofErr w:type="spellEnd"/>
            <w:r w:rsidRPr="003D20ED">
              <w:rPr>
                <w:rFonts w:cstheme="minorHAnsi"/>
              </w:rPr>
              <w:t xml:space="preserve"> </w:t>
            </w:r>
            <w:proofErr w:type="spellStart"/>
            <w:r w:rsidRPr="003D20ED">
              <w:rPr>
                <w:rFonts w:cstheme="minorHAnsi"/>
              </w:rPr>
              <w:t>Karaoli</w:t>
            </w:r>
            <w:proofErr w:type="spellEnd"/>
            <w:r w:rsidRPr="003D20ED">
              <w:rPr>
                <w:rFonts w:cstheme="minorHAnsi"/>
              </w:rPr>
              <w:t> </w:t>
            </w:r>
            <w:r>
              <w:rPr>
                <w:rFonts w:cstheme="minorHAnsi"/>
              </w:rPr>
              <w:t>(EXCO)</w:t>
            </w:r>
          </w:p>
        </w:tc>
      </w:tr>
      <w:tr w:rsidR="003D20ED" w:rsidRPr="003D20ED" w14:paraId="5A3148AD"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48022F3" w14:textId="77777777" w:rsidR="003D20ED" w:rsidRPr="003D20ED" w:rsidRDefault="003D20ED">
            <w:pPr>
              <w:rPr>
                <w:rFonts w:cstheme="minorHAnsi"/>
              </w:rPr>
            </w:pPr>
            <w:proofErr w:type="spellStart"/>
            <w:r w:rsidRPr="003D20ED">
              <w:rPr>
                <w:rFonts w:cstheme="minorHAnsi"/>
                <w:b/>
                <w:bCs/>
              </w:rPr>
              <w:t>Czechia</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2C993A1" w14:textId="1F211669" w:rsidR="003D20ED" w:rsidRPr="003D20ED" w:rsidRDefault="003D20ED">
            <w:pPr>
              <w:rPr>
                <w:rFonts w:cstheme="minorHAnsi"/>
              </w:rPr>
            </w:pPr>
            <w:r w:rsidRPr="003D20ED">
              <w:rPr>
                <w:rFonts w:cstheme="minorHAnsi"/>
              </w:rPr>
              <w:t>Iva Kuchyňková </w:t>
            </w:r>
            <w:r>
              <w:rPr>
                <w:rFonts w:cstheme="minorHAnsi"/>
              </w:rPr>
              <w:t>(EUISG)</w:t>
            </w:r>
          </w:p>
        </w:tc>
      </w:tr>
      <w:tr w:rsidR="003D20ED" w:rsidRPr="003D20ED" w14:paraId="1856AF89"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FBDEFBD" w14:textId="77777777" w:rsidR="003D20ED" w:rsidRPr="003D20ED" w:rsidRDefault="003D20ED">
            <w:pPr>
              <w:rPr>
                <w:rFonts w:cstheme="minorHAnsi"/>
              </w:rPr>
            </w:pPr>
            <w:proofErr w:type="spellStart"/>
            <w:r w:rsidRPr="003D20ED">
              <w:rPr>
                <w:rFonts w:cstheme="minorHAnsi"/>
                <w:b/>
                <w:bCs/>
              </w:rPr>
              <w:t>Finland</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4A2E5CD" w14:textId="3EF5FA73" w:rsidR="003D20ED" w:rsidRPr="003D20ED" w:rsidRDefault="003D20ED">
            <w:pPr>
              <w:rPr>
                <w:rFonts w:cstheme="minorHAnsi"/>
              </w:rPr>
            </w:pPr>
            <w:r w:rsidRPr="003D20ED">
              <w:rPr>
                <w:rFonts w:cstheme="minorHAnsi"/>
              </w:rPr>
              <w:t>Anna Järvinen </w:t>
            </w:r>
            <w:r>
              <w:rPr>
                <w:rFonts w:cstheme="minorHAnsi"/>
              </w:rPr>
              <w:t>(EUISG)</w:t>
            </w:r>
          </w:p>
        </w:tc>
      </w:tr>
      <w:tr w:rsidR="003D20ED" w:rsidRPr="003D20ED" w14:paraId="6CB2D6A1"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098C7E0" w14:textId="77777777" w:rsidR="003D20ED" w:rsidRPr="003D20ED" w:rsidRDefault="003D20ED">
            <w:pPr>
              <w:rPr>
                <w:rFonts w:cstheme="minorHAnsi"/>
              </w:rPr>
            </w:pPr>
            <w:r w:rsidRPr="003D20ED">
              <w:rPr>
                <w:rFonts w:cstheme="minorHAnsi"/>
                <w:b/>
                <w:bCs/>
              </w:rPr>
              <w:t>France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038C38E" w14:textId="1D2F0D08" w:rsidR="003D20ED" w:rsidRPr="003D20ED" w:rsidRDefault="003D20ED">
            <w:pPr>
              <w:rPr>
                <w:rFonts w:cstheme="minorHAnsi"/>
              </w:rPr>
            </w:pPr>
            <w:r w:rsidRPr="003D20ED">
              <w:rPr>
                <w:rFonts w:cstheme="minorHAnsi"/>
              </w:rPr>
              <w:t xml:space="preserve">Jeanne Dietrich and Helena </w:t>
            </w:r>
            <w:proofErr w:type="spellStart"/>
            <w:r w:rsidRPr="003D20ED">
              <w:rPr>
                <w:rFonts w:cstheme="minorHAnsi"/>
              </w:rPr>
              <w:t>Jestin</w:t>
            </w:r>
            <w:proofErr w:type="spellEnd"/>
            <w:r w:rsidRPr="003D20ED">
              <w:rPr>
                <w:rFonts w:cstheme="minorHAnsi"/>
              </w:rPr>
              <w:t> </w:t>
            </w:r>
            <w:r>
              <w:rPr>
                <w:rFonts w:cstheme="minorHAnsi"/>
              </w:rPr>
              <w:t>(EUISG)</w:t>
            </w:r>
          </w:p>
        </w:tc>
      </w:tr>
      <w:tr w:rsidR="003D20ED" w:rsidRPr="003D20ED" w14:paraId="5629D227"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3E0D999" w14:textId="77777777" w:rsidR="003D20ED" w:rsidRPr="003D20ED" w:rsidRDefault="003D20ED">
            <w:pPr>
              <w:rPr>
                <w:rFonts w:cstheme="minorHAnsi"/>
              </w:rPr>
            </w:pPr>
            <w:proofErr w:type="spellStart"/>
            <w:r w:rsidRPr="003D20ED">
              <w:rPr>
                <w:rFonts w:cstheme="minorHAnsi"/>
                <w:b/>
                <w:bCs/>
              </w:rPr>
              <w:t>Greece</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40886D8" w14:textId="45B94D34" w:rsidR="003D20ED" w:rsidRPr="003D20ED" w:rsidRDefault="003D20ED">
            <w:pPr>
              <w:rPr>
                <w:rFonts w:cstheme="minorHAnsi"/>
              </w:rPr>
            </w:pPr>
            <w:r w:rsidRPr="003D20ED">
              <w:rPr>
                <w:rFonts w:cstheme="minorHAnsi"/>
              </w:rPr>
              <w:t xml:space="preserve">Dina </w:t>
            </w:r>
            <w:proofErr w:type="gramStart"/>
            <w:r w:rsidRPr="003D20ED">
              <w:rPr>
                <w:rFonts w:cstheme="minorHAnsi"/>
              </w:rPr>
              <w:t>Vardaramatou  </w:t>
            </w:r>
            <w:r>
              <w:rPr>
                <w:rFonts w:cstheme="minorHAnsi"/>
              </w:rPr>
              <w:t>(</w:t>
            </w:r>
            <w:proofErr w:type="gramEnd"/>
            <w:r>
              <w:rPr>
                <w:rFonts w:cstheme="minorHAnsi"/>
              </w:rPr>
              <w:t>EUISG)</w:t>
            </w:r>
          </w:p>
        </w:tc>
      </w:tr>
      <w:tr w:rsidR="003D20ED" w:rsidRPr="003D20ED" w14:paraId="50D92C99"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D6FF92A" w14:textId="77777777" w:rsidR="003D20ED" w:rsidRPr="003D20ED" w:rsidRDefault="003D20ED">
            <w:pPr>
              <w:rPr>
                <w:rFonts w:cstheme="minorHAnsi"/>
              </w:rPr>
            </w:pPr>
            <w:proofErr w:type="spellStart"/>
            <w:r w:rsidRPr="003D20ED">
              <w:rPr>
                <w:rFonts w:cstheme="minorHAnsi"/>
                <w:b/>
                <w:bCs/>
              </w:rPr>
              <w:t>Hungary</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B66F4F" w14:textId="0F9D17EE" w:rsidR="003D20ED" w:rsidRPr="003D20ED" w:rsidRDefault="003D20ED">
            <w:pPr>
              <w:rPr>
                <w:rFonts w:cstheme="minorHAnsi"/>
              </w:rPr>
            </w:pPr>
            <w:r w:rsidRPr="003D20ED">
              <w:rPr>
                <w:rFonts w:cstheme="minorHAnsi"/>
              </w:rPr>
              <w:t xml:space="preserve">Krisztina </w:t>
            </w:r>
            <w:proofErr w:type="spellStart"/>
            <w:r w:rsidRPr="003D20ED">
              <w:rPr>
                <w:rFonts w:cstheme="minorHAnsi"/>
              </w:rPr>
              <w:t>Jász</w:t>
            </w:r>
            <w:proofErr w:type="spellEnd"/>
            <w:r w:rsidRPr="003D20ED">
              <w:rPr>
                <w:rFonts w:cstheme="minorHAnsi"/>
              </w:rPr>
              <w:t> </w:t>
            </w:r>
            <w:r>
              <w:rPr>
                <w:rFonts w:cstheme="minorHAnsi"/>
              </w:rPr>
              <w:t>(EUISG)</w:t>
            </w:r>
          </w:p>
        </w:tc>
      </w:tr>
      <w:tr w:rsidR="003D20ED" w:rsidRPr="003D20ED" w14:paraId="558E364D"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690D003" w14:textId="77777777" w:rsidR="003D20ED" w:rsidRPr="003D20ED" w:rsidRDefault="003D20ED">
            <w:pPr>
              <w:rPr>
                <w:rFonts w:cstheme="minorHAnsi"/>
              </w:rPr>
            </w:pPr>
            <w:proofErr w:type="spellStart"/>
            <w:r w:rsidRPr="003D20ED">
              <w:rPr>
                <w:rFonts w:cstheme="minorHAnsi"/>
                <w:b/>
                <w:bCs/>
              </w:rPr>
              <w:t>Ireland</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C88C22D" w14:textId="62894E28" w:rsidR="003D20ED" w:rsidRPr="003D20ED" w:rsidRDefault="003D20ED">
            <w:pPr>
              <w:rPr>
                <w:rFonts w:cstheme="minorHAnsi"/>
              </w:rPr>
            </w:pPr>
            <w:r w:rsidRPr="003D20ED">
              <w:rPr>
                <w:rFonts w:cstheme="minorHAnsi"/>
              </w:rPr>
              <w:t xml:space="preserve">Irene </w:t>
            </w:r>
            <w:proofErr w:type="gramStart"/>
            <w:r w:rsidRPr="003D20ED">
              <w:rPr>
                <w:rFonts w:cstheme="minorHAnsi"/>
              </w:rPr>
              <w:t>Byrne  </w:t>
            </w:r>
            <w:r>
              <w:rPr>
                <w:rFonts w:cstheme="minorHAnsi"/>
              </w:rPr>
              <w:t>(</w:t>
            </w:r>
            <w:proofErr w:type="gramEnd"/>
            <w:r>
              <w:rPr>
                <w:rFonts w:cstheme="minorHAnsi"/>
              </w:rPr>
              <w:t>EAPN IE)</w:t>
            </w:r>
          </w:p>
        </w:tc>
      </w:tr>
      <w:tr w:rsidR="003D20ED" w:rsidRPr="003D20ED" w14:paraId="61AE8229"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BC60ED9" w14:textId="77777777" w:rsidR="003D20ED" w:rsidRPr="003D20ED" w:rsidRDefault="003D20ED">
            <w:pPr>
              <w:rPr>
                <w:rFonts w:cstheme="minorHAnsi"/>
              </w:rPr>
            </w:pPr>
            <w:proofErr w:type="spellStart"/>
            <w:r w:rsidRPr="003D20ED">
              <w:rPr>
                <w:rFonts w:cstheme="minorHAnsi"/>
                <w:b/>
                <w:bCs/>
              </w:rPr>
              <w:t>Latvia</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83483BC" w14:textId="25C660BC" w:rsidR="003D20ED" w:rsidRPr="003D20ED" w:rsidRDefault="003D20ED">
            <w:pPr>
              <w:rPr>
                <w:rFonts w:cstheme="minorHAnsi"/>
              </w:rPr>
            </w:pPr>
            <w:r w:rsidRPr="003D20ED">
              <w:rPr>
                <w:rFonts w:cstheme="minorHAnsi"/>
              </w:rPr>
              <w:t>Laila Balga </w:t>
            </w:r>
            <w:r>
              <w:rPr>
                <w:rFonts w:cstheme="minorHAnsi"/>
              </w:rPr>
              <w:t>(EXCO)</w:t>
            </w:r>
          </w:p>
        </w:tc>
      </w:tr>
      <w:tr w:rsidR="003D20ED" w:rsidRPr="003D20ED" w14:paraId="2DE1DC5D"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EC447F1" w14:textId="77777777" w:rsidR="003D20ED" w:rsidRPr="003D20ED" w:rsidRDefault="003D20ED">
            <w:pPr>
              <w:rPr>
                <w:rFonts w:cstheme="minorHAnsi"/>
              </w:rPr>
            </w:pPr>
            <w:proofErr w:type="spellStart"/>
            <w:r w:rsidRPr="003D20ED">
              <w:rPr>
                <w:rFonts w:cstheme="minorHAnsi"/>
                <w:b/>
                <w:bCs/>
              </w:rPr>
              <w:t>Lithuania</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B08DBB7" w14:textId="601D721E" w:rsidR="003D20ED" w:rsidRPr="003D20ED" w:rsidRDefault="003D20ED">
            <w:pPr>
              <w:rPr>
                <w:rFonts w:cstheme="minorHAnsi"/>
              </w:rPr>
            </w:pPr>
            <w:r w:rsidRPr="003D20ED">
              <w:rPr>
                <w:rFonts w:cstheme="minorHAnsi"/>
              </w:rPr>
              <w:t>Aistė Adomavičienė </w:t>
            </w:r>
            <w:r>
              <w:rPr>
                <w:rFonts w:cstheme="minorHAnsi"/>
              </w:rPr>
              <w:t>(EXCO)</w:t>
            </w:r>
          </w:p>
        </w:tc>
      </w:tr>
      <w:tr w:rsidR="003D20ED" w:rsidRPr="003D20ED" w14:paraId="0AD9E944"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CCFB04E" w14:textId="77777777" w:rsidR="003D20ED" w:rsidRPr="003D20ED" w:rsidRDefault="003D20ED">
            <w:pPr>
              <w:rPr>
                <w:rFonts w:cstheme="minorHAnsi"/>
              </w:rPr>
            </w:pPr>
            <w:r w:rsidRPr="003D20ED">
              <w:rPr>
                <w:rFonts w:cstheme="minorHAnsi"/>
                <w:b/>
                <w:bCs/>
              </w:rPr>
              <w:t>Macedonia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6AB75FA" w14:textId="7AC03DC1" w:rsidR="003D20ED" w:rsidRPr="003D20ED" w:rsidRDefault="003D20ED">
            <w:pPr>
              <w:rPr>
                <w:rFonts w:cstheme="minorHAnsi"/>
              </w:rPr>
            </w:pPr>
            <w:r w:rsidRPr="003D20ED">
              <w:rPr>
                <w:rFonts w:cstheme="minorHAnsi"/>
              </w:rPr>
              <w:t>Maja Staleska </w:t>
            </w:r>
            <w:r>
              <w:rPr>
                <w:rFonts w:cstheme="minorHAnsi"/>
              </w:rPr>
              <w:t>(EUISG)</w:t>
            </w:r>
          </w:p>
        </w:tc>
      </w:tr>
      <w:tr w:rsidR="003D20ED" w:rsidRPr="003D20ED" w14:paraId="016C0BC7"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4D68954" w14:textId="77777777" w:rsidR="003D20ED" w:rsidRPr="003D20ED" w:rsidRDefault="003D20ED">
            <w:pPr>
              <w:rPr>
                <w:rFonts w:cstheme="minorHAnsi"/>
              </w:rPr>
            </w:pPr>
            <w:proofErr w:type="spellStart"/>
            <w:r w:rsidRPr="003D20ED">
              <w:rPr>
                <w:rFonts w:cstheme="minorHAnsi"/>
                <w:b/>
                <w:bCs/>
              </w:rPr>
              <w:t>Netherlands</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55F3B21" w14:textId="25CD48B3" w:rsidR="003D20ED" w:rsidRPr="003D20ED" w:rsidRDefault="003D20ED">
            <w:pPr>
              <w:rPr>
                <w:rFonts w:cstheme="minorHAnsi"/>
              </w:rPr>
            </w:pPr>
            <w:r w:rsidRPr="003D20ED">
              <w:rPr>
                <w:rFonts w:cstheme="minorHAnsi"/>
              </w:rPr>
              <w:t>Sonja Leemkuil and Jo Bothmer </w:t>
            </w:r>
            <w:r>
              <w:rPr>
                <w:rFonts w:cstheme="minorHAnsi"/>
              </w:rPr>
              <w:t>(EUISG/EXCO)</w:t>
            </w:r>
          </w:p>
        </w:tc>
      </w:tr>
      <w:tr w:rsidR="003D20ED" w:rsidRPr="003D20ED" w14:paraId="40C74DE8"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90C79E8" w14:textId="77777777" w:rsidR="003D20ED" w:rsidRPr="003D20ED" w:rsidRDefault="003D20ED">
            <w:pPr>
              <w:rPr>
                <w:rFonts w:cstheme="minorHAnsi"/>
              </w:rPr>
            </w:pPr>
            <w:proofErr w:type="spellStart"/>
            <w:r w:rsidRPr="003D20ED">
              <w:rPr>
                <w:rFonts w:cstheme="minorHAnsi"/>
                <w:b/>
                <w:bCs/>
              </w:rPr>
              <w:t>Norway</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EAD7DFD" w14:textId="7D899E71" w:rsidR="003D20ED" w:rsidRPr="003D20ED" w:rsidRDefault="003D20ED">
            <w:pPr>
              <w:rPr>
                <w:rFonts w:cstheme="minorHAnsi"/>
              </w:rPr>
            </w:pPr>
            <w:r w:rsidRPr="003D20ED">
              <w:rPr>
                <w:rFonts w:cstheme="minorHAnsi"/>
              </w:rPr>
              <w:t>Honoratte Muhanzi and Frøydis Jensen </w:t>
            </w:r>
            <w:r>
              <w:rPr>
                <w:rFonts w:cstheme="minorHAnsi"/>
              </w:rPr>
              <w:t>(EXCO/EUISG)</w:t>
            </w:r>
          </w:p>
        </w:tc>
      </w:tr>
      <w:tr w:rsidR="003D20ED" w:rsidRPr="003D20ED" w14:paraId="538C8821"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9048A29" w14:textId="77777777" w:rsidR="003D20ED" w:rsidRPr="003D20ED" w:rsidRDefault="003D20ED">
            <w:pPr>
              <w:rPr>
                <w:rFonts w:cstheme="minorHAnsi"/>
              </w:rPr>
            </w:pPr>
            <w:proofErr w:type="spellStart"/>
            <w:r w:rsidRPr="003D20ED">
              <w:rPr>
                <w:rFonts w:cstheme="minorHAnsi"/>
                <w:b/>
                <w:bCs/>
              </w:rPr>
              <w:t>Poland</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E35084E" w14:textId="58D8AA32" w:rsidR="003D20ED" w:rsidRPr="003D20ED" w:rsidRDefault="003D20ED">
            <w:pPr>
              <w:rPr>
                <w:rFonts w:cstheme="minorHAnsi"/>
              </w:rPr>
            </w:pPr>
            <w:r w:rsidRPr="003D20ED">
              <w:rPr>
                <w:rFonts w:cstheme="minorHAnsi"/>
              </w:rPr>
              <w:t>Ryszard Szarfenberg </w:t>
            </w:r>
            <w:r>
              <w:rPr>
                <w:rFonts w:cstheme="minorHAnsi"/>
              </w:rPr>
              <w:t>(EUISG)</w:t>
            </w:r>
          </w:p>
        </w:tc>
      </w:tr>
      <w:tr w:rsidR="003D20ED" w:rsidRPr="003D20ED" w14:paraId="2E8D69E4" w14:textId="77777777" w:rsidTr="003D20ED">
        <w:trPr>
          <w:trHeight w:val="45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14F3420" w14:textId="77777777" w:rsidR="003D20ED" w:rsidRPr="003D20ED" w:rsidRDefault="003D20ED">
            <w:pPr>
              <w:rPr>
                <w:rFonts w:cstheme="minorHAnsi"/>
              </w:rPr>
            </w:pPr>
            <w:r w:rsidRPr="003D20ED">
              <w:rPr>
                <w:rFonts w:cstheme="minorHAnsi"/>
                <w:b/>
                <w:bCs/>
              </w:rPr>
              <w:t>Portugal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68F9D2B" w14:textId="715A36FC" w:rsidR="003D20ED" w:rsidRPr="003D20ED" w:rsidRDefault="003D20ED">
            <w:pPr>
              <w:rPr>
                <w:rFonts w:cstheme="minorHAnsi"/>
              </w:rPr>
            </w:pPr>
            <w:r w:rsidRPr="003D20ED">
              <w:rPr>
                <w:rFonts w:cstheme="minorHAnsi"/>
              </w:rPr>
              <w:t xml:space="preserve">Paula Cruz, Sandra Araújo, Fátima Veiga, Elizabeth Santos, Maria José Vicente, </w:t>
            </w:r>
            <w:proofErr w:type="spellStart"/>
            <w:r w:rsidRPr="003D20ED">
              <w:rPr>
                <w:rFonts w:cstheme="minorHAnsi"/>
              </w:rPr>
              <w:t>Júlio</w:t>
            </w:r>
            <w:proofErr w:type="spellEnd"/>
            <w:r w:rsidRPr="003D20ED">
              <w:rPr>
                <w:rFonts w:cstheme="minorHAnsi"/>
              </w:rPr>
              <w:t xml:space="preserve"> Paiva </w:t>
            </w:r>
            <w:r>
              <w:rPr>
                <w:rFonts w:cstheme="minorHAnsi"/>
              </w:rPr>
              <w:t>(EUISG/EXCO and EAPN PT)</w:t>
            </w:r>
            <w:r w:rsidRPr="003D20ED">
              <w:rPr>
                <w:rFonts w:cstheme="minorHAnsi"/>
              </w:rPr>
              <w:t> </w:t>
            </w:r>
          </w:p>
        </w:tc>
      </w:tr>
      <w:tr w:rsidR="003D20ED" w:rsidRPr="003D20ED" w14:paraId="7D6FABE5"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2241F8E" w14:textId="77777777" w:rsidR="003D20ED" w:rsidRPr="003D20ED" w:rsidRDefault="003D20ED">
            <w:pPr>
              <w:rPr>
                <w:rFonts w:cstheme="minorHAnsi"/>
              </w:rPr>
            </w:pPr>
            <w:r w:rsidRPr="003D20ED">
              <w:rPr>
                <w:rFonts w:cstheme="minorHAnsi"/>
                <w:b/>
                <w:bCs/>
              </w:rPr>
              <w:lastRenderedPageBreak/>
              <w:t>Romania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EDB4841" w14:textId="2B8E38CF" w:rsidR="003D20ED" w:rsidRPr="003D20ED" w:rsidRDefault="003D20ED">
            <w:pPr>
              <w:rPr>
                <w:rFonts w:cstheme="minorHAnsi"/>
              </w:rPr>
            </w:pPr>
            <w:r w:rsidRPr="003D20ED">
              <w:rPr>
                <w:rFonts w:cstheme="minorHAnsi"/>
              </w:rPr>
              <w:t xml:space="preserve">Iris </w:t>
            </w:r>
            <w:proofErr w:type="gramStart"/>
            <w:r w:rsidRPr="003D20ED">
              <w:rPr>
                <w:rFonts w:cstheme="minorHAnsi"/>
              </w:rPr>
              <w:t>Alexis </w:t>
            </w:r>
            <w:r>
              <w:rPr>
                <w:rFonts w:cstheme="minorHAnsi"/>
              </w:rPr>
              <w:t xml:space="preserve"> (</w:t>
            </w:r>
            <w:proofErr w:type="gramEnd"/>
            <w:r>
              <w:rPr>
                <w:rFonts w:cstheme="minorHAnsi"/>
              </w:rPr>
              <w:t>EUISG)</w:t>
            </w:r>
          </w:p>
        </w:tc>
      </w:tr>
      <w:tr w:rsidR="003D20ED" w:rsidRPr="003D20ED" w14:paraId="352DD061"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0226F92" w14:textId="77777777" w:rsidR="003D20ED" w:rsidRPr="003D20ED" w:rsidRDefault="003D20ED">
            <w:pPr>
              <w:rPr>
                <w:rFonts w:cstheme="minorHAnsi"/>
              </w:rPr>
            </w:pPr>
            <w:r w:rsidRPr="003D20ED">
              <w:rPr>
                <w:rFonts w:cstheme="minorHAnsi"/>
                <w:b/>
                <w:bCs/>
              </w:rPr>
              <w:t>Serbia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41F05CA" w14:textId="438F6BCB" w:rsidR="003D20ED" w:rsidRPr="003D20ED" w:rsidRDefault="003D20ED">
            <w:pPr>
              <w:rPr>
                <w:rFonts w:cstheme="minorHAnsi"/>
              </w:rPr>
            </w:pPr>
            <w:r w:rsidRPr="003D20ED">
              <w:rPr>
                <w:rFonts w:cstheme="minorHAnsi"/>
              </w:rPr>
              <w:t>Jasmina Krunic </w:t>
            </w:r>
            <w:r>
              <w:rPr>
                <w:rFonts w:cstheme="minorHAnsi"/>
              </w:rPr>
              <w:t>(EXCO)</w:t>
            </w:r>
          </w:p>
        </w:tc>
      </w:tr>
      <w:tr w:rsidR="003D20ED" w:rsidRPr="003D20ED" w14:paraId="75094E89"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99FE358" w14:textId="77777777" w:rsidR="003D20ED" w:rsidRPr="003D20ED" w:rsidRDefault="003D20ED">
            <w:pPr>
              <w:rPr>
                <w:rFonts w:cstheme="minorHAnsi"/>
              </w:rPr>
            </w:pPr>
            <w:proofErr w:type="spellStart"/>
            <w:r w:rsidRPr="003D20ED">
              <w:rPr>
                <w:rFonts w:cstheme="minorHAnsi"/>
                <w:b/>
                <w:bCs/>
              </w:rPr>
              <w:t>Slovenia</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5E17319" w14:textId="51A818DA" w:rsidR="003D20ED" w:rsidRPr="003D20ED" w:rsidRDefault="003D20ED">
            <w:pPr>
              <w:rPr>
                <w:rFonts w:cstheme="minorHAnsi"/>
              </w:rPr>
            </w:pPr>
            <w:r w:rsidRPr="003D20ED">
              <w:rPr>
                <w:rFonts w:cstheme="minorHAnsi"/>
              </w:rPr>
              <w:t xml:space="preserve">Živa </w:t>
            </w:r>
            <w:proofErr w:type="gramStart"/>
            <w:r w:rsidRPr="003D20ED">
              <w:rPr>
                <w:rFonts w:cstheme="minorHAnsi"/>
              </w:rPr>
              <w:t>Humer </w:t>
            </w:r>
            <w:r>
              <w:rPr>
                <w:rFonts w:cstheme="minorHAnsi"/>
              </w:rPr>
              <w:t xml:space="preserve"> (</w:t>
            </w:r>
            <w:proofErr w:type="gramEnd"/>
            <w:r>
              <w:rPr>
                <w:rFonts w:cstheme="minorHAnsi"/>
              </w:rPr>
              <w:t>EUISG)</w:t>
            </w:r>
          </w:p>
        </w:tc>
      </w:tr>
      <w:tr w:rsidR="003D20ED" w:rsidRPr="003D20ED" w14:paraId="14AD8BEA"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116D06A" w14:textId="77777777" w:rsidR="003D20ED" w:rsidRPr="003D20ED" w:rsidRDefault="003D20ED">
            <w:pPr>
              <w:rPr>
                <w:rFonts w:cstheme="minorHAnsi"/>
              </w:rPr>
            </w:pPr>
            <w:proofErr w:type="spellStart"/>
            <w:r w:rsidRPr="003D20ED">
              <w:rPr>
                <w:rFonts w:cstheme="minorHAnsi"/>
                <w:b/>
                <w:bCs/>
              </w:rPr>
              <w:t>Spain</w:t>
            </w:r>
            <w:proofErr w:type="spellEnd"/>
            <w:r w:rsidRPr="003D20ED">
              <w:rPr>
                <w:rFonts w:cstheme="minorHAnsi"/>
                <w:b/>
                <w:bCs/>
              </w:rPr>
              <w:t>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34622AF" w14:textId="3EF92961" w:rsidR="003D20ED" w:rsidRPr="003D20ED" w:rsidRDefault="003D20ED">
            <w:pPr>
              <w:rPr>
                <w:rFonts w:cstheme="minorHAnsi"/>
              </w:rPr>
            </w:pPr>
            <w:r w:rsidRPr="003D20ED">
              <w:rPr>
                <w:rFonts w:cstheme="minorHAnsi"/>
              </w:rPr>
              <w:t>José Javier López </w:t>
            </w:r>
            <w:r>
              <w:rPr>
                <w:rFonts w:cstheme="minorHAnsi"/>
              </w:rPr>
              <w:t>(EAPN ES)</w:t>
            </w:r>
          </w:p>
        </w:tc>
        <w:bookmarkEnd w:id="0"/>
      </w:tr>
      <w:tr w:rsidR="003D20ED" w:rsidRPr="003D20ED" w14:paraId="07D1FA79" w14:textId="77777777" w:rsidTr="00E326E6">
        <w:trPr>
          <w:trHeight w:val="215"/>
        </w:trPr>
        <w:tc>
          <w:tcPr>
            <w:tcW w:w="8546"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386DCD1" w14:textId="3F8C2615" w:rsidR="003D20ED" w:rsidRPr="003D20ED" w:rsidRDefault="003D20ED" w:rsidP="003D20ED">
            <w:pPr>
              <w:jc w:val="center"/>
              <w:rPr>
                <w:rFonts w:cstheme="minorHAnsi"/>
                <w:sz w:val="20"/>
                <w:szCs w:val="20"/>
              </w:rPr>
            </w:pPr>
            <w:proofErr w:type="spellStart"/>
            <w:r w:rsidRPr="003D20ED">
              <w:rPr>
                <w:rFonts w:cstheme="minorHAnsi"/>
                <w:b/>
                <w:bCs/>
                <w:i/>
                <w:iCs/>
              </w:rPr>
              <w:t>European</w:t>
            </w:r>
            <w:proofErr w:type="spellEnd"/>
            <w:r w:rsidRPr="003D20ED">
              <w:rPr>
                <w:rFonts w:cstheme="minorHAnsi"/>
                <w:b/>
                <w:bCs/>
                <w:i/>
                <w:iCs/>
              </w:rPr>
              <w:t xml:space="preserve"> </w:t>
            </w:r>
            <w:proofErr w:type="spellStart"/>
            <w:r w:rsidRPr="003D20ED">
              <w:rPr>
                <w:rFonts w:cstheme="minorHAnsi"/>
                <w:b/>
                <w:bCs/>
                <w:i/>
                <w:iCs/>
              </w:rPr>
              <w:t>Organizations</w:t>
            </w:r>
            <w:proofErr w:type="spellEnd"/>
          </w:p>
        </w:tc>
      </w:tr>
      <w:tr w:rsidR="003D20ED" w:rsidRPr="003D20ED" w14:paraId="5CD65325" w14:textId="77777777" w:rsidTr="003D20ED">
        <w:trPr>
          <w:trHeight w:val="248"/>
        </w:trPr>
        <w:tc>
          <w:tcPr>
            <w:tcW w:w="353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D829E72" w14:textId="77777777" w:rsidR="003D20ED" w:rsidRPr="003D20ED" w:rsidRDefault="003D20ED">
            <w:pPr>
              <w:rPr>
                <w:rFonts w:eastAsiaTheme="minorHAnsi" w:cstheme="minorHAnsi"/>
                <w:sz w:val="22"/>
                <w:szCs w:val="22"/>
              </w:rPr>
            </w:pPr>
            <w:r w:rsidRPr="003D20ED">
              <w:rPr>
                <w:rFonts w:cstheme="minorHAnsi"/>
                <w:b/>
                <w:bCs/>
              </w:rPr>
              <w:t>IFSW </w:t>
            </w:r>
          </w:p>
        </w:tc>
        <w:tc>
          <w:tcPr>
            <w:tcW w:w="500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7052E84" w14:textId="77777777" w:rsidR="003D20ED" w:rsidRPr="003D20ED" w:rsidRDefault="003D20ED">
            <w:pPr>
              <w:rPr>
                <w:rFonts w:cstheme="minorHAnsi"/>
              </w:rPr>
            </w:pPr>
            <w:r w:rsidRPr="003D20ED">
              <w:rPr>
                <w:rFonts w:cstheme="minorHAnsi"/>
              </w:rPr>
              <w:t>Ian Johnston </w:t>
            </w:r>
          </w:p>
        </w:tc>
      </w:tr>
    </w:tbl>
    <w:p w14:paraId="200DBE38" w14:textId="77777777" w:rsidR="003D20ED" w:rsidRDefault="003D20ED" w:rsidP="002E3469">
      <w:pPr>
        <w:rPr>
          <w:lang w:val="en-GB"/>
        </w:rPr>
      </w:pPr>
    </w:p>
    <w:p w14:paraId="0520FB59" w14:textId="77777777" w:rsidR="006A353B" w:rsidRPr="006A353B" w:rsidRDefault="006A353B" w:rsidP="006A353B">
      <w:pPr>
        <w:pStyle w:val="ListParagraph"/>
        <w:numPr>
          <w:ilvl w:val="0"/>
          <w:numId w:val="16"/>
        </w:numPr>
        <w:rPr>
          <w:b/>
          <w:bCs/>
          <w:lang w:val="en-GB"/>
        </w:rPr>
      </w:pPr>
      <w:r w:rsidRPr="006A353B">
        <w:rPr>
          <w:b/>
          <w:bCs/>
          <w:lang w:val="en-GB"/>
        </w:rPr>
        <w:t>EU Gender Equality Strategy 2020-2025</w:t>
      </w:r>
    </w:p>
    <w:p w14:paraId="0159F989" w14:textId="77777777" w:rsidR="001D55E8" w:rsidRDefault="006A353B" w:rsidP="001D55E8">
      <w:pPr>
        <w:rPr>
          <w:rFonts w:cstheme="minorHAnsi"/>
          <w:lang w:val="en-GB" w:eastAsia="en-GB"/>
        </w:rPr>
      </w:pPr>
      <w:r w:rsidRPr="006A353B">
        <w:rPr>
          <w:rFonts w:cstheme="minorHAnsi"/>
          <w:lang w:val="en-GB" w:eastAsia="en-GB"/>
        </w:rPr>
        <w:t xml:space="preserve">The EU Gender Equality Strategy delivers on </w:t>
      </w:r>
      <w:r>
        <w:rPr>
          <w:rFonts w:cstheme="minorHAnsi"/>
          <w:lang w:val="en-GB" w:eastAsia="en-GB"/>
        </w:rPr>
        <w:t>President</w:t>
      </w:r>
      <w:r w:rsidRPr="006A353B">
        <w:rPr>
          <w:rFonts w:cstheme="minorHAnsi"/>
          <w:lang w:val="en-GB" w:eastAsia="en-GB"/>
        </w:rPr>
        <w:t xml:space="preserve"> von der Leyen</w:t>
      </w:r>
      <w:r>
        <w:rPr>
          <w:rFonts w:cstheme="minorHAnsi"/>
          <w:lang w:val="en-GB" w:eastAsia="en-GB"/>
        </w:rPr>
        <w:t>’s</w:t>
      </w:r>
      <w:r w:rsidRPr="006A353B">
        <w:rPr>
          <w:rFonts w:cstheme="minorHAnsi"/>
          <w:lang w:val="en-GB" w:eastAsia="en-GB"/>
        </w:rPr>
        <w:t xml:space="preserve"> commitment to achiev</w:t>
      </w:r>
      <w:r>
        <w:rPr>
          <w:rFonts w:cstheme="minorHAnsi"/>
          <w:lang w:val="en-GB" w:eastAsia="en-GB"/>
        </w:rPr>
        <w:t>e</w:t>
      </w:r>
      <w:r w:rsidRPr="006A353B">
        <w:rPr>
          <w:rFonts w:cstheme="minorHAnsi"/>
          <w:lang w:val="en-GB" w:eastAsia="en-GB"/>
        </w:rPr>
        <w:t xml:space="preserve"> a Union of Equality. The Strategy presents policy objectives and actions to make significant progress by 2025 </w:t>
      </w:r>
      <w:r w:rsidRPr="006A353B">
        <w:rPr>
          <w:rFonts w:cstheme="minorHAnsi"/>
          <w:b/>
          <w:bCs/>
          <w:lang w:val="en-GB" w:eastAsia="en-GB"/>
        </w:rPr>
        <w:t>towards a gender-equal Europe</w:t>
      </w:r>
      <w:r w:rsidRPr="006A353B">
        <w:rPr>
          <w:rFonts w:cstheme="minorHAnsi"/>
          <w:lang w:val="en-GB" w:eastAsia="en-GB"/>
        </w:rPr>
        <w:t xml:space="preserve">. The goal is a Union where women and men, girls and boys, in all their diversity, are </w:t>
      </w:r>
      <w:r w:rsidRPr="006A353B">
        <w:rPr>
          <w:rFonts w:cstheme="minorHAnsi"/>
          <w:b/>
          <w:bCs/>
          <w:lang w:val="en-GB" w:eastAsia="en-GB"/>
        </w:rPr>
        <w:t xml:space="preserve">free </w:t>
      </w:r>
      <w:r w:rsidRPr="006A353B">
        <w:rPr>
          <w:rFonts w:cstheme="minorHAnsi"/>
          <w:lang w:val="en-GB" w:eastAsia="en-GB"/>
        </w:rPr>
        <w:t xml:space="preserve">to pursue their chosen path in life, have equal opportunities to </w:t>
      </w:r>
      <w:r w:rsidRPr="006A353B">
        <w:rPr>
          <w:rFonts w:cstheme="minorHAnsi"/>
          <w:b/>
          <w:bCs/>
          <w:lang w:val="en-GB" w:eastAsia="en-GB"/>
        </w:rPr>
        <w:t>thrive</w:t>
      </w:r>
      <w:r w:rsidRPr="006A353B">
        <w:rPr>
          <w:rFonts w:cstheme="minorHAnsi"/>
          <w:lang w:val="en-GB" w:eastAsia="en-GB"/>
        </w:rPr>
        <w:t xml:space="preserve">, and can equally participate in and </w:t>
      </w:r>
      <w:r w:rsidRPr="006A353B">
        <w:rPr>
          <w:rFonts w:cstheme="minorHAnsi"/>
          <w:b/>
          <w:bCs/>
          <w:lang w:val="en-GB" w:eastAsia="en-GB"/>
        </w:rPr>
        <w:t xml:space="preserve">lead </w:t>
      </w:r>
      <w:r w:rsidRPr="006A353B">
        <w:rPr>
          <w:rFonts w:cstheme="minorHAnsi"/>
          <w:lang w:val="en-GB" w:eastAsia="en-GB"/>
        </w:rPr>
        <w:t>our European society.</w:t>
      </w:r>
    </w:p>
    <w:p w14:paraId="25E60F46" w14:textId="77777777" w:rsidR="001D55E8" w:rsidRDefault="001D55E8" w:rsidP="001D55E8">
      <w:pPr>
        <w:rPr>
          <w:rFonts w:cstheme="minorHAnsi"/>
          <w:lang w:val="en-GB" w:eastAsia="en-GB"/>
        </w:rPr>
      </w:pPr>
    </w:p>
    <w:p w14:paraId="104A3A16" w14:textId="73C69F9C" w:rsidR="006A353B" w:rsidRPr="006A353B" w:rsidRDefault="006A353B" w:rsidP="001D55E8">
      <w:pPr>
        <w:rPr>
          <w:rFonts w:cstheme="minorHAnsi"/>
          <w:lang w:val="en-GB" w:eastAsia="en-GB"/>
        </w:rPr>
      </w:pPr>
      <w:r w:rsidRPr="006A353B">
        <w:rPr>
          <w:rFonts w:cstheme="minorHAnsi"/>
          <w:lang w:val="en-GB" w:eastAsia="en-GB"/>
        </w:rPr>
        <w:t xml:space="preserve">The </w:t>
      </w:r>
      <w:r w:rsidRPr="006A353B">
        <w:rPr>
          <w:rFonts w:cstheme="minorHAnsi"/>
          <w:b/>
          <w:bCs/>
          <w:lang w:val="en-GB" w:eastAsia="en-GB"/>
        </w:rPr>
        <w:t>key objectives</w:t>
      </w:r>
      <w:r w:rsidRPr="006A353B">
        <w:rPr>
          <w:rFonts w:cstheme="minorHAnsi"/>
          <w:lang w:val="en-GB" w:eastAsia="en-GB"/>
        </w:rPr>
        <w:t xml:space="preserve"> are</w:t>
      </w:r>
      <w:r>
        <w:rPr>
          <w:rFonts w:cstheme="minorHAnsi"/>
          <w:lang w:val="en-GB" w:eastAsia="en-GB"/>
        </w:rPr>
        <w:t>:</w:t>
      </w:r>
      <w:r w:rsidRPr="006A353B">
        <w:rPr>
          <w:rFonts w:cstheme="minorHAnsi"/>
          <w:lang w:val="en-GB" w:eastAsia="en-GB"/>
        </w:rPr>
        <w:t xml:space="preserve"> ending gender-based violence; challenging gender stereotypes; closing gender gaps in the labour market; achieving equal participation across different sectors of the economy; addressing the gender pay and pension gaps; closing the gender care gap and achieving gender balance in decision-making and in politics.</w:t>
      </w:r>
      <w:r w:rsidR="00A637D6">
        <w:rPr>
          <w:rFonts w:cstheme="minorHAnsi"/>
          <w:lang w:val="en-GB" w:eastAsia="en-GB"/>
        </w:rPr>
        <w:t xml:space="preserve"> </w:t>
      </w:r>
      <w:r w:rsidRPr="006A353B">
        <w:rPr>
          <w:rFonts w:cstheme="minorHAnsi"/>
          <w:lang w:val="en-GB" w:eastAsia="en-GB"/>
        </w:rPr>
        <w:t xml:space="preserve">The Strategy pursues a dual approach of gender </w:t>
      </w:r>
      <w:r w:rsidRPr="006A353B">
        <w:rPr>
          <w:rFonts w:cstheme="minorHAnsi"/>
          <w:b/>
          <w:bCs/>
          <w:lang w:val="en-GB" w:eastAsia="en-GB"/>
        </w:rPr>
        <w:t xml:space="preserve">mainstreaming </w:t>
      </w:r>
      <w:r w:rsidRPr="006A353B">
        <w:rPr>
          <w:rFonts w:cstheme="minorHAnsi"/>
          <w:lang w:val="en-GB" w:eastAsia="en-GB"/>
        </w:rPr>
        <w:t xml:space="preserve">combined with targeted actions, and </w:t>
      </w:r>
      <w:r w:rsidRPr="006A353B">
        <w:rPr>
          <w:rFonts w:cstheme="minorHAnsi"/>
          <w:b/>
          <w:bCs/>
          <w:lang w:val="en-GB" w:eastAsia="en-GB"/>
        </w:rPr>
        <w:t xml:space="preserve">intersectionality </w:t>
      </w:r>
      <w:r w:rsidRPr="006A353B">
        <w:rPr>
          <w:rFonts w:cstheme="minorHAnsi"/>
          <w:lang w:val="en-GB" w:eastAsia="en-GB"/>
        </w:rPr>
        <w:t>is a horizontal principle for its implementation. While the Strategy focuses on actions within the EU, it is coherent with the EU’s external policy on gender equality and women’s empowerment.</w:t>
      </w:r>
      <w:r>
        <w:rPr>
          <w:rFonts w:cstheme="minorHAnsi"/>
          <w:lang w:val="en-GB" w:eastAsia="en-GB"/>
        </w:rPr>
        <w:t xml:space="preserve"> </w:t>
      </w:r>
      <w:r w:rsidRPr="006A353B">
        <w:rPr>
          <w:rFonts w:cstheme="minorHAnsi"/>
          <w:lang w:val="en-GB" w:eastAsia="en-GB"/>
        </w:rPr>
        <w:t xml:space="preserve">As one of the first deliverables of the Strategy, the Commission will propose </w:t>
      </w:r>
      <w:hyperlink r:id="rId10" w:anchor="pay-transparency" w:history="1">
        <w:r w:rsidRPr="006A353B">
          <w:rPr>
            <w:rFonts w:cstheme="minorHAnsi"/>
            <w:color w:val="0000FF"/>
            <w:u w:val="single"/>
            <w:lang w:val="en-GB" w:eastAsia="en-GB"/>
          </w:rPr>
          <w:t>binding pay transparency measures</w:t>
        </w:r>
      </w:hyperlink>
      <w:r w:rsidRPr="006A353B">
        <w:rPr>
          <w:rFonts w:cstheme="minorHAnsi"/>
          <w:lang w:val="en-GB" w:eastAsia="en-GB"/>
        </w:rPr>
        <w:t> by the end of 2020.</w:t>
      </w:r>
      <w:r w:rsidR="00A637D6">
        <w:rPr>
          <w:rFonts w:cstheme="minorHAnsi"/>
          <w:lang w:val="en-GB" w:eastAsia="en-GB"/>
        </w:rPr>
        <w:t xml:space="preserve"> </w:t>
      </w:r>
      <w:r>
        <w:rPr>
          <w:rFonts w:cstheme="minorHAnsi"/>
          <w:lang w:val="en-GB" w:eastAsia="en-GB"/>
        </w:rPr>
        <w:t xml:space="preserve">See here: </w:t>
      </w:r>
      <w:hyperlink r:id="rId11" w:history="1">
        <w:r w:rsidRPr="006A353B">
          <w:rPr>
            <w:rFonts w:cstheme="minorHAnsi"/>
            <w:color w:val="0000FF"/>
            <w:u w:val="single"/>
            <w:lang w:val="en-GB" w:eastAsia="en-GB"/>
          </w:rPr>
          <w:t>Gender Equality Strategy 2020-2025</w:t>
        </w:r>
      </w:hyperlink>
    </w:p>
    <w:p w14:paraId="5D25A579" w14:textId="77777777" w:rsidR="006A353B" w:rsidRPr="006A353B" w:rsidRDefault="006A353B" w:rsidP="002E3469">
      <w:pPr>
        <w:rPr>
          <w:lang w:val="en-GB"/>
        </w:rPr>
      </w:pPr>
    </w:p>
    <w:p w14:paraId="103CD5FD" w14:textId="5B79D875" w:rsidR="00074E37" w:rsidRPr="00A637D6" w:rsidRDefault="00A637D6" w:rsidP="00A637D6">
      <w:pPr>
        <w:pBdr>
          <w:top w:val="single" w:sz="4" w:space="1" w:color="auto"/>
          <w:left w:val="single" w:sz="4" w:space="4" w:color="auto"/>
          <w:bottom w:val="single" w:sz="4" w:space="1" w:color="auto"/>
          <w:right w:val="single" w:sz="4" w:space="4" w:color="auto"/>
        </w:pBdr>
        <w:rPr>
          <w:b/>
          <w:bCs/>
          <w:i/>
          <w:iCs/>
          <w:lang w:val="en-GB"/>
        </w:rPr>
      </w:pPr>
      <w:r w:rsidRPr="00A637D6">
        <w:rPr>
          <w:b/>
          <w:bCs/>
          <w:i/>
          <w:iCs/>
          <w:lang w:val="en-GB"/>
        </w:rPr>
        <w:t xml:space="preserve">For further information on EAPN’s Gender Mainstreaming </w:t>
      </w:r>
      <w:r w:rsidR="001D55E8">
        <w:rPr>
          <w:b/>
          <w:bCs/>
          <w:i/>
          <w:iCs/>
          <w:lang w:val="en-GB"/>
        </w:rPr>
        <w:t>Action</w:t>
      </w:r>
      <w:r w:rsidRPr="00A637D6">
        <w:rPr>
          <w:b/>
          <w:bCs/>
          <w:i/>
          <w:iCs/>
          <w:lang w:val="en-GB"/>
        </w:rPr>
        <w:t xml:space="preserve"> please contact Graciela Malgesini and Marija Babovic</w:t>
      </w:r>
      <w:r>
        <w:rPr>
          <w:b/>
          <w:bCs/>
          <w:i/>
          <w:iCs/>
          <w:lang w:val="en-GB"/>
        </w:rPr>
        <w:t xml:space="preserve"> (</w:t>
      </w:r>
      <w:hyperlink r:id="rId12" w:history="1">
        <w:r w:rsidR="000D03DE" w:rsidRPr="00636D03">
          <w:rPr>
            <w:rStyle w:val="Hyperlink"/>
            <w:b/>
            <w:bCs/>
            <w:i/>
            <w:iCs/>
            <w:lang w:val="en-GB"/>
          </w:rPr>
          <w:t>gmalgesini@hotmail.com</w:t>
        </w:r>
      </w:hyperlink>
      <w:r w:rsidR="003D20ED">
        <w:rPr>
          <w:b/>
          <w:bCs/>
          <w:i/>
          <w:iCs/>
          <w:lang w:val="en-GB"/>
        </w:rPr>
        <w:t>;</w:t>
      </w:r>
      <w:r w:rsidR="003D20ED" w:rsidRPr="003D20ED">
        <w:t xml:space="preserve"> </w:t>
      </w:r>
      <w:hyperlink r:id="rId13" w:history="1">
        <w:r w:rsidR="003D20ED" w:rsidRPr="001166D1">
          <w:rPr>
            <w:rStyle w:val="Hyperlink"/>
            <w:b/>
            <w:bCs/>
            <w:i/>
            <w:iCs/>
            <w:lang w:val="en-GB"/>
          </w:rPr>
          <w:t>marija.babovic@secons.net</w:t>
        </w:r>
      </w:hyperlink>
      <w:r w:rsidR="003D20ED">
        <w:rPr>
          <w:b/>
          <w:bCs/>
          <w:i/>
          <w:iCs/>
          <w:lang w:val="en-GB"/>
        </w:rPr>
        <w:t xml:space="preserve">) and Sian Jones (Sian.jones@eapn.eu). </w:t>
      </w:r>
    </w:p>
    <w:sectPr w:rsidR="00074E37" w:rsidRPr="00A637D6" w:rsidSect="00CE075E">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23E0A" w14:textId="77777777" w:rsidR="000E1B5E" w:rsidRDefault="000E1B5E" w:rsidP="00BA0140">
      <w:r>
        <w:separator/>
      </w:r>
    </w:p>
  </w:endnote>
  <w:endnote w:type="continuationSeparator" w:id="0">
    <w:p w14:paraId="44710634" w14:textId="77777777" w:rsidR="000E1B5E" w:rsidRDefault="000E1B5E" w:rsidP="00BA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086871"/>
      <w:docPartObj>
        <w:docPartGallery w:val="Page Numbers (Bottom of Page)"/>
        <w:docPartUnique/>
      </w:docPartObj>
    </w:sdtPr>
    <w:sdtEndPr>
      <w:rPr>
        <w:noProof/>
      </w:rPr>
    </w:sdtEndPr>
    <w:sdtContent>
      <w:p w14:paraId="3AC697BF" w14:textId="0C02D813" w:rsidR="005A2AEB" w:rsidRDefault="005A2A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8F77CC" w14:textId="77777777" w:rsidR="005A2AEB" w:rsidRDefault="005A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32052" w14:textId="77777777" w:rsidR="000E1B5E" w:rsidRDefault="000E1B5E" w:rsidP="00BA0140">
      <w:r>
        <w:separator/>
      </w:r>
    </w:p>
  </w:footnote>
  <w:footnote w:type="continuationSeparator" w:id="0">
    <w:p w14:paraId="719F5829" w14:textId="77777777" w:rsidR="000E1B5E" w:rsidRDefault="000E1B5E" w:rsidP="00BA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4A1"/>
    <w:multiLevelType w:val="hybridMultilevel"/>
    <w:tmpl w:val="A6D493B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04B711FD"/>
    <w:multiLevelType w:val="hybridMultilevel"/>
    <w:tmpl w:val="71EA7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CF0118"/>
    <w:multiLevelType w:val="multilevel"/>
    <w:tmpl w:val="414C7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20DF2"/>
    <w:multiLevelType w:val="multilevel"/>
    <w:tmpl w:val="3C24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926E1"/>
    <w:multiLevelType w:val="hybridMultilevel"/>
    <w:tmpl w:val="272C2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7A4216"/>
    <w:multiLevelType w:val="hybridMultilevel"/>
    <w:tmpl w:val="18C45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C21F0D"/>
    <w:multiLevelType w:val="multilevel"/>
    <w:tmpl w:val="C860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B21FD"/>
    <w:multiLevelType w:val="multilevel"/>
    <w:tmpl w:val="B93E391A"/>
    <w:styleLink w:val="Estilo2"/>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0309EA"/>
    <w:multiLevelType w:val="hybridMultilevel"/>
    <w:tmpl w:val="C21E83BA"/>
    <w:lvl w:ilvl="0" w:tplc="A018428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52F84CBB"/>
    <w:multiLevelType w:val="hybridMultilevel"/>
    <w:tmpl w:val="B4F233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767866"/>
    <w:multiLevelType w:val="hybridMultilevel"/>
    <w:tmpl w:val="AEA0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964E8"/>
    <w:multiLevelType w:val="hybridMultilevel"/>
    <w:tmpl w:val="B26A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A5653"/>
    <w:multiLevelType w:val="multilevel"/>
    <w:tmpl w:val="DADE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7D24C3"/>
    <w:multiLevelType w:val="hybridMultilevel"/>
    <w:tmpl w:val="0138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36E00"/>
    <w:multiLevelType w:val="hybridMultilevel"/>
    <w:tmpl w:val="CBE81FF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7B595F9C"/>
    <w:multiLevelType w:val="hybridMultilevel"/>
    <w:tmpl w:val="668C8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6"/>
  </w:num>
  <w:num w:numId="4">
    <w:abstractNumId w:val="3"/>
  </w:num>
  <w:num w:numId="5">
    <w:abstractNumId w:val="2"/>
  </w:num>
  <w:num w:numId="6">
    <w:abstractNumId w:val="14"/>
  </w:num>
  <w:num w:numId="7">
    <w:abstractNumId w:val="13"/>
  </w:num>
  <w:num w:numId="8">
    <w:abstractNumId w:val="15"/>
  </w:num>
  <w:num w:numId="9">
    <w:abstractNumId w:val="0"/>
  </w:num>
  <w:num w:numId="10">
    <w:abstractNumId w:val="4"/>
  </w:num>
  <w:num w:numId="11">
    <w:abstractNumId w:val="11"/>
  </w:num>
  <w:num w:numId="12">
    <w:abstractNumId w:val="1"/>
  </w:num>
  <w:num w:numId="13">
    <w:abstractNumId w:val="8"/>
  </w:num>
  <w:num w:numId="14">
    <w:abstractNumId w:val="1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D3"/>
    <w:rsid w:val="00035962"/>
    <w:rsid w:val="00071CD4"/>
    <w:rsid w:val="00074E37"/>
    <w:rsid w:val="000B1C60"/>
    <w:rsid w:val="000D03DE"/>
    <w:rsid w:val="000E1B5E"/>
    <w:rsid w:val="0012116A"/>
    <w:rsid w:val="00136E8F"/>
    <w:rsid w:val="001A2E04"/>
    <w:rsid w:val="001D55E8"/>
    <w:rsid w:val="00203929"/>
    <w:rsid w:val="002A49EC"/>
    <w:rsid w:val="002E3469"/>
    <w:rsid w:val="00344762"/>
    <w:rsid w:val="00345336"/>
    <w:rsid w:val="003A72EB"/>
    <w:rsid w:val="003B04FC"/>
    <w:rsid w:val="003D20ED"/>
    <w:rsid w:val="003F6FEC"/>
    <w:rsid w:val="004176AF"/>
    <w:rsid w:val="004D2BCF"/>
    <w:rsid w:val="00511F37"/>
    <w:rsid w:val="005677DF"/>
    <w:rsid w:val="00587D08"/>
    <w:rsid w:val="005A2AEB"/>
    <w:rsid w:val="005C0CC8"/>
    <w:rsid w:val="005E4DCE"/>
    <w:rsid w:val="006A353B"/>
    <w:rsid w:val="006B1E9C"/>
    <w:rsid w:val="006B688F"/>
    <w:rsid w:val="006C5618"/>
    <w:rsid w:val="007134C5"/>
    <w:rsid w:val="007317B7"/>
    <w:rsid w:val="00772B56"/>
    <w:rsid w:val="007C30CB"/>
    <w:rsid w:val="007D45D3"/>
    <w:rsid w:val="00810466"/>
    <w:rsid w:val="008849EF"/>
    <w:rsid w:val="00957FF0"/>
    <w:rsid w:val="00973A33"/>
    <w:rsid w:val="009B32E9"/>
    <w:rsid w:val="009C0569"/>
    <w:rsid w:val="009C1101"/>
    <w:rsid w:val="00A14BE0"/>
    <w:rsid w:val="00A37BBF"/>
    <w:rsid w:val="00A55661"/>
    <w:rsid w:val="00A637D6"/>
    <w:rsid w:val="00AA0965"/>
    <w:rsid w:val="00B000C6"/>
    <w:rsid w:val="00B04102"/>
    <w:rsid w:val="00B537CF"/>
    <w:rsid w:val="00BA0140"/>
    <w:rsid w:val="00BD5CD7"/>
    <w:rsid w:val="00C06E8F"/>
    <w:rsid w:val="00C22518"/>
    <w:rsid w:val="00C70627"/>
    <w:rsid w:val="00CE075E"/>
    <w:rsid w:val="00DB09A8"/>
    <w:rsid w:val="00DD1441"/>
    <w:rsid w:val="00DD47B0"/>
    <w:rsid w:val="00DF7EB0"/>
    <w:rsid w:val="00E12B9D"/>
    <w:rsid w:val="00E428A6"/>
    <w:rsid w:val="00EA2302"/>
    <w:rsid w:val="00EF3706"/>
    <w:rsid w:val="00EF4398"/>
    <w:rsid w:val="00FB1E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BC26"/>
  <w15:chartTrackingRefBased/>
  <w15:docId w15:val="{61E2B24C-BBB7-7148-B800-0534BDD9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E8F"/>
    <w:pPr>
      <w:jc w:val="both"/>
    </w:pPr>
    <w:rPr>
      <w:rFonts w:cs="Times New Roman"/>
      <w:lang w:eastAsia="es-ES_tradnl"/>
    </w:rPr>
  </w:style>
  <w:style w:type="paragraph" w:styleId="Heading2">
    <w:name w:val="heading 2"/>
    <w:basedOn w:val="Normal"/>
    <w:next w:val="Normal"/>
    <w:link w:val="Heading2Char"/>
    <w:uiPriority w:val="9"/>
    <w:unhideWhenUsed/>
    <w:qFormat/>
    <w:rsid w:val="006B1E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4476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E9C"/>
    <w:rPr>
      <w:rFonts w:asciiTheme="majorHAnsi" w:eastAsiaTheme="majorEastAsia" w:hAnsiTheme="majorHAnsi" w:cstheme="majorBidi"/>
      <w:color w:val="2F5496" w:themeColor="accent1" w:themeShade="BF"/>
      <w:sz w:val="26"/>
      <w:szCs w:val="26"/>
      <w:lang w:eastAsia="es-ES_tradnl"/>
    </w:rPr>
  </w:style>
  <w:style w:type="table" w:customStyle="1" w:styleId="Tabladecuadrcula5oscura-nfasis21">
    <w:name w:val="Tabla de cuadrícula 5 oscura - Énfasis 21"/>
    <w:basedOn w:val="TableNormal"/>
    <w:uiPriority w:val="50"/>
    <w:rsid w:val="0012116A"/>
    <w:rPr>
      <w:rFonts w:eastAsiaTheme="minorHAnsi"/>
      <w:sz w:val="20"/>
      <w:szCs w:val="22"/>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fuente">
    <w:name w:val="fuente"/>
    <w:basedOn w:val="Normal"/>
    <w:qFormat/>
    <w:rsid w:val="0012116A"/>
    <w:rPr>
      <w:i/>
      <w:noProof/>
      <w:sz w:val="20"/>
      <w:szCs w:val="20"/>
    </w:rPr>
  </w:style>
  <w:style w:type="character" w:styleId="FootnoteReference">
    <w:name w:val="footnote reference"/>
    <w:uiPriority w:val="99"/>
    <w:unhideWhenUsed/>
    <w:rsid w:val="00B000C6"/>
    <w:rPr>
      <w:rFonts w:asciiTheme="minorHAnsi" w:hAnsiTheme="minorHAnsi"/>
      <w:sz w:val="16"/>
      <w:vertAlign w:val="superscript"/>
    </w:rPr>
  </w:style>
  <w:style w:type="paragraph" w:customStyle="1" w:styleId="Ttul">
    <w:name w:val="Títul"/>
    <w:basedOn w:val="Heading3"/>
    <w:qFormat/>
    <w:rsid w:val="00344762"/>
    <w:pPr>
      <w:keepNext w:val="0"/>
      <w:keepLines w:val="0"/>
      <w:pBdr>
        <w:top w:val="single" w:sz="6" w:space="2" w:color="4472C4" w:themeColor="accent1"/>
        <w:left w:val="single" w:sz="6" w:space="2" w:color="4472C4" w:themeColor="accent1"/>
      </w:pBdr>
      <w:spacing w:before="300" w:line="276" w:lineRule="auto"/>
      <w:jc w:val="left"/>
    </w:pPr>
    <w:rPr>
      <w:rFonts w:asciiTheme="minorHAnsi" w:eastAsia="Helvetica Neue" w:hAnsiTheme="minorHAnsi" w:cstheme="minorBidi"/>
      <w:caps/>
      <w:spacing w:val="15"/>
      <w:sz w:val="22"/>
      <w:szCs w:val="22"/>
    </w:rPr>
  </w:style>
  <w:style w:type="character" w:customStyle="1" w:styleId="Heading3Char">
    <w:name w:val="Heading 3 Char"/>
    <w:basedOn w:val="DefaultParagraphFont"/>
    <w:link w:val="Heading3"/>
    <w:uiPriority w:val="9"/>
    <w:semiHidden/>
    <w:rsid w:val="00344762"/>
    <w:rPr>
      <w:rFonts w:asciiTheme="majorHAnsi" w:eastAsiaTheme="majorEastAsia" w:hAnsiTheme="majorHAnsi" w:cstheme="majorBidi"/>
      <w:color w:val="1F3763" w:themeColor="accent1" w:themeShade="7F"/>
      <w:lang w:eastAsia="es-ES_tradnl"/>
    </w:rPr>
  </w:style>
  <w:style w:type="numbering" w:customStyle="1" w:styleId="Estilo2">
    <w:name w:val="Estilo2"/>
    <w:uiPriority w:val="99"/>
    <w:rsid w:val="007134C5"/>
    <w:pPr>
      <w:numPr>
        <w:numId w:val="1"/>
      </w:numPr>
    </w:pPr>
  </w:style>
  <w:style w:type="paragraph" w:customStyle="1" w:styleId="xmsonormal">
    <w:name w:val="x_msonormal"/>
    <w:basedOn w:val="Normal"/>
    <w:rsid w:val="004176AF"/>
    <w:pPr>
      <w:spacing w:before="100" w:beforeAutospacing="1" w:after="100" w:afterAutospacing="1"/>
      <w:jc w:val="left"/>
    </w:pPr>
    <w:rPr>
      <w:rFonts w:ascii="Times New Roman" w:hAnsi="Times New Roman"/>
    </w:rPr>
  </w:style>
  <w:style w:type="paragraph" w:styleId="BalloonText">
    <w:name w:val="Balloon Text"/>
    <w:basedOn w:val="Normal"/>
    <w:link w:val="BalloonTextChar"/>
    <w:uiPriority w:val="99"/>
    <w:semiHidden/>
    <w:unhideWhenUsed/>
    <w:rsid w:val="004176A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176AF"/>
    <w:rPr>
      <w:rFonts w:ascii="Times New Roman" w:hAnsi="Times New Roman" w:cs="Times New Roman"/>
      <w:sz w:val="18"/>
      <w:szCs w:val="18"/>
      <w:lang w:eastAsia="es-ES_tradnl"/>
    </w:rPr>
  </w:style>
  <w:style w:type="paragraph" w:styleId="FootnoteText">
    <w:name w:val="footnote text"/>
    <w:basedOn w:val="Normal"/>
    <w:link w:val="FootnoteTextChar"/>
    <w:uiPriority w:val="99"/>
    <w:semiHidden/>
    <w:unhideWhenUsed/>
    <w:rsid w:val="00BA0140"/>
    <w:rPr>
      <w:sz w:val="20"/>
      <w:szCs w:val="20"/>
    </w:rPr>
  </w:style>
  <w:style w:type="character" w:customStyle="1" w:styleId="FootnoteTextChar">
    <w:name w:val="Footnote Text Char"/>
    <w:basedOn w:val="DefaultParagraphFont"/>
    <w:link w:val="FootnoteText"/>
    <w:uiPriority w:val="99"/>
    <w:semiHidden/>
    <w:rsid w:val="00BA0140"/>
    <w:rPr>
      <w:rFonts w:cs="Times New Roman"/>
      <w:sz w:val="20"/>
      <w:szCs w:val="20"/>
      <w:lang w:eastAsia="es-ES_tradnl"/>
    </w:rPr>
  </w:style>
  <w:style w:type="paragraph" w:styleId="ListParagraph">
    <w:name w:val="List Paragraph"/>
    <w:basedOn w:val="Normal"/>
    <w:uiPriority w:val="34"/>
    <w:qFormat/>
    <w:rsid w:val="007317B7"/>
    <w:pPr>
      <w:ind w:left="720"/>
      <w:contextualSpacing/>
    </w:pPr>
  </w:style>
  <w:style w:type="table" w:styleId="TableGrid">
    <w:name w:val="Table Grid"/>
    <w:basedOn w:val="TableNormal"/>
    <w:uiPriority w:val="39"/>
    <w:rsid w:val="00071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AEB"/>
    <w:pPr>
      <w:tabs>
        <w:tab w:val="center" w:pos="4513"/>
        <w:tab w:val="right" w:pos="9026"/>
      </w:tabs>
    </w:pPr>
  </w:style>
  <w:style w:type="character" w:customStyle="1" w:styleId="HeaderChar">
    <w:name w:val="Header Char"/>
    <w:basedOn w:val="DefaultParagraphFont"/>
    <w:link w:val="Header"/>
    <w:uiPriority w:val="99"/>
    <w:rsid w:val="005A2AEB"/>
    <w:rPr>
      <w:rFonts w:cs="Times New Roman"/>
      <w:lang w:eastAsia="es-ES_tradnl"/>
    </w:rPr>
  </w:style>
  <w:style w:type="paragraph" w:styleId="Footer">
    <w:name w:val="footer"/>
    <w:basedOn w:val="Normal"/>
    <w:link w:val="FooterChar"/>
    <w:uiPriority w:val="99"/>
    <w:unhideWhenUsed/>
    <w:rsid w:val="005A2AEB"/>
    <w:pPr>
      <w:tabs>
        <w:tab w:val="center" w:pos="4513"/>
        <w:tab w:val="right" w:pos="9026"/>
      </w:tabs>
    </w:pPr>
  </w:style>
  <w:style w:type="character" w:customStyle="1" w:styleId="FooterChar">
    <w:name w:val="Footer Char"/>
    <w:basedOn w:val="DefaultParagraphFont"/>
    <w:link w:val="Footer"/>
    <w:uiPriority w:val="99"/>
    <w:rsid w:val="005A2AEB"/>
    <w:rPr>
      <w:rFonts w:cs="Times New Roman"/>
      <w:lang w:eastAsia="es-ES_tradnl"/>
    </w:rPr>
  </w:style>
  <w:style w:type="character" w:styleId="Hyperlink">
    <w:name w:val="Hyperlink"/>
    <w:basedOn w:val="DefaultParagraphFont"/>
    <w:uiPriority w:val="99"/>
    <w:unhideWhenUsed/>
    <w:rsid w:val="00511F37"/>
    <w:rPr>
      <w:color w:val="0563C1"/>
      <w:u w:val="single"/>
    </w:rPr>
  </w:style>
  <w:style w:type="character" w:styleId="UnresolvedMention">
    <w:name w:val="Unresolved Mention"/>
    <w:basedOn w:val="DefaultParagraphFont"/>
    <w:uiPriority w:val="99"/>
    <w:semiHidden/>
    <w:unhideWhenUsed/>
    <w:rsid w:val="00511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08917">
      <w:bodyDiv w:val="1"/>
      <w:marLeft w:val="0"/>
      <w:marRight w:val="0"/>
      <w:marTop w:val="0"/>
      <w:marBottom w:val="0"/>
      <w:divBdr>
        <w:top w:val="none" w:sz="0" w:space="0" w:color="auto"/>
        <w:left w:val="none" w:sz="0" w:space="0" w:color="auto"/>
        <w:bottom w:val="none" w:sz="0" w:space="0" w:color="auto"/>
        <w:right w:val="none" w:sz="0" w:space="0" w:color="auto"/>
      </w:divBdr>
    </w:div>
    <w:div w:id="1339384866">
      <w:bodyDiv w:val="1"/>
      <w:marLeft w:val="0"/>
      <w:marRight w:val="0"/>
      <w:marTop w:val="0"/>
      <w:marBottom w:val="0"/>
      <w:divBdr>
        <w:top w:val="none" w:sz="0" w:space="0" w:color="auto"/>
        <w:left w:val="none" w:sz="0" w:space="0" w:color="auto"/>
        <w:bottom w:val="none" w:sz="0" w:space="0" w:color="auto"/>
        <w:right w:val="none" w:sz="0" w:space="0" w:color="auto"/>
      </w:divBdr>
    </w:div>
    <w:div w:id="1613826804">
      <w:bodyDiv w:val="1"/>
      <w:marLeft w:val="0"/>
      <w:marRight w:val="0"/>
      <w:marTop w:val="0"/>
      <w:marBottom w:val="0"/>
      <w:divBdr>
        <w:top w:val="none" w:sz="0" w:space="0" w:color="auto"/>
        <w:left w:val="none" w:sz="0" w:space="0" w:color="auto"/>
        <w:bottom w:val="none" w:sz="0" w:space="0" w:color="auto"/>
        <w:right w:val="none" w:sz="0" w:space="0" w:color="auto"/>
      </w:divBdr>
      <w:divsChild>
        <w:div w:id="262809922">
          <w:marLeft w:val="0"/>
          <w:marRight w:val="0"/>
          <w:marTop w:val="0"/>
          <w:marBottom w:val="0"/>
          <w:divBdr>
            <w:top w:val="none" w:sz="0" w:space="0" w:color="auto"/>
            <w:left w:val="none" w:sz="0" w:space="0" w:color="auto"/>
            <w:bottom w:val="none" w:sz="0" w:space="0" w:color="auto"/>
            <w:right w:val="none" w:sz="0" w:space="0" w:color="auto"/>
          </w:divBdr>
          <w:divsChild>
            <w:div w:id="16666757">
              <w:marLeft w:val="0"/>
              <w:marRight w:val="0"/>
              <w:marTop w:val="0"/>
              <w:marBottom w:val="0"/>
              <w:divBdr>
                <w:top w:val="none" w:sz="0" w:space="0" w:color="auto"/>
                <w:left w:val="none" w:sz="0" w:space="0" w:color="auto"/>
                <w:bottom w:val="none" w:sz="0" w:space="0" w:color="auto"/>
                <w:right w:val="none" w:sz="0" w:space="0" w:color="auto"/>
              </w:divBdr>
              <w:divsChild>
                <w:div w:id="906301464">
                  <w:marLeft w:val="0"/>
                  <w:marRight w:val="0"/>
                  <w:marTop w:val="0"/>
                  <w:marBottom w:val="0"/>
                  <w:divBdr>
                    <w:top w:val="none" w:sz="0" w:space="0" w:color="auto"/>
                    <w:left w:val="none" w:sz="0" w:space="0" w:color="auto"/>
                    <w:bottom w:val="none" w:sz="0" w:space="0" w:color="auto"/>
                    <w:right w:val="none" w:sz="0" w:space="0" w:color="auto"/>
                  </w:divBdr>
                  <w:divsChild>
                    <w:div w:id="1337806324">
                      <w:marLeft w:val="0"/>
                      <w:marRight w:val="0"/>
                      <w:marTop w:val="0"/>
                      <w:marBottom w:val="0"/>
                      <w:divBdr>
                        <w:top w:val="none" w:sz="0" w:space="0" w:color="auto"/>
                        <w:left w:val="none" w:sz="0" w:space="0" w:color="auto"/>
                        <w:bottom w:val="none" w:sz="0" w:space="0" w:color="auto"/>
                        <w:right w:val="none" w:sz="0" w:space="0" w:color="auto"/>
                      </w:divBdr>
                      <w:divsChild>
                        <w:div w:id="15176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958784">
      <w:bodyDiv w:val="1"/>
      <w:marLeft w:val="0"/>
      <w:marRight w:val="0"/>
      <w:marTop w:val="0"/>
      <w:marBottom w:val="0"/>
      <w:divBdr>
        <w:top w:val="none" w:sz="0" w:space="0" w:color="auto"/>
        <w:left w:val="none" w:sz="0" w:space="0" w:color="auto"/>
        <w:bottom w:val="none" w:sz="0" w:space="0" w:color="auto"/>
        <w:right w:val="none" w:sz="0" w:space="0" w:color="auto"/>
      </w:divBdr>
      <w:divsChild>
        <w:div w:id="662591203">
          <w:marLeft w:val="0"/>
          <w:marRight w:val="0"/>
          <w:marTop w:val="0"/>
          <w:marBottom w:val="0"/>
          <w:divBdr>
            <w:top w:val="none" w:sz="0" w:space="0" w:color="auto"/>
            <w:left w:val="none" w:sz="0" w:space="0" w:color="auto"/>
            <w:bottom w:val="none" w:sz="0" w:space="0" w:color="auto"/>
            <w:right w:val="none" w:sz="0" w:space="0" w:color="auto"/>
          </w:divBdr>
        </w:div>
        <w:div w:id="1937250915">
          <w:marLeft w:val="0"/>
          <w:marRight w:val="0"/>
          <w:marTop w:val="0"/>
          <w:marBottom w:val="0"/>
          <w:divBdr>
            <w:top w:val="none" w:sz="0" w:space="0" w:color="auto"/>
            <w:left w:val="none" w:sz="0" w:space="0" w:color="auto"/>
            <w:bottom w:val="none" w:sz="0" w:space="0" w:color="auto"/>
            <w:right w:val="none" w:sz="0" w:space="0" w:color="auto"/>
          </w:divBdr>
        </w:div>
      </w:divsChild>
    </w:div>
    <w:div w:id="1907951933">
      <w:bodyDiv w:val="1"/>
      <w:marLeft w:val="0"/>
      <w:marRight w:val="0"/>
      <w:marTop w:val="0"/>
      <w:marBottom w:val="0"/>
      <w:divBdr>
        <w:top w:val="none" w:sz="0" w:space="0" w:color="auto"/>
        <w:left w:val="none" w:sz="0" w:space="0" w:color="auto"/>
        <w:bottom w:val="none" w:sz="0" w:space="0" w:color="auto"/>
        <w:right w:val="none" w:sz="0" w:space="0" w:color="auto"/>
      </w:divBdr>
    </w:div>
    <w:div w:id="2038314276">
      <w:bodyDiv w:val="1"/>
      <w:marLeft w:val="0"/>
      <w:marRight w:val="0"/>
      <w:marTop w:val="0"/>
      <w:marBottom w:val="0"/>
      <w:divBdr>
        <w:top w:val="none" w:sz="0" w:space="0" w:color="auto"/>
        <w:left w:val="none" w:sz="0" w:space="0" w:color="auto"/>
        <w:bottom w:val="none" w:sz="0" w:space="0" w:color="auto"/>
        <w:right w:val="none" w:sz="0" w:space="0" w:color="auto"/>
      </w:divBdr>
      <w:divsChild>
        <w:div w:id="1720670994">
          <w:marLeft w:val="0"/>
          <w:marRight w:val="0"/>
          <w:marTop w:val="0"/>
          <w:marBottom w:val="0"/>
          <w:divBdr>
            <w:top w:val="none" w:sz="0" w:space="0" w:color="auto"/>
            <w:left w:val="none" w:sz="0" w:space="0" w:color="auto"/>
            <w:bottom w:val="none" w:sz="0" w:space="0" w:color="auto"/>
            <w:right w:val="none" w:sz="0" w:space="0" w:color="auto"/>
          </w:divBdr>
        </w:div>
        <w:div w:id="65345900">
          <w:marLeft w:val="0"/>
          <w:marRight w:val="0"/>
          <w:marTop w:val="0"/>
          <w:marBottom w:val="0"/>
          <w:divBdr>
            <w:top w:val="none" w:sz="0" w:space="0" w:color="auto"/>
            <w:left w:val="none" w:sz="0" w:space="0" w:color="auto"/>
            <w:bottom w:val="none" w:sz="0" w:space="0" w:color="auto"/>
            <w:right w:val="none" w:sz="0" w:space="0" w:color="auto"/>
          </w:divBdr>
        </w:div>
        <w:div w:id="8875642">
          <w:marLeft w:val="0"/>
          <w:marRight w:val="0"/>
          <w:marTop w:val="0"/>
          <w:marBottom w:val="0"/>
          <w:divBdr>
            <w:top w:val="none" w:sz="0" w:space="0" w:color="auto"/>
            <w:left w:val="none" w:sz="0" w:space="0" w:color="auto"/>
            <w:bottom w:val="none" w:sz="0" w:space="0" w:color="auto"/>
            <w:right w:val="none" w:sz="0" w:space="0" w:color="auto"/>
          </w:divBdr>
          <w:divsChild>
            <w:div w:id="1114178669">
              <w:marLeft w:val="0"/>
              <w:marRight w:val="0"/>
              <w:marTop w:val="0"/>
              <w:marBottom w:val="0"/>
              <w:divBdr>
                <w:top w:val="none" w:sz="0" w:space="0" w:color="auto"/>
                <w:left w:val="none" w:sz="0" w:space="0" w:color="auto"/>
                <w:bottom w:val="none" w:sz="0" w:space="0" w:color="auto"/>
                <w:right w:val="none" w:sz="0" w:space="0" w:color="auto"/>
              </w:divBdr>
            </w:div>
            <w:div w:id="1441027533">
              <w:marLeft w:val="0"/>
              <w:marRight w:val="0"/>
              <w:marTop w:val="0"/>
              <w:marBottom w:val="0"/>
              <w:divBdr>
                <w:top w:val="none" w:sz="0" w:space="0" w:color="auto"/>
                <w:left w:val="none" w:sz="0" w:space="0" w:color="auto"/>
                <w:bottom w:val="none" w:sz="0" w:space="0" w:color="auto"/>
                <w:right w:val="none" w:sz="0" w:space="0" w:color="auto"/>
              </w:divBdr>
            </w:div>
            <w:div w:id="760293137">
              <w:marLeft w:val="0"/>
              <w:marRight w:val="0"/>
              <w:marTop w:val="0"/>
              <w:marBottom w:val="0"/>
              <w:divBdr>
                <w:top w:val="none" w:sz="0" w:space="0" w:color="auto"/>
                <w:left w:val="none" w:sz="0" w:space="0" w:color="auto"/>
                <w:bottom w:val="none" w:sz="0" w:space="0" w:color="auto"/>
                <w:right w:val="none" w:sz="0" w:space="0" w:color="auto"/>
              </w:divBdr>
            </w:div>
            <w:div w:id="1761218029">
              <w:marLeft w:val="0"/>
              <w:marRight w:val="0"/>
              <w:marTop w:val="0"/>
              <w:marBottom w:val="0"/>
              <w:divBdr>
                <w:top w:val="none" w:sz="0" w:space="0" w:color="auto"/>
                <w:left w:val="none" w:sz="0" w:space="0" w:color="auto"/>
                <w:bottom w:val="none" w:sz="0" w:space="0" w:color="auto"/>
                <w:right w:val="none" w:sz="0" w:space="0" w:color="auto"/>
              </w:divBdr>
            </w:div>
            <w:div w:id="1039016071">
              <w:marLeft w:val="0"/>
              <w:marRight w:val="0"/>
              <w:marTop w:val="0"/>
              <w:marBottom w:val="0"/>
              <w:divBdr>
                <w:top w:val="none" w:sz="0" w:space="0" w:color="auto"/>
                <w:left w:val="none" w:sz="0" w:space="0" w:color="auto"/>
                <w:bottom w:val="none" w:sz="0" w:space="0" w:color="auto"/>
                <w:right w:val="none" w:sz="0" w:space="0" w:color="auto"/>
              </w:divBdr>
            </w:div>
            <w:div w:id="1655068487">
              <w:marLeft w:val="0"/>
              <w:marRight w:val="0"/>
              <w:marTop w:val="0"/>
              <w:marBottom w:val="0"/>
              <w:divBdr>
                <w:top w:val="none" w:sz="0" w:space="0" w:color="auto"/>
                <w:left w:val="none" w:sz="0" w:space="0" w:color="auto"/>
                <w:bottom w:val="none" w:sz="0" w:space="0" w:color="auto"/>
                <w:right w:val="none" w:sz="0" w:space="0" w:color="auto"/>
              </w:divBdr>
            </w:div>
            <w:div w:id="1926645108">
              <w:marLeft w:val="0"/>
              <w:marRight w:val="0"/>
              <w:marTop w:val="0"/>
              <w:marBottom w:val="0"/>
              <w:divBdr>
                <w:top w:val="none" w:sz="0" w:space="0" w:color="auto"/>
                <w:left w:val="none" w:sz="0" w:space="0" w:color="auto"/>
                <w:bottom w:val="none" w:sz="0" w:space="0" w:color="auto"/>
                <w:right w:val="none" w:sz="0" w:space="0" w:color="auto"/>
              </w:divBdr>
            </w:div>
            <w:div w:id="1859076592">
              <w:marLeft w:val="0"/>
              <w:marRight w:val="0"/>
              <w:marTop w:val="0"/>
              <w:marBottom w:val="0"/>
              <w:divBdr>
                <w:top w:val="none" w:sz="0" w:space="0" w:color="auto"/>
                <w:left w:val="none" w:sz="0" w:space="0" w:color="auto"/>
                <w:bottom w:val="none" w:sz="0" w:space="0" w:color="auto"/>
                <w:right w:val="none" w:sz="0" w:space="0" w:color="auto"/>
              </w:divBdr>
            </w:div>
            <w:div w:id="904612189">
              <w:marLeft w:val="0"/>
              <w:marRight w:val="0"/>
              <w:marTop w:val="0"/>
              <w:marBottom w:val="0"/>
              <w:divBdr>
                <w:top w:val="none" w:sz="0" w:space="0" w:color="auto"/>
                <w:left w:val="none" w:sz="0" w:space="0" w:color="auto"/>
                <w:bottom w:val="none" w:sz="0" w:space="0" w:color="auto"/>
                <w:right w:val="none" w:sz="0" w:space="0" w:color="auto"/>
              </w:divBdr>
            </w:div>
            <w:div w:id="1673293254">
              <w:marLeft w:val="0"/>
              <w:marRight w:val="0"/>
              <w:marTop w:val="0"/>
              <w:marBottom w:val="0"/>
              <w:divBdr>
                <w:top w:val="none" w:sz="0" w:space="0" w:color="auto"/>
                <w:left w:val="none" w:sz="0" w:space="0" w:color="auto"/>
                <w:bottom w:val="none" w:sz="0" w:space="0" w:color="auto"/>
                <w:right w:val="none" w:sz="0" w:space="0" w:color="auto"/>
              </w:divBdr>
            </w:div>
            <w:div w:id="16921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wp-content/uploads/2018/03/EAPN-2017-EAPN-Briefing-Gender-and-Poverty-final.pdf" TargetMode="External"/><Relationship Id="rId13" Type="http://schemas.openxmlformats.org/officeDocument/2006/relationships/hyperlink" Target="mailto:marija.babovic@secon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lgesini@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52020DC01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info/policies/justice-and-fundamental-rights/gender-equality/equal-pay/eu-action-equal-pay_en" TargetMode="External"/><Relationship Id="rId4" Type="http://schemas.openxmlformats.org/officeDocument/2006/relationships/settings" Target="settings.xml"/><Relationship Id="rId9" Type="http://schemas.openxmlformats.org/officeDocument/2006/relationships/hyperlink" Target="https://www.eapn.eu/gender-based-violence-and-poverty-in-europe-briefing-2/"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77BA-117A-4E46-BE5F-CCDEA40C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Malgesini</dc:creator>
  <cp:keywords/>
  <dc:description/>
  <cp:lastModifiedBy>Sian Jones</cp:lastModifiedBy>
  <cp:revision>2</cp:revision>
  <dcterms:created xsi:type="dcterms:W3CDTF">2020-10-30T12:33:00Z</dcterms:created>
  <dcterms:modified xsi:type="dcterms:W3CDTF">2020-10-30T12:33:00Z</dcterms:modified>
</cp:coreProperties>
</file>