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F0D4" w14:textId="77777777" w:rsidR="00604D06" w:rsidRDefault="00604D06" w:rsidP="00604D06">
      <w:pPr>
        <w:ind w:left="360"/>
        <w:jc w:val="both"/>
        <w:rPr>
          <w:b/>
          <w:sz w:val="24"/>
          <w:szCs w:val="24"/>
        </w:rPr>
      </w:pPr>
    </w:p>
    <w:p w14:paraId="0215F479" w14:textId="51851291" w:rsidR="00604D06" w:rsidRPr="00E411DA" w:rsidRDefault="00604D06" w:rsidP="00296879">
      <w:pPr>
        <w:ind w:left="360"/>
        <w:jc w:val="center"/>
        <w:rPr>
          <w:rFonts w:ascii="Trebuchet MS" w:hAnsi="Trebuchet MS"/>
          <w:b/>
          <w:sz w:val="28"/>
          <w:szCs w:val="28"/>
          <w:lang w:val="en-US"/>
        </w:rPr>
      </w:pPr>
      <w:r w:rsidRPr="00E411DA">
        <w:rPr>
          <w:rFonts w:ascii="Trebuchet MS" w:hAnsi="Trebuchet MS"/>
          <w:b/>
          <w:sz w:val="28"/>
          <w:szCs w:val="28"/>
          <w:lang w:val="en-US"/>
        </w:rPr>
        <w:t xml:space="preserve">Access to </w:t>
      </w:r>
      <w:r w:rsidR="00E411DA" w:rsidRPr="00E411DA">
        <w:rPr>
          <w:rFonts w:ascii="Trebuchet MS" w:hAnsi="Trebuchet MS"/>
          <w:b/>
          <w:sz w:val="28"/>
          <w:szCs w:val="28"/>
          <w:lang w:val="en-US"/>
        </w:rPr>
        <w:t>Essential</w:t>
      </w:r>
      <w:r w:rsidR="00206CEC" w:rsidRPr="00E411DA">
        <w:rPr>
          <w:rFonts w:ascii="Trebuchet MS" w:hAnsi="Trebuchet MS"/>
          <w:b/>
          <w:sz w:val="28"/>
          <w:szCs w:val="28"/>
          <w:lang w:val="en-US"/>
        </w:rPr>
        <w:t xml:space="preserve"> </w:t>
      </w:r>
      <w:r w:rsidRPr="00E411DA">
        <w:rPr>
          <w:rFonts w:ascii="Trebuchet MS" w:hAnsi="Trebuchet MS"/>
          <w:b/>
          <w:sz w:val="28"/>
          <w:szCs w:val="28"/>
          <w:lang w:val="en-US"/>
        </w:rPr>
        <w:t>Services</w:t>
      </w:r>
    </w:p>
    <w:p w14:paraId="1F507863" w14:textId="0D5CAAEA" w:rsidR="00604D06" w:rsidRPr="00E411DA" w:rsidRDefault="00E411DA" w:rsidP="00296879">
      <w:pPr>
        <w:ind w:left="360"/>
        <w:jc w:val="center"/>
        <w:rPr>
          <w:rFonts w:ascii="Trebuchet MS" w:hAnsi="Trebuchet MS"/>
          <w:b/>
          <w:sz w:val="24"/>
          <w:szCs w:val="24"/>
          <w:lang w:val="en-US"/>
        </w:rPr>
      </w:pPr>
      <w:r w:rsidRPr="00E411DA">
        <w:rPr>
          <w:rFonts w:ascii="Trebuchet MS" w:hAnsi="Trebuchet MS"/>
          <w:b/>
          <w:sz w:val="24"/>
          <w:szCs w:val="24"/>
          <w:lang w:val="en-US"/>
        </w:rPr>
        <w:t>Concept</w:t>
      </w:r>
      <w:r w:rsidR="00604D06" w:rsidRPr="00E411DA">
        <w:rPr>
          <w:rFonts w:ascii="Trebuchet MS" w:hAnsi="Trebuchet MS"/>
          <w:b/>
          <w:sz w:val="24"/>
          <w:szCs w:val="24"/>
          <w:lang w:val="en-US"/>
        </w:rPr>
        <w:t xml:space="preserve"> Note</w:t>
      </w:r>
      <w:r w:rsidR="001059D7" w:rsidRPr="00E411DA">
        <w:rPr>
          <w:rFonts w:ascii="Trebuchet MS" w:hAnsi="Trebuchet MS"/>
          <w:b/>
          <w:sz w:val="24"/>
          <w:szCs w:val="24"/>
          <w:lang w:val="en-US"/>
        </w:rPr>
        <w:t xml:space="preserve"> </w:t>
      </w:r>
    </w:p>
    <w:p w14:paraId="5001036E" w14:textId="77777777" w:rsidR="00E411DA" w:rsidRDefault="00E411DA" w:rsidP="00E411DA">
      <w:pPr>
        <w:ind w:left="360"/>
        <w:jc w:val="both"/>
        <w:rPr>
          <w:rFonts w:ascii="Trebuchet MS" w:hAnsi="Trebuchet MS"/>
          <w:b/>
          <w:u w:val="single"/>
          <w:lang w:val="en-US"/>
        </w:rPr>
      </w:pPr>
    </w:p>
    <w:p w14:paraId="6D272ACE" w14:textId="17C9151C" w:rsidR="001059D7" w:rsidRPr="00E411DA" w:rsidRDefault="001059D7" w:rsidP="00E411DA">
      <w:pPr>
        <w:ind w:left="360"/>
        <w:jc w:val="both"/>
        <w:rPr>
          <w:rFonts w:ascii="Trebuchet MS" w:hAnsi="Trebuchet MS"/>
          <w:b/>
          <w:u w:val="single"/>
          <w:lang w:val="en-US"/>
        </w:rPr>
      </w:pPr>
      <w:r w:rsidRPr="00E411DA">
        <w:rPr>
          <w:rFonts w:ascii="Trebuchet MS" w:hAnsi="Trebuchet MS"/>
          <w:b/>
          <w:u w:val="single"/>
          <w:lang w:val="en-US"/>
        </w:rPr>
        <w:t>Introduction</w:t>
      </w:r>
      <w:r w:rsidR="00C62787">
        <w:rPr>
          <w:rFonts w:ascii="Trebuchet MS" w:hAnsi="Trebuchet MS"/>
          <w:b/>
          <w:u w:val="single"/>
          <w:lang w:val="en-US"/>
        </w:rPr>
        <w:t>: context and rationale</w:t>
      </w:r>
    </w:p>
    <w:p w14:paraId="162BBCFE" w14:textId="59D98C79" w:rsidR="003901D7" w:rsidRDefault="001059D7" w:rsidP="00AC253A">
      <w:pPr>
        <w:spacing w:after="0"/>
        <w:ind w:left="357"/>
        <w:jc w:val="both"/>
        <w:rPr>
          <w:rFonts w:ascii="Trebuchet MS" w:hAnsi="Trebuchet MS"/>
          <w:lang w:val="en-US"/>
        </w:rPr>
      </w:pPr>
      <w:r w:rsidRPr="00E411DA">
        <w:rPr>
          <w:rFonts w:ascii="Trebuchet MS" w:hAnsi="Trebuchet MS"/>
          <w:lang w:val="en-US"/>
        </w:rPr>
        <w:t xml:space="preserve">EAPN has been working on the issue of </w:t>
      </w:r>
      <w:r w:rsidR="00CD2B0C" w:rsidRPr="00E411DA">
        <w:rPr>
          <w:rFonts w:ascii="Trebuchet MS" w:hAnsi="Trebuchet MS"/>
          <w:lang w:val="en-US"/>
        </w:rPr>
        <w:t xml:space="preserve">ensuring </w:t>
      </w:r>
      <w:r w:rsidR="00C35930">
        <w:rPr>
          <w:rFonts w:ascii="Trebuchet MS" w:hAnsi="Trebuchet MS"/>
          <w:lang w:val="en-US"/>
        </w:rPr>
        <w:t>equal access to affordable and quality</w:t>
      </w:r>
      <w:r w:rsidR="00272F1E">
        <w:rPr>
          <w:rFonts w:ascii="Trebuchet MS" w:hAnsi="Trebuchet MS"/>
          <w:lang w:val="en-US"/>
        </w:rPr>
        <w:t xml:space="preserve"> </w:t>
      </w:r>
      <w:r w:rsidR="00C35930">
        <w:rPr>
          <w:rFonts w:ascii="Trebuchet MS" w:hAnsi="Trebuchet MS"/>
          <w:lang w:val="en-US"/>
        </w:rPr>
        <w:t xml:space="preserve">public services in a context of increasing liberalization </w:t>
      </w:r>
      <w:r w:rsidR="000300B4">
        <w:rPr>
          <w:rFonts w:ascii="Trebuchet MS" w:hAnsi="Trebuchet MS"/>
          <w:lang w:val="en-US"/>
        </w:rPr>
        <w:t xml:space="preserve">and austerity </w:t>
      </w:r>
      <w:r w:rsidR="00C35930">
        <w:rPr>
          <w:rFonts w:ascii="Trebuchet MS" w:hAnsi="Trebuchet MS"/>
          <w:lang w:val="en-US"/>
        </w:rPr>
        <w:t>within the EU</w:t>
      </w:r>
      <w:r w:rsidR="00A6268F">
        <w:rPr>
          <w:rStyle w:val="FootnoteReference"/>
          <w:rFonts w:ascii="Trebuchet MS" w:hAnsi="Trebuchet MS"/>
          <w:lang w:val="en-US"/>
        </w:rPr>
        <w:footnoteReference w:id="1"/>
      </w:r>
      <w:r w:rsidR="00C35930">
        <w:rPr>
          <w:rFonts w:ascii="Trebuchet MS" w:hAnsi="Trebuchet MS"/>
          <w:lang w:val="en-US"/>
        </w:rPr>
        <w:t xml:space="preserve">. </w:t>
      </w:r>
      <w:r w:rsidR="00272F1E">
        <w:rPr>
          <w:rFonts w:ascii="Trebuchet MS" w:hAnsi="Trebuchet MS"/>
          <w:lang w:val="en-US"/>
        </w:rPr>
        <w:t xml:space="preserve">The newly adopted European Pillar of Social Rights Action Plan has brought out </w:t>
      </w:r>
      <w:r w:rsidR="00120965">
        <w:rPr>
          <w:rFonts w:ascii="Trebuchet MS" w:hAnsi="Trebuchet MS"/>
          <w:lang w:val="en-US"/>
        </w:rPr>
        <w:t xml:space="preserve">the renewed commitment to implement the Social Pillar as well as </w:t>
      </w:r>
      <w:r w:rsidR="00272F1E">
        <w:rPr>
          <w:rFonts w:ascii="Trebuchet MS" w:hAnsi="Trebuchet MS"/>
          <w:lang w:val="en-US"/>
        </w:rPr>
        <w:t xml:space="preserve">the ambition to </w:t>
      </w:r>
      <w:r w:rsidR="00120965">
        <w:rPr>
          <w:rFonts w:ascii="Trebuchet MS" w:hAnsi="Trebuchet MS"/>
          <w:lang w:val="en-US"/>
        </w:rPr>
        <w:t xml:space="preserve">achieve a stronger social Europe in the framework of just transition and recovery plans. </w:t>
      </w:r>
      <w:r w:rsidR="003901D7">
        <w:rPr>
          <w:rFonts w:ascii="Trebuchet MS" w:hAnsi="Trebuchet MS"/>
          <w:lang w:val="en-US"/>
        </w:rPr>
        <w:t>One of three targets set in the EPRS Action Plan consists of</w:t>
      </w:r>
      <w:r w:rsidR="003901D7" w:rsidRPr="003901D7">
        <w:rPr>
          <w:rFonts w:ascii="Trebuchet MS" w:hAnsi="Trebuchet MS"/>
          <w:lang w:val="en-US"/>
        </w:rPr>
        <w:t xml:space="preserve"> </w:t>
      </w:r>
      <w:r w:rsidR="00400333">
        <w:rPr>
          <w:rFonts w:ascii="Trebuchet MS" w:hAnsi="Trebuchet MS"/>
          <w:lang w:val="en-US"/>
        </w:rPr>
        <w:t>“</w:t>
      </w:r>
      <w:r w:rsidR="003901D7" w:rsidRPr="003901D7">
        <w:rPr>
          <w:rFonts w:ascii="Trebuchet MS" w:hAnsi="Trebuchet MS"/>
          <w:lang w:val="en-US"/>
        </w:rPr>
        <w:t xml:space="preserve">15 million people to lift out of poverty or social exclusion, </w:t>
      </w:r>
      <w:r w:rsidR="003901D7">
        <w:rPr>
          <w:rFonts w:ascii="Trebuchet MS" w:hAnsi="Trebuchet MS"/>
          <w:lang w:val="en-US"/>
        </w:rPr>
        <w:t xml:space="preserve">of which </w:t>
      </w:r>
      <w:r w:rsidR="003901D7" w:rsidRPr="003901D7">
        <w:rPr>
          <w:rFonts w:ascii="Trebuchet MS" w:hAnsi="Trebuchet MS"/>
          <w:lang w:val="en-US"/>
        </w:rPr>
        <w:t>at least 5 million should be children</w:t>
      </w:r>
      <w:r w:rsidR="00400333">
        <w:rPr>
          <w:rFonts w:ascii="Trebuchet MS" w:hAnsi="Trebuchet MS"/>
          <w:lang w:val="en-US"/>
        </w:rPr>
        <w:t>”</w:t>
      </w:r>
      <w:r w:rsidR="003901D7">
        <w:rPr>
          <w:rFonts w:ascii="Trebuchet MS" w:hAnsi="Trebuchet MS"/>
          <w:lang w:val="en-US"/>
        </w:rPr>
        <w:t xml:space="preserve"> </w:t>
      </w:r>
      <w:r w:rsidR="003901D7" w:rsidRPr="003901D7">
        <w:rPr>
          <w:rFonts w:ascii="Trebuchet MS" w:hAnsi="Trebuchet MS"/>
          <w:lang w:val="en-US"/>
        </w:rPr>
        <w:t>to break the intergenerational cycle of poverty</w:t>
      </w:r>
      <w:r w:rsidR="003901D7">
        <w:rPr>
          <w:rFonts w:ascii="Trebuchet MS" w:hAnsi="Trebuchet MS"/>
          <w:lang w:val="en-US"/>
        </w:rPr>
        <w:t xml:space="preserve"> and prevent</w:t>
      </w:r>
      <w:r w:rsidR="003901D7" w:rsidRPr="003901D7">
        <w:rPr>
          <w:rFonts w:ascii="Trebuchet MS" w:hAnsi="Trebuchet MS"/>
          <w:lang w:val="en-US"/>
        </w:rPr>
        <w:t xml:space="preserve"> that they become adults at risk of poverty or social exclusion</w:t>
      </w:r>
      <w:r w:rsidR="003901D7">
        <w:rPr>
          <w:rFonts w:ascii="Trebuchet MS" w:hAnsi="Trebuchet MS"/>
          <w:lang w:val="en-US"/>
        </w:rPr>
        <w:t>.</w:t>
      </w:r>
    </w:p>
    <w:p w14:paraId="09EED494" w14:textId="77777777" w:rsidR="002E323F" w:rsidRDefault="002E323F" w:rsidP="00AC253A">
      <w:pPr>
        <w:spacing w:after="0"/>
        <w:ind w:left="357"/>
        <w:jc w:val="both"/>
        <w:rPr>
          <w:rFonts w:ascii="Trebuchet MS" w:hAnsi="Trebuchet MS"/>
          <w:lang w:val="en-US"/>
        </w:rPr>
      </w:pPr>
    </w:p>
    <w:p w14:paraId="2AA2AB82" w14:textId="7544F7B5" w:rsidR="00AC253A" w:rsidRDefault="00BF0B16" w:rsidP="00AC253A">
      <w:pPr>
        <w:spacing w:after="0"/>
        <w:ind w:left="357"/>
        <w:jc w:val="both"/>
        <w:rPr>
          <w:rFonts w:ascii="Trebuchet MS" w:hAnsi="Trebuchet MS"/>
          <w:lang w:val="en-US"/>
        </w:rPr>
      </w:pPr>
      <w:r>
        <w:rPr>
          <w:rFonts w:ascii="Trebuchet MS" w:hAnsi="Trebuchet MS"/>
          <w:lang w:val="en-US"/>
        </w:rPr>
        <w:t>T</w:t>
      </w:r>
      <w:r w:rsidRPr="00BF0B16">
        <w:rPr>
          <w:rFonts w:ascii="Trebuchet MS" w:hAnsi="Trebuchet MS"/>
          <w:lang w:val="en-US"/>
        </w:rPr>
        <w:t>he COVID-19 epidemic</w:t>
      </w:r>
      <w:r>
        <w:rPr>
          <w:rFonts w:ascii="Trebuchet MS" w:hAnsi="Trebuchet MS"/>
          <w:lang w:val="en-US"/>
        </w:rPr>
        <w:t xml:space="preserve"> magnified the existing structural inequalities and discrimination affecting vulnerable people and </w:t>
      </w:r>
      <w:r w:rsidRPr="00BF0B16">
        <w:rPr>
          <w:rFonts w:ascii="Trebuchet MS" w:hAnsi="Trebuchet MS"/>
          <w:lang w:val="en-US"/>
        </w:rPr>
        <w:t>people already experiencing poverty</w:t>
      </w:r>
      <w:r>
        <w:rPr>
          <w:rStyle w:val="FootnoteReference"/>
          <w:rFonts w:ascii="Trebuchet MS" w:hAnsi="Trebuchet MS"/>
          <w:lang w:val="en-US"/>
        </w:rPr>
        <w:footnoteReference w:id="2"/>
      </w:r>
      <w:r w:rsidRPr="00BF0B16">
        <w:rPr>
          <w:rFonts w:ascii="Trebuchet MS" w:hAnsi="Trebuchet MS"/>
          <w:lang w:val="en-US"/>
        </w:rPr>
        <w:t xml:space="preserve"> </w:t>
      </w:r>
      <w:r>
        <w:rPr>
          <w:rFonts w:ascii="Trebuchet MS" w:hAnsi="Trebuchet MS"/>
          <w:lang w:val="en-US"/>
        </w:rPr>
        <w:t>(e.g. access to health and social care for homeless people</w:t>
      </w:r>
      <w:r w:rsidR="00092981">
        <w:rPr>
          <w:rStyle w:val="FootnoteReference"/>
          <w:rFonts w:ascii="Trebuchet MS" w:hAnsi="Trebuchet MS"/>
          <w:lang w:val="en-US"/>
        </w:rPr>
        <w:footnoteReference w:id="3"/>
      </w:r>
      <w:r>
        <w:rPr>
          <w:rFonts w:ascii="Trebuchet MS" w:hAnsi="Trebuchet MS"/>
          <w:lang w:val="en-US"/>
        </w:rPr>
        <w:t xml:space="preserve">). </w:t>
      </w:r>
      <w:r w:rsidR="00092981">
        <w:rPr>
          <w:rFonts w:ascii="Trebuchet MS" w:hAnsi="Trebuchet MS"/>
          <w:lang w:val="en-US"/>
        </w:rPr>
        <w:t xml:space="preserve">Therefore, the </w:t>
      </w:r>
      <w:r w:rsidR="00092981" w:rsidRPr="00092981">
        <w:rPr>
          <w:rFonts w:ascii="Trebuchet MS" w:hAnsi="Trebuchet MS"/>
          <w:lang w:val="en-US"/>
        </w:rPr>
        <w:t>EU 2020 Poverty Watch</w:t>
      </w:r>
      <w:r w:rsidR="00092981">
        <w:rPr>
          <w:rStyle w:val="FootnoteReference"/>
          <w:rFonts w:ascii="Trebuchet MS" w:hAnsi="Trebuchet MS"/>
          <w:lang w:val="en-US"/>
        </w:rPr>
        <w:footnoteReference w:id="4"/>
      </w:r>
      <w:r w:rsidR="00092981">
        <w:rPr>
          <w:rFonts w:ascii="Trebuchet MS" w:hAnsi="Trebuchet MS"/>
          <w:lang w:val="en-US"/>
        </w:rPr>
        <w:t xml:space="preserve"> report highlighted that guaranteeing the rights to quality and affordable services is key to preventing and tackling poverty, particularly </w:t>
      </w:r>
      <w:r w:rsidR="00092981" w:rsidRPr="00092981">
        <w:rPr>
          <w:rFonts w:ascii="Trebuchet MS" w:hAnsi="Trebuchet MS"/>
          <w:lang w:val="en-US"/>
        </w:rPr>
        <w:t>universal health/care/social services, education, housing and energy</w:t>
      </w:r>
      <w:r w:rsidR="00092981">
        <w:rPr>
          <w:rFonts w:ascii="Trebuchet MS" w:hAnsi="Trebuchet MS"/>
          <w:lang w:val="en-US"/>
        </w:rPr>
        <w:t xml:space="preserve">. </w:t>
      </w:r>
    </w:p>
    <w:p w14:paraId="71DFDD6D" w14:textId="77777777" w:rsidR="002E323F" w:rsidRDefault="002E323F" w:rsidP="00AC253A">
      <w:pPr>
        <w:spacing w:after="0"/>
        <w:ind w:left="357"/>
        <w:jc w:val="both"/>
        <w:rPr>
          <w:rFonts w:ascii="Trebuchet MS" w:hAnsi="Trebuchet MS"/>
          <w:lang w:val="en-US"/>
        </w:rPr>
      </w:pPr>
    </w:p>
    <w:p w14:paraId="72ABDD1E" w14:textId="6EBCC800" w:rsidR="00A06379" w:rsidRDefault="00AC253A" w:rsidP="00A41234">
      <w:pPr>
        <w:spacing w:after="0"/>
        <w:ind w:left="357"/>
        <w:jc w:val="both"/>
        <w:rPr>
          <w:rFonts w:ascii="Trebuchet MS" w:hAnsi="Trebuchet MS"/>
          <w:lang w:val="en-US"/>
        </w:rPr>
      </w:pPr>
      <w:r>
        <w:rPr>
          <w:rFonts w:ascii="Trebuchet MS" w:hAnsi="Trebuchet MS"/>
          <w:lang w:val="en-US"/>
        </w:rPr>
        <w:t xml:space="preserve">In the wake of the COVID-19 crisis and new challenges linked with green and digital transitions, it is </w:t>
      </w:r>
      <w:r w:rsidR="003A39F5">
        <w:rPr>
          <w:rFonts w:ascii="Trebuchet MS" w:hAnsi="Trebuchet MS"/>
          <w:lang w:val="en-US"/>
        </w:rPr>
        <w:t>essential</w:t>
      </w:r>
      <w:r>
        <w:rPr>
          <w:rFonts w:ascii="Trebuchet MS" w:hAnsi="Trebuchet MS"/>
          <w:lang w:val="en-US"/>
        </w:rPr>
        <w:t xml:space="preserve"> to assess the impact o</w:t>
      </w:r>
      <w:r w:rsidR="00256901">
        <w:rPr>
          <w:rFonts w:ascii="Trebuchet MS" w:hAnsi="Trebuchet MS"/>
          <w:lang w:val="en-US"/>
        </w:rPr>
        <w:t>f</w:t>
      </w:r>
      <w:r>
        <w:rPr>
          <w:rFonts w:ascii="Trebuchet MS" w:hAnsi="Trebuchet MS"/>
          <w:lang w:val="en-US"/>
        </w:rPr>
        <w:t xml:space="preserve"> unequal access to essential services on poverty and social exclusion and monitor the implementation of policy solutions – at EU and national level – to achieve an EU Action for a Social and Green Recovery</w:t>
      </w:r>
      <w:r>
        <w:rPr>
          <w:rStyle w:val="FootnoteReference"/>
          <w:rFonts w:ascii="Trebuchet MS" w:hAnsi="Trebuchet MS"/>
          <w:lang w:val="en-US"/>
        </w:rPr>
        <w:footnoteReference w:id="5"/>
      </w:r>
      <w:r>
        <w:rPr>
          <w:rFonts w:ascii="Trebuchet MS" w:hAnsi="Trebuchet MS"/>
          <w:lang w:val="en-US"/>
        </w:rPr>
        <w:t xml:space="preserve">. </w:t>
      </w:r>
      <w:r w:rsidR="00A41234">
        <w:rPr>
          <w:rFonts w:ascii="Trebuchet MS" w:hAnsi="Trebuchet MS"/>
          <w:lang w:val="en-US"/>
        </w:rPr>
        <w:t xml:space="preserve">It is </w:t>
      </w:r>
      <w:r w:rsidR="004204E0">
        <w:rPr>
          <w:rFonts w:ascii="Trebuchet MS" w:hAnsi="Trebuchet MS"/>
          <w:lang w:val="en-US"/>
        </w:rPr>
        <w:t xml:space="preserve">also </w:t>
      </w:r>
      <w:r w:rsidR="00A41234">
        <w:rPr>
          <w:rFonts w:ascii="Trebuchet MS" w:hAnsi="Trebuchet MS"/>
          <w:lang w:val="en-US"/>
        </w:rPr>
        <w:t xml:space="preserve">of pivotal importance to </w:t>
      </w:r>
      <w:r w:rsidR="000D79C5">
        <w:rPr>
          <w:rFonts w:ascii="Trebuchet MS" w:hAnsi="Trebuchet MS"/>
          <w:lang w:val="en-US"/>
        </w:rPr>
        <w:t xml:space="preserve">foster the </w:t>
      </w:r>
      <w:r w:rsidR="00A41234">
        <w:rPr>
          <w:rFonts w:ascii="Trebuchet MS" w:hAnsi="Trebuchet MS"/>
          <w:lang w:val="en-US"/>
        </w:rPr>
        <w:t>adopt</w:t>
      </w:r>
      <w:r w:rsidR="000D79C5">
        <w:rPr>
          <w:rFonts w:ascii="Trebuchet MS" w:hAnsi="Trebuchet MS"/>
          <w:lang w:val="en-US"/>
        </w:rPr>
        <w:t>ion of</w:t>
      </w:r>
      <w:r w:rsidR="00A41234">
        <w:rPr>
          <w:rFonts w:ascii="Trebuchet MS" w:hAnsi="Trebuchet MS"/>
          <w:lang w:val="en-US"/>
        </w:rPr>
        <w:t xml:space="preserve"> an integrated EU strategy to include a social impact assessment into the </w:t>
      </w:r>
      <w:r w:rsidR="00A41234" w:rsidRPr="00A41234">
        <w:rPr>
          <w:rFonts w:ascii="Trebuchet MS" w:hAnsi="Trebuchet MS"/>
          <w:lang w:val="en-US"/>
        </w:rPr>
        <w:t>Recovery Package</w:t>
      </w:r>
      <w:r w:rsidR="00A41234">
        <w:rPr>
          <w:rFonts w:ascii="Trebuchet MS" w:hAnsi="Trebuchet MS"/>
          <w:lang w:val="en-US"/>
        </w:rPr>
        <w:t xml:space="preserve"> </w:t>
      </w:r>
      <w:r w:rsidR="00A41234" w:rsidRPr="00A41234">
        <w:rPr>
          <w:rFonts w:ascii="Trebuchet MS" w:hAnsi="Trebuchet MS"/>
          <w:lang w:val="en-US"/>
        </w:rPr>
        <w:t>and Green Deal and Digital Transition proposals</w:t>
      </w:r>
      <w:r w:rsidR="00BF7D1F">
        <w:rPr>
          <w:rFonts w:ascii="Trebuchet MS" w:hAnsi="Trebuchet MS"/>
          <w:lang w:val="en-US"/>
        </w:rPr>
        <w:t>, thus ensure inclusive investment decision processes and sustainable transformations</w:t>
      </w:r>
      <w:r w:rsidR="003368B5">
        <w:rPr>
          <w:rStyle w:val="FootnoteReference"/>
          <w:rFonts w:ascii="Trebuchet MS" w:hAnsi="Trebuchet MS"/>
          <w:lang w:val="en-US"/>
        </w:rPr>
        <w:footnoteReference w:id="6"/>
      </w:r>
      <w:r w:rsidR="00BF7D1F">
        <w:rPr>
          <w:rFonts w:ascii="Trebuchet MS" w:hAnsi="Trebuchet MS"/>
          <w:lang w:val="en-US"/>
        </w:rPr>
        <w:t xml:space="preserve">. </w:t>
      </w:r>
      <w:r w:rsidR="00611C71">
        <w:rPr>
          <w:rFonts w:ascii="Trebuchet MS" w:hAnsi="Trebuchet MS"/>
          <w:lang w:val="en-US"/>
        </w:rPr>
        <w:t xml:space="preserve">In fact, it is </w:t>
      </w:r>
      <w:r w:rsidR="00611C71" w:rsidRPr="00611C71">
        <w:rPr>
          <w:rFonts w:ascii="Trebuchet MS" w:hAnsi="Trebuchet MS"/>
          <w:lang w:val="en-US"/>
        </w:rPr>
        <w:t xml:space="preserve">needed to monitor Member States’ actions addressing homelessness, housing and energy poverty in their national recovery and resilience plans, with a view to </w:t>
      </w:r>
      <w:r w:rsidR="00A06379">
        <w:rPr>
          <w:rFonts w:ascii="Trebuchet MS" w:hAnsi="Trebuchet MS"/>
          <w:lang w:val="en-US"/>
        </w:rPr>
        <w:t xml:space="preserve">ensuring that social and climate investments and agendas are not mutually exclusive and address any further gap in the next </w:t>
      </w:r>
      <w:r w:rsidR="00A06379" w:rsidRPr="00A06379">
        <w:rPr>
          <w:rFonts w:ascii="Trebuchet MS" w:hAnsi="Trebuchet MS"/>
          <w:lang w:val="en-US"/>
        </w:rPr>
        <w:t>Poverty Watch report.</w:t>
      </w:r>
      <w:r w:rsidR="003368B5">
        <w:rPr>
          <w:rFonts w:ascii="Trebuchet MS" w:hAnsi="Trebuchet MS"/>
          <w:lang w:val="en-US"/>
        </w:rPr>
        <w:t xml:space="preserve"> </w:t>
      </w:r>
    </w:p>
    <w:p w14:paraId="51A48EEE" w14:textId="48FA479D" w:rsidR="004204E0" w:rsidRDefault="004204E0" w:rsidP="00A06379">
      <w:pPr>
        <w:spacing w:after="0"/>
        <w:jc w:val="both"/>
        <w:rPr>
          <w:rFonts w:ascii="Trebuchet MS" w:hAnsi="Trebuchet MS"/>
          <w:lang w:val="en-US"/>
        </w:rPr>
      </w:pPr>
    </w:p>
    <w:p w14:paraId="28A2AD87" w14:textId="343E9669" w:rsidR="00F77795" w:rsidRDefault="00877B3F" w:rsidP="00A41234">
      <w:pPr>
        <w:spacing w:after="0"/>
        <w:ind w:left="357"/>
        <w:jc w:val="both"/>
        <w:rPr>
          <w:rFonts w:ascii="Trebuchet MS" w:hAnsi="Trebuchet MS"/>
          <w:lang w:val="en-US"/>
        </w:rPr>
      </w:pPr>
      <w:r>
        <w:rPr>
          <w:rFonts w:ascii="Trebuchet MS" w:hAnsi="Trebuchet MS"/>
          <w:lang w:val="en-US"/>
        </w:rPr>
        <w:t>Covid crisis and the related macroeconomic context showed that public and social services of general interest play an essential role in protecti</w:t>
      </w:r>
      <w:r w:rsidR="00A06379">
        <w:rPr>
          <w:rFonts w:ascii="Trebuchet MS" w:hAnsi="Trebuchet MS"/>
          <w:lang w:val="en-US"/>
        </w:rPr>
        <w:t>ng</w:t>
      </w:r>
      <w:r>
        <w:rPr>
          <w:rFonts w:ascii="Trebuchet MS" w:hAnsi="Trebuchet MS"/>
          <w:lang w:val="en-US"/>
        </w:rPr>
        <w:t xml:space="preserve"> the </w:t>
      </w:r>
      <w:r w:rsidR="005A6B30">
        <w:rPr>
          <w:rFonts w:ascii="Trebuchet MS" w:hAnsi="Trebuchet MS"/>
          <w:lang w:val="en-US"/>
        </w:rPr>
        <w:t>poor</w:t>
      </w:r>
      <w:r w:rsidR="00544DC1">
        <w:rPr>
          <w:rFonts w:ascii="Trebuchet MS" w:hAnsi="Trebuchet MS"/>
          <w:lang w:val="en-US"/>
        </w:rPr>
        <w:t xml:space="preserve">, marginalized </w:t>
      </w:r>
      <w:r w:rsidR="00544DC1">
        <w:rPr>
          <w:rFonts w:ascii="Trebuchet MS" w:hAnsi="Trebuchet MS"/>
          <w:lang w:val="en-US"/>
        </w:rPr>
        <w:lastRenderedPageBreak/>
        <w:t>and</w:t>
      </w:r>
      <w:r w:rsidR="005A6B30">
        <w:rPr>
          <w:rFonts w:ascii="Trebuchet MS" w:hAnsi="Trebuchet MS"/>
          <w:lang w:val="en-US"/>
        </w:rPr>
        <w:t xml:space="preserve"> </w:t>
      </w:r>
      <w:r>
        <w:rPr>
          <w:rFonts w:ascii="Trebuchet MS" w:hAnsi="Trebuchet MS"/>
          <w:lang w:val="en-US"/>
        </w:rPr>
        <w:t>vulnerable</w:t>
      </w:r>
      <w:r w:rsidR="005A6B30">
        <w:rPr>
          <w:rFonts w:ascii="Trebuchet MS" w:hAnsi="Trebuchet MS"/>
          <w:lang w:val="en-US"/>
        </w:rPr>
        <w:t xml:space="preserve"> groups, even in the absence of return on investment in the short-term. </w:t>
      </w:r>
      <w:r w:rsidR="00F77795">
        <w:rPr>
          <w:rFonts w:ascii="Trebuchet MS" w:hAnsi="Trebuchet MS"/>
          <w:lang w:val="en-US"/>
        </w:rPr>
        <w:t xml:space="preserve">During the health crisis, good practices have been launched to respond to the new circumstances. </w:t>
      </w:r>
      <w:hyperlink r:id="rId8" w:history="1">
        <w:r w:rsidR="00F77795" w:rsidRPr="00F77795">
          <w:rPr>
            <w:rStyle w:val="Hyperlink"/>
            <w:rFonts w:ascii="Trebuchet MS" w:hAnsi="Trebuchet MS"/>
            <w:lang w:val="en-US"/>
          </w:rPr>
          <w:t>Italy and Spain</w:t>
        </w:r>
      </w:hyperlink>
      <w:r w:rsidR="00F77795">
        <w:rPr>
          <w:rFonts w:ascii="Trebuchet MS" w:hAnsi="Trebuchet MS"/>
          <w:lang w:val="en-US"/>
        </w:rPr>
        <w:t>, for example,</w:t>
      </w:r>
      <w:r w:rsidR="00F77795" w:rsidRPr="00F77795">
        <w:rPr>
          <w:rFonts w:ascii="Trebuchet MS" w:hAnsi="Trebuchet MS"/>
          <w:lang w:val="en-US"/>
        </w:rPr>
        <w:t xml:space="preserve"> were pioneers in measures aimed at guaranteeing residential energy supplies </w:t>
      </w:r>
      <w:r w:rsidR="00F77795">
        <w:rPr>
          <w:rFonts w:ascii="Trebuchet MS" w:hAnsi="Trebuchet MS"/>
          <w:lang w:val="en-US"/>
        </w:rPr>
        <w:t xml:space="preserve">through </w:t>
      </w:r>
      <w:r w:rsidR="00F77795" w:rsidRPr="00F77795">
        <w:rPr>
          <w:rFonts w:ascii="Trebuchet MS" w:hAnsi="Trebuchet MS"/>
          <w:lang w:val="en-US"/>
        </w:rPr>
        <w:t xml:space="preserve">interventions </w:t>
      </w:r>
      <w:r w:rsidR="00F77795">
        <w:rPr>
          <w:rFonts w:ascii="Trebuchet MS" w:hAnsi="Trebuchet MS"/>
          <w:lang w:val="en-US"/>
        </w:rPr>
        <w:t>prohibiting gas/electricity supply disconnection due to non-payments,</w:t>
      </w:r>
      <w:r w:rsidR="00CB4EAC">
        <w:rPr>
          <w:rFonts w:ascii="Trebuchet MS" w:hAnsi="Trebuchet MS"/>
          <w:lang w:val="en-US"/>
        </w:rPr>
        <w:t xml:space="preserve"> or applying </w:t>
      </w:r>
      <w:r w:rsidR="00F77795">
        <w:rPr>
          <w:rFonts w:ascii="Trebuchet MS" w:hAnsi="Trebuchet MS"/>
          <w:lang w:val="en-US"/>
        </w:rPr>
        <w:t>social tariffs, bill postponement, simplification of procedures.</w:t>
      </w:r>
      <w:r w:rsidR="005772B1">
        <w:rPr>
          <w:rFonts w:ascii="Trebuchet MS" w:hAnsi="Trebuchet MS"/>
          <w:lang w:val="en-US"/>
        </w:rPr>
        <w:t xml:space="preserve"> Recently, the Spanish “</w:t>
      </w:r>
      <w:hyperlink r:id="rId9" w:history="1">
        <w:r w:rsidR="005772B1" w:rsidRPr="005772B1">
          <w:rPr>
            <w:rStyle w:val="Hyperlink"/>
            <w:rFonts w:ascii="Trebuchet MS" w:hAnsi="Trebuchet MS"/>
            <w:lang w:val="en-US"/>
          </w:rPr>
          <w:t>Alliance for the rehabilitation of homes without leaving anyone behind</w:t>
        </w:r>
      </w:hyperlink>
      <w:r w:rsidR="005772B1">
        <w:rPr>
          <w:rFonts w:ascii="Trebuchet MS" w:hAnsi="Trebuchet MS"/>
          <w:lang w:val="en-US"/>
        </w:rPr>
        <w:t xml:space="preserve">” launched a coalition </w:t>
      </w:r>
      <w:r w:rsidR="005772B1" w:rsidRPr="005772B1">
        <w:rPr>
          <w:rFonts w:ascii="Trebuchet MS" w:hAnsi="Trebuchet MS"/>
          <w:lang w:val="en-US"/>
        </w:rPr>
        <w:t>calling for renovations for energy poor households.</w:t>
      </w:r>
    </w:p>
    <w:p w14:paraId="601CFEB4" w14:textId="77777777" w:rsidR="002E323F" w:rsidRDefault="002E323F" w:rsidP="00A41234">
      <w:pPr>
        <w:spacing w:after="0"/>
        <w:ind w:left="357"/>
        <w:jc w:val="both"/>
        <w:rPr>
          <w:rFonts w:ascii="Trebuchet MS" w:hAnsi="Trebuchet MS"/>
          <w:lang w:val="en-US"/>
        </w:rPr>
      </w:pPr>
    </w:p>
    <w:p w14:paraId="553FB99A" w14:textId="536420F2" w:rsidR="00900B2A" w:rsidRDefault="00F77795" w:rsidP="00A41234">
      <w:pPr>
        <w:spacing w:after="0"/>
        <w:ind w:left="357"/>
        <w:jc w:val="both"/>
        <w:rPr>
          <w:rFonts w:ascii="Trebuchet MS" w:hAnsi="Trebuchet MS"/>
          <w:lang w:val="en-US"/>
        </w:rPr>
      </w:pPr>
      <w:r>
        <w:rPr>
          <w:rFonts w:ascii="Trebuchet MS" w:hAnsi="Trebuchet MS"/>
          <w:lang w:val="en-US"/>
        </w:rPr>
        <w:t>Covid-19 pandemic also</w:t>
      </w:r>
      <w:r w:rsidR="00544DC1">
        <w:rPr>
          <w:rFonts w:ascii="Trebuchet MS" w:hAnsi="Trebuchet MS"/>
          <w:lang w:val="en-US"/>
        </w:rPr>
        <w:t xml:space="preserve"> remin</w:t>
      </w:r>
      <w:r w:rsidR="00A06379">
        <w:rPr>
          <w:rFonts w:ascii="Trebuchet MS" w:hAnsi="Trebuchet MS"/>
          <w:lang w:val="en-US"/>
        </w:rPr>
        <w:t>d</w:t>
      </w:r>
      <w:r w:rsidR="00544DC1">
        <w:rPr>
          <w:rFonts w:ascii="Trebuchet MS" w:hAnsi="Trebuchet MS"/>
          <w:lang w:val="en-US"/>
        </w:rPr>
        <w:t xml:space="preserve">ed that universal health coverage is a human right </w:t>
      </w:r>
      <w:r w:rsidR="00611C71">
        <w:rPr>
          <w:rFonts w:ascii="Trebuchet MS" w:hAnsi="Trebuchet MS"/>
          <w:lang w:val="en-US"/>
        </w:rPr>
        <w:t>that everyone should access</w:t>
      </w:r>
      <w:r w:rsidR="00A06379">
        <w:rPr>
          <w:rFonts w:ascii="Trebuchet MS" w:hAnsi="Trebuchet MS"/>
          <w:lang w:val="en-US"/>
        </w:rPr>
        <w:t xml:space="preserve"> and that </w:t>
      </w:r>
      <w:r w:rsidR="00A06379" w:rsidRPr="00A06379">
        <w:rPr>
          <w:rFonts w:ascii="Trebuchet MS" w:hAnsi="Trebuchet MS"/>
          <w:lang w:val="en-US"/>
        </w:rPr>
        <w:t>healthcare is one of the most intersectional</w:t>
      </w:r>
      <w:r w:rsidR="00A06379">
        <w:rPr>
          <w:rFonts w:ascii="Trebuchet MS" w:hAnsi="Trebuchet MS"/>
          <w:lang w:val="en-US"/>
        </w:rPr>
        <w:t xml:space="preserve"> fundamental rights. Whilst combating discrimination is necessary to assure equal opportunities for everyone (ART. 21 of the European Charter of Fundamental Rights), </w:t>
      </w:r>
      <w:r w:rsidR="00B939E5">
        <w:rPr>
          <w:rFonts w:ascii="Trebuchet MS" w:hAnsi="Trebuchet MS"/>
          <w:lang w:val="en-US"/>
        </w:rPr>
        <w:t>some social groups suffer structural discrimination in access to</w:t>
      </w:r>
      <w:r w:rsidR="00CB4EAC">
        <w:rPr>
          <w:rFonts w:ascii="Trebuchet MS" w:hAnsi="Trebuchet MS"/>
          <w:lang w:val="en-US"/>
        </w:rPr>
        <w:t xml:space="preserve"> </w:t>
      </w:r>
      <w:r w:rsidR="00B939E5">
        <w:rPr>
          <w:rFonts w:ascii="Trebuchet MS" w:hAnsi="Trebuchet MS"/>
          <w:lang w:val="en-US"/>
        </w:rPr>
        <w:t xml:space="preserve">healthcare due to their sexual orientation, ethnic origin, </w:t>
      </w:r>
      <w:r w:rsidR="00BA124F">
        <w:rPr>
          <w:rFonts w:ascii="Trebuchet MS" w:hAnsi="Trebuchet MS"/>
          <w:lang w:val="en-US"/>
        </w:rPr>
        <w:t xml:space="preserve">housing </w:t>
      </w:r>
      <w:r w:rsidR="00B939E5">
        <w:rPr>
          <w:rFonts w:ascii="Trebuchet MS" w:hAnsi="Trebuchet MS"/>
          <w:lang w:val="en-US"/>
        </w:rPr>
        <w:t xml:space="preserve">and other </w:t>
      </w:r>
      <w:r w:rsidR="00EA2D84">
        <w:rPr>
          <w:rFonts w:ascii="Trebuchet MS" w:hAnsi="Trebuchet MS"/>
          <w:lang w:val="en-US"/>
        </w:rPr>
        <w:t>social determinants</w:t>
      </w:r>
      <w:r w:rsidR="00B939E5">
        <w:rPr>
          <w:rStyle w:val="FootnoteReference"/>
          <w:rFonts w:ascii="Trebuchet MS" w:hAnsi="Trebuchet MS"/>
          <w:lang w:val="en-US"/>
        </w:rPr>
        <w:footnoteReference w:id="7"/>
      </w:r>
      <w:r w:rsidR="00B939E5">
        <w:rPr>
          <w:rFonts w:ascii="Trebuchet MS" w:hAnsi="Trebuchet MS"/>
          <w:lang w:val="en-US"/>
        </w:rPr>
        <w:t>.</w:t>
      </w:r>
      <w:r w:rsidR="00391360">
        <w:rPr>
          <w:rFonts w:ascii="Trebuchet MS" w:hAnsi="Trebuchet MS"/>
          <w:lang w:val="en-US"/>
        </w:rPr>
        <w:t xml:space="preserve"> </w:t>
      </w:r>
    </w:p>
    <w:p w14:paraId="4350D0C9" w14:textId="77777777" w:rsidR="002E323F" w:rsidRDefault="002E323F" w:rsidP="00A41234">
      <w:pPr>
        <w:spacing w:after="0"/>
        <w:ind w:left="357"/>
        <w:jc w:val="both"/>
        <w:rPr>
          <w:rFonts w:ascii="Trebuchet MS" w:hAnsi="Trebuchet MS"/>
          <w:lang w:val="en-US"/>
        </w:rPr>
      </w:pPr>
    </w:p>
    <w:p w14:paraId="4EE94058" w14:textId="0E6685F1" w:rsidR="00900B2A" w:rsidRDefault="00391360" w:rsidP="00A41234">
      <w:pPr>
        <w:spacing w:after="0"/>
        <w:ind w:left="357"/>
        <w:jc w:val="both"/>
        <w:rPr>
          <w:rFonts w:ascii="Trebuchet MS" w:hAnsi="Trebuchet MS"/>
          <w:lang w:val="en-US"/>
        </w:rPr>
      </w:pPr>
      <w:r>
        <w:rPr>
          <w:rFonts w:ascii="Trebuchet MS" w:hAnsi="Trebuchet MS"/>
          <w:lang w:val="en-US"/>
        </w:rPr>
        <w:t>Furthermore, whilst</w:t>
      </w:r>
      <w:r w:rsidR="00140833">
        <w:rPr>
          <w:rFonts w:ascii="Trebuchet MS" w:hAnsi="Trebuchet MS"/>
          <w:lang w:val="en-US"/>
        </w:rPr>
        <w:t xml:space="preserve"> </w:t>
      </w:r>
      <w:r w:rsidRPr="00391360">
        <w:rPr>
          <w:rFonts w:ascii="Trebuchet MS" w:hAnsi="Trebuchet MS"/>
          <w:lang w:val="en-US"/>
        </w:rPr>
        <w:t xml:space="preserve">the digital single market </w:t>
      </w:r>
      <w:r>
        <w:rPr>
          <w:rFonts w:ascii="Trebuchet MS" w:hAnsi="Trebuchet MS"/>
          <w:lang w:val="en-US"/>
        </w:rPr>
        <w:t>has been set</w:t>
      </w:r>
      <w:r w:rsidRPr="00391360">
        <w:rPr>
          <w:rFonts w:ascii="Trebuchet MS" w:hAnsi="Trebuchet MS"/>
          <w:lang w:val="en-US"/>
        </w:rPr>
        <w:t xml:space="preserve"> </w:t>
      </w:r>
      <w:r w:rsidR="00FD4566">
        <w:rPr>
          <w:rFonts w:ascii="Trebuchet MS" w:hAnsi="Trebuchet MS"/>
          <w:lang w:val="en-US"/>
        </w:rPr>
        <w:t xml:space="preserve">as </w:t>
      </w:r>
      <w:r w:rsidRPr="00391360">
        <w:rPr>
          <w:rFonts w:ascii="Trebuchet MS" w:hAnsi="Trebuchet MS"/>
          <w:lang w:val="en-US"/>
        </w:rPr>
        <w:t>a pillar in the COVID-19 recovery</w:t>
      </w:r>
      <w:r>
        <w:rPr>
          <w:rStyle w:val="FootnoteReference"/>
          <w:rFonts w:ascii="Trebuchet MS" w:hAnsi="Trebuchet MS"/>
          <w:lang w:val="en-US"/>
        </w:rPr>
        <w:footnoteReference w:id="8"/>
      </w:r>
      <w:r>
        <w:rPr>
          <w:rFonts w:ascii="Trebuchet MS" w:hAnsi="Trebuchet MS"/>
          <w:lang w:val="en-US"/>
        </w:rPr>
        <w:t xml:space="preserve">, </w:t>
      </w:r>
      <w:r w:rsidR="00306D90">
        <w:rPr>
          <w:rFonts w:ascii="Trebuchet MS" w:hAnsi="Trebuchet MS"/>
          <w:lang w:val="en-US"/>
        </w:rPr>
        <w:t xml:space="preserve">digital divide and inequality (e.g. women and low-income households) restrict access to information and resources and cause serious implications for equal access to education and healthcare. Further reflection is needed to adequately frame </w:t>
      </w:r>
      <w:r w:rsidR="003D0CAC">
        <w:rPr>
          <w:rFonts w:ascii="Trebuchet MS" w:hAnsi="Trebuchet MS"/>
          <w:lang w:val="en-US"/>
        </w:rPr>
        <w:t>digitalization as a new social determinant</w:t>
      </w:r>
      <w:r w:rsidR="003D0CAC">
        <w:rPr>
          <w:rStyle w:val="FootnoteReference"/>
          <w:rFonts w:ascii="Trebuchet MS" w:hAnsi="Trebuchet MS"/>
          <w:lang w:val="en-US"/>
        </w:rPr>
        <w:footnoteReference w:id="9"/>
      </w:r>
      <w:r w:rsidR="003D0CAC">
        <w:rPr>
          <w:rFonts w:ascii="Trebuchet MS" w:hAnsi="Trebuchet MS"/>
          <w:lang w:val="en-US"/>
        </w:rPr>
        <w:t xml:space="preserve"> for health </w:t>
      </w:r>
      <w:r w:rsidR="00BA124F">
        <w:rPr>
          <w:rFonts w:ascii="Trebuchet MS" w:hAnsi="Trebuchet MS"/>
          <w:lang w:val="en-US"/>
        </w:rPr>
        <w:t>leading to more/less</w:t>
      </w:r>
      <w:r w:rsidR="003D0CAC">
        <w:rPr>
          <w:rFonts w:ascii="Trebuchet MS" w:hAnsi="Trebuchet MS"/>
          <w:lang w:val="en-US"/>
        </w:rPr>
        <w:t xml:space="preserve"> socio-economic disparities</w:t>
      </w:r>
      <w:r w:rsidR="00DD4E91">
        <w:rPr>
          <w:rFonts w:ascii="Trebuchet MS" w:hAnsi="Trebuchet MS"/>
          <w:lang w:val="en-US"/>
        </w:rPr>
        <w:t xml:space="preserve"> as well as ensure an inclusive digital transformation.</w:t>
      </w:r>
      <w:r w:rsidR="00D84813">
        <w:rPr>
          <w:rFonts w:ascii="Trebuchet MS" w:hAnsi="Trebuchet MS"/>
          <w:lang w:val="en-US"/>
        </w:rPr>
        <w:t xml:space="preserve"> </w:t>
      </w:r>
    </w:p>
    <w:p w14:paraId="0E2D16A4" w14:textId="77777777" w:rsidR="002E323F" w:rsidRDefault="002E323F" w:rsidP="00A41234">
      <w:pPr>
        <w:spacing w:after="0"/>
        <w:ind w:left="357"/>
        <w:jc w:val="both"/>
        <w:rPr>
          <w:rFonts w:ascii="Trebuchet MS" w:hAnsi="Trebuchet MS"/>
          <w:lang w:val="en-US"/>
        </w:rPr>
      </w:pPr>
    </w:p>
    <w:p w14:paraId="48E11E14" w14:textId="27A16053" w:rsidR="00A06379" w:rsidRDefault="00D84813" w:rsidP="00A41234">
      <w:pPr>
        <w:spacing w:after="0"/>
        <w:ind w:left="357"/>
        <w:jc w:val="both"/>
        <w:rPr>
          <w:rFonts w:ascii="Trebuchet MS" w:hAnsi="Trebuchet MS"/>
          <w:lang w:val="en-US"/>
        </w:rPr>
      </w:pPr>
      <w:r>
        <w:rPr>
          <w:rFonts w:ascii="Trebuchet MS" w:hAnsi="Trebuchet MS"/>
          <w:lang w:val="en-US"/>
        </w:rPr>
        <w:t xml:space="preserve">In addition to this, health has been put at the heart of the </w:t>
      </w:r>
      <w:r w:rsidRPr="00D84813">
        <w:rPr>
          <w:rFonts w:ascii="Trebuchet MS" w:hAnsi="Trebuchet MS"/>
          <w:lang w:val="en-US"/>
        </w:rPr>
        <w:t>climate and environmental sustainability</w:t>
      </w:r>
      <w:r>
        <w:rPr>
          <w:rFonts w:ascii="Trebuchet MS" w:hAnsi="Trebuchet MS"/>
          <w:lang w:val="en-US"/>
        </w:rPr>
        <w:t xml:space="preserve"> under the European Green Deal</w:t>
      </w:r>
      <w:r>
        <w:rPr>
          <w:rStyle w:val="FootnoteReference"/>
          <w:rFonts w:ascii="Trebuchet MS" w:hAnsi="Trebuchet MS"/>
          <w:lang w:val="en-US"/>
        </w:rPr>
        <w:footnoteReference w:id="10"/>
      </w:r>
      <w:r>
        <w:rPr>
          <w:rFonts w:ascii="Trebuchet MS" w:hAnsi="Trebuchet MS"/>
          <w:lang w:val="en-US"/>
        </w:rPr>
        <w:t xml:space="preserve">. Therefore, focus is needed to </w:t>
      </w:r>
      <w:r w:rsidR="00DD537C">
        <w:rPr>
          <w:rFonts w:ascii="Trebuchet MS" w:hAnsi="Trebuchet MS"/>
          <w:lang w:val="en-US"/>
        </w:rPr>
        <w:t>analyze</w:t>
      </w:r>
      <w:r>
        <w:rPr>
          <w:rFonts w:ascii="Trebuchet MS" w:hAnsi="Trebuchet MS"/>
          <w:lang w:val="en-US"/>
        </w:rPr>
        <w:t xml:space="preserve"> </w:t>
      </w:r>
      <w:r w:rsidR="00DD537C">
        <w:rPr>
          <w:rFonts w:ascii="Trebuchet MS" w:hAnsi="Trebuchet MS"/>
          <w:lang w:val="en-US"/>
        </w:rPr>
        <w:t xml:space="preserve">the disproportionate impact of health inequalities and the green transition on people experiencing poverty and social exclusion, in the light of </w:t>
      </w:r>
      <w:r w:rsidR="00D5081D">
        <w:rPr>
          <w:rFonts w:ascii="Trebuchet MS" w:hAnsi="Trebuchet MS"/>
          <w:lang w:val="en-US"/>
        </w:rPr>
        <w:t xml:space="preserve">former recommendations and </w:t>
      </w:r>
      <w:r w:rsidR="00DD537C">
        <w:rPr>
          <w:rFonts w:ascii="Trebuchet MS" w:hAnsi="Trebuchet MS"/>
          <w:lang w:val="en-US"/>
        </w:rPr>
        <w:t>bad/good energy efficiency practices particularly in social housing</w:t>
      </w:r>
      <w:r w:rsidR="00FA42B5">
        <w:rPr>
          <w:rStyle w:val="FootnoteReference"/>
          <w:rFonts w:ascii="Trebuchet MS" w:hAnsi="Trebuchet MS"/>
          <w:lang w:val="en-US"/>
        </w:rPr>
        <w:footnoteReference w:id="11"/>
      </w:r>
      <w:r w:rsidR="00DD537C">
        <w:rPr>
          <w:rFonts w:ascii="Trebuchet MS" w:hAnsi="Trebuchet MS"/>
          <w:lang w:val="en-US"/>
        </w:rPr>
        <w:t xml:space="preserve">. </w:t>
      </w:r>
      <w:r w:rsidR="00475709">
        <w:rPr>
          <w:rFonts w:ascii="Trebuchet MS" w:hAnsi="Trebuchet MS"/>
          <w:lang w:val="en-US"/>
        </w:rPr>
        <w:t xml:space="preserve">The European Green Deal can contribute to a new social and sustainable strategy to achieve SDGs and EPRS objectives </w:t>
      </w:r>
      <w:r w:rsidR="00B02B81">
        <w:rPr>
          <w:rFonts w:ascii="Trebuchet MS" w:hAnsi="Trebuchet MS"/>
          <w:lang w:val="en-US"/>
        </w:rPr>
        <w:t>while ensuring that the poor will not pay for the costs of the transition.</w:t>
      </w:r>
      <w:r w:rsidR="007D6B58">
        <w:rPr>
          <w:rFonts w:ascii="Trebuchet MS" w:hAnsi="Trebuchet MS"/>
          <w:lang w:val="en-US"/>
        </w:rPr>
        <w:t xml:space="preserve"> </w:t>
      </w:r>
      <w:r w:rsidR="00400333">
        <w:rPr>
          <w:rFonts w:ascii="Trebuchet MS" w:hAnsi="Trebuchet MS"/>
          <w:lang w:val="en-US"/>
        </w:rPr>
        <w:t>There will be no</w:t>
      </w:r>
      <w:r w:rsidR="007D6B58">
        <w:rPr>
          <w:rFonts w:ascii="Trebuchet MS" w:hAnsi="Trebuchet MS"/>
          <w:lang w:val="en-US"/>
        </w:rPr>
        <w:t xml:space="preserve"> fair and effective ecological and digital transformations</w:t>
      </w:r>
      <w:r w:rsidR="00400333">
        <w:rPr>
          <w:rFonts w:ascii="Trebuchet MS" w:hAnsi="Trebuchet MS"/>
          <w:lang w:val="en-US"/>
        </w:rPr>
        <w:t xml:space="preserve"> </w:t>
      </w:r>
      <w:r w:rsidR="007D6B58">
        <w:rPr>
          <w:rFonts w:ascii="Trebuchet MS" w:hAnsi="Trebuchet MS"/>
          <w:lang w:val="en-US"/>
        </w:rPr>
        <w:t xml:space="preserve">if concrete actions are not taken to reduce socio-economic inequalities. </w:t>
      </w:r>
    </w:p>
    <w:p w14:paraId="3F8FFAAE" w14:textId="74F911B6" w:rsidR="00A67985" w:rsidRDefault="00A67985" w:rsidP="00AC57F3">
      <w:pPr>
        <w:jc w:val="both"/>
        <w:rPr>
          <w:rFonts w:ascii="Trebuchet MS" w:hAnsi="Trebuchet MS"/>
          <w:b/>
          <w:u w:val="single"/>
          <w:lang w:val="en-US"/>
        </w:rPr>
      </w:pPr>
    </w:p>
    <w:p w14:paraId="122970DA" w14:textId="77777777" w:rsidR="00400333" w:rsidRDefault="00400333" w:rsidP="00AC57F3">
      <w:pPr>
        <w:jc w:val="both"/>
        <w:rPr>
          <w:rFonts w:ascii="Trebuchet MS" w:hAnsi="Trebuchet MS"/>
          <w:b/>
          <w:u w:val="single"/>
          <w:lang w:val="en-US"/>
        </w:rPr>
      </w:pPr>
    </w:p>
    <w:p w14:paraId="4923FD97" w14:textId="45008235" w:rsidR="00D84813" w:rsidRDefault="00D84813" w:rsidP="00D84813">
      <w:pPr>
        <w:ind w:left="360"/>
        <w:jc w:val="both"/>
        <w:rPr>
          <w:rFonts w:ascii="Trebuchet MS" w:hAnsi="Trebuchet MS"/>
          <w:b/>
          <w:u w:val="single"/>
          <w:lang w:val="en-US"/>
        </w:rPr>
      </w:pPr>
      <w:r w:rsidRPr="00E411DA">
        <w:rPr>
          <w:rFonts w:ascii="Trebuchet MS" w:hAnsi="Trebuchet MS"/>
          <w:b/>
          <w:u w:val="single"/>
          <w:lang w:val="en-US"/>
        </w:rPr>
        <w:t>Problem definition</w:t>
      </w:r>
    </w:p>
    <w:p w14:paraId="7B9C2791" w14:textId="4CA49CED" w:rsidR="00D84813" w:rsidRDefault="00EF59A7" w:rsidP="00376489">
      <w:pPr>
        <w:spacing w:after="0"/>
        <w:ind w:left="357"/>
        <w:jc w:val="both"/>
        <w:rPr>
          <w:rFonts w:ascii="Trebuchet MS" w:hAnsi="Trebuchet MS"/>
          <w:lang w:val="en-US"/>
        </w:rPr>
      </w:pPr>
      <w:r>
        <w:rPr>
          <w:rFonts w:ascii="Trebuchet MS" w:hAnsi="Trebuchet MS"/>
          <w:lang w:val="en-US"/>
        </w:rPr>
        <w:t>E</w:t>
      </w:r>
      <w:r w:rsidR="00915A9D">
        <w:rPr>
          <w:rFonts w:ascii="Trebuchet MS" w:hAnsi="Trebuchet MS"/>
          <w:lang w:val="en-US"/>
        </w:rPr>
        <w:t>ssential services are understood as s</w:t>
      </w:r>
      <w:r w:rsidR="00915A9D" w:rsidRPr="00915A9D">
        <w:rPr>
          <w:rFonts w:ascii="Trebuchet MS" w:hAnsi="Trebuchet MS"/>
          <w:lang w:val="en-US"/>
        </w:rPr>
        <w:t>ocial services of general interest</w:t>
      </w:r>
      <w:r w:rsidR="00915A9D">
        <w:rPr>
          <w:rFonts w:ascii="Trebuchet MS" w:hAnsi="Trebuchet MS"/>
          <w:lang w:val="en-US"/>
        </w:rPr>
        <w:t>, namely “</w:t>
      </w:r>
      <w:r w:rsidR="00915A9D" w:rsidRPr="00915A9D">
        <w:rPr>
          <w:rFonts w:ascii="Trebuchet MS" w:hAnsi="Trebuchet MS"/>
          <w:i/>
          <w:iCs/>
          <w:lang w:val="en-US"/>
        </w:rPr>
        <w:t>those that respond to the needs of vulnerable citizens, and are based on the principles of solidarity and equal access. They can be both of an economic or non-economic nature. Examples include social security schemes, employment services and social housing</w:t>
      </w:r>
      <w:r w:rsidR="00915A9D" w:rsidRPr="00915A9D">
        <w:rPr>
          <w:rFonts w:ascii="Trebuchet MS" w:hAnsi="Trebuchet MS"/>
          <w:lang w:val="en-US"/>
        </w:rPr>
        <w:t>.</w:t>
      </w:r>
      <w:r w:rsidR="00915A9D">
        <w:rPr>
          <w:rFonts w:ascii="Trebuchet MS" w:hAnsi="Trebuchet MS"/>
          <w:lang w:val="en-US"/>
        </w:rPr>
        <w:t>”</w:t>
      </w:r>
      <w:r w:rsidR="00915A9D">
        <w:rPr>
          <w:rStyle w:val="FootnoteReference"/>
          <w:rFonts w:ascii="Trebuchet MS" w:hAnsi="Trebuchet MS"/>
          <w:lang w:val="en-US"/>
        </w:rPr>
        <w:footnoteReference w:id="12"/>
      </w:r>
      <w:r>
        <w:rPr>
          <w:rFonts w:ascii="Trebuchet MS" w:hAnsi="Trebuchet MS"/>
          <w:lang w:val="en-US"/>
        </w:rPr>
        <w:t xml:space="preserve"> </w:t>
      </w:r>
      <w:r w:rsidRPr="00EF59A7">
        <w:rPr>
          <w:rFonts w:ascii="Trebuchet MS" w:hAnsi="Trebuchet MS"/>
          <w:lang w:val="en-US"/>
        </w:rPr>
        <w:t xml:space="preserve">In </w:t>
      </w:r>
      <w:r w:rsidRPr="00EF59A7">
        <w:rPr>
          <w:rFonts w:ascii="Trebuchet MS" w:hAnsi="Trebuchet MS"/>
          <w:lang w:val="en-US"/>
        </w:rPr>
        <w:lastRenderedPageBreak/>
        <w:t>the context of this concept note</w:t>
      </w:r>
      <w:r>
        <w:rPr>
          <w:rFonts w:ascii="Trebuchet MS" w:hAnsi="Trebuchet MS"/>
          <w:lang w:val="en-US"/>
        </w:rPr>
        <w:t xml:space="preserve">, focus will be kept on specific services considering the wide range of essential services and </w:t>
      </w:r>
      <w:r w:rsidR="00376489">
        <w:rPr>
          <w:rFonts w:ascii="Trebuchet MS" w:hAnsi="Trebuchet MS"/>
          <w:lang w:val="en-US"/>
        </w:rPr>
        <w:t xml:space="preserve">the massive </w:t>
      </w:r>
      <w:r>
        <w:rPr>
          <w:rFonts w:ascii="Trebuchet MS" w:hAnsi="Trebuchet MS"/>
          <w:lang w:val="en-US"/>
        </w:rPr>
        <w:t>work</w:t>
      </w:r>
      <w:r w:rsidR="00376489">
        <w:rPr>
          <w:rFonts w:ascii="Trebuchet MS" w:hAnsi="Trebuchet MS"/>
          <w:lang w:val="en-US"/>
        </w:rPr>
        <w:t xml:space="preserve"> that EAPN has already been done on </w:t>
      </w:r>
      <w:r w:rsidR="003501BF">
        <w:rPr>
          <w:rFonts w:ascii="Trebuchet MS" w:hAnsi="Trebuchet MS"/>
          <w:lang w:val="en-US"/>
        </w:rPr>
        <w:t xml:space="preserve">relevant </w:t>
      </w:r>
      <w:r w:rsidR="00376489">
        <w:rPr>
          <w:rFonts w:ascii="Trebuchet MS" w:hAnsi="Trebuchet MS"/>
          <w:lang w:val="en-US"/>
        </w:rPr>
        <w:t xml:space="preserve">areas </w:t>
      </w:r>
      <w:r w:rsidR="002F59F3">
        <w:rPr>
          <w:rFonts w:ascii="Trebuchet MS" w:hAnsi="Trebuchet MS"/>
          <w:lang w:val="en-US"/>
        </w:rPr>
        <w:t xml:space="preserve">linked to the labor market </w:t>
      </w:r>
      <w:r w:rsidR="00376489">
        <w:rPr>
          <w:rFonts w:ascii="Trebuchet MS" w:hAnsi="Trebuchet MS"/>
          <w:lang w:val="en-US"/>
        </w:rPr>
        <w:t xml:space="preserve">such as minimum income and social protection. </w:t>
      </w:r>
    </w:p>
    <w:p w14:paraId="2BEE5BE8" w14:textId="72489404" w:rsidR="00376489" w:rsidRDefault="00376489" w:rsidP="00376489">
      <w:pPr>
        <w:spacing w:after="0"/>
        <w:ind w:left="357"/>
        <w:jc w:val="both"/>
        <w:rPr>
          <w:rFonts w:ascii="Trebuchet MS" w:hAnsi="Trebuchet MS"/>
          <w:lang w:val="en-US"/>
        </w:rPr>
      </w:pPr>
    </w:p>
    <w:p w14:paraId="65635B41" w14:textId="40B93690" w:rsidR="00376489" w:rsidRDefault="003501BF" w:rsidP="003501BF">
      <w:pPr>
        <w:pStyle w:val="ListParagraph"/>
        <w:numPr>
          <w:ilvl w:val="0"/>
          <w:numId w:val="13"/>
        </w:numPr>
        <w:spacing w:after="0"/>
        <w:jc w:val="both"/>
        <w:rPr>
          <w:rFonts w:ascii="Trebuchet MS" w:hAnsi="Trebuchet MS"/>
          <w:lang w:val="en-US"/>
        </w:rPr>
      </w:pPr>
      <w:r>
        <w:rPr>
          <w:rFonts w:ascii="Trebuchet MS" w:hAnsi="Trebuchet MS"/>
          <w:lang w:val="en-US"/>
        </w:rPr>
        <w:t xml:space="preserve">Social housing including energy </w:t>
      </w:r>
      <w:r w:rsidR="00FA29F1">
        <w:rPr>
          <w:rFonts w:ascii="Trebuchet MS" w:hAnsi="Trebuchet MS"/>
          <w:lang w:val="en-US"/>
        </w:rPr>
        <w:t xml:space="preserve">efficiency </w:t>
      </w:r>
      <w:r>
        <w:rPr>
          <w:rFonts w:ascii="Trebuchet MS" w:hAnsi="Trebuchet MS"/>
          <w:lang w:val="en-US"/>
        </w:rPr>
        <w:t xml:space="preserve">initiatives </w:t>
      </w:r>
    </w:p>
    <w:p w14:paraId="75B59235" w14:textId="563E99C9" w:rsidR="003501BF" w:rsidRDefault="003501BF" w:rsidP="003501BF">
      <w:pPr>
        <w:pStyle w:val="ListParagraph"/>
        <w:numPr>
          <w:ilvl w:val="0"/>
          <w:numId w:val="13"/>
        </w:numPr>
        <w:spacing w:after="0"/>
        <w:jc w:val="both"/>
        <w:rPr>
          <w:rFonts w:ascii="Trebuchet MS" w:hAnsi="Trebuchet MS"/>
          <w:lang w:val="en-US"/>
        </w:rPr>
      </w:pPr>
      <w:r>
        <w:rPr>
          <w:rFonts w:ascii="Trebuchet MS" w:hAnsi="Trebuchet MS"/>
          <w:lang w:val="en-US"/>
        </w:rPr>
        <w:t xml:space="preserve">Health and social care </w:t>
      </w:r>
    </w:p>
    <w:p w14:paraId="3A9EA2D7" w14:textId="5FE505F8" w:rsidR="002F59F3" w:rsidRDefault="00CF02DE" w:rsidP="003501BF">
      <w:pPr>
        <w:pStyle w:val="ListParagraph"/>
        <w:numPr>
          <w:ilvl w:val="0"/>
          <w:numId w:val="13"/>
        </w:numPr>
        <w:spacing w:after="0"/>
        <w:jc w:val="both"/>
        <w:rPr>
          <w:rFonts w:ascii="Trebuchet MS" w:hAnsi="Trebuchet MS"/>
          <w:lang w:val="en-US"/>
        </w:rPr>
      </w:pPr>
      <w:r>
        <w:rPr>
          <w:rFonts w:ascii="Trebuchet MS" w:hAnsi="Trebuchet MS"/>
          <w:lang w:val="en-US"/>
        </w:rPr>
        <w:t>D</w:t>
      </w:r>
      <w:r w:rsidR="002F59F3">
        <w:rPr>
          <w:rFonts w:ascii="Trebuchet MS" w:hAnsi="Trebuchet MS"/>
          <w:lang w:val="en-US"/>
        </w:rPr>
        <w:t xml:space="preserve">igital Communications </w:t>
      </w:r>
    </w:p>
    <w:p w14:paraId="5EC3F6D3" w14:textId="74698E85" w:rsidR="003501BF" w:rsidRDefault="003501BF" w:rsidP="003501BF">
      <w:pPr>
        <w:spacing w:after="0"/>
        <w:ind w:left="357"/>
        <w:jc w:val="both"/>
        <w:rPr>
          <w:rFonts w:ascii="Trebuchet MS" w:hAnsi="Trebuchet MS"/>
          <w:lang w:val="en-US"/>
        </w:rPr>
      </w:pPr>
    </w:p>
    <w:p w14:paraId="108D8007" w14:textId="5FD7D822" w:rsidR="003501BF" w:rsidRDefault="003501BF" w:rsidP="003501BF">
      <w:pPr>
        <w:spacing w:after="0"/>
        <w:ind w:left="357"/>
        <w:jc w:val="both"/>
        <w:rPr>
          <w:rFonts w:ascii="Trebuchet MS" w:hAnsi="Trebuchet MS"/>
          <w:lang w:val="en-US"/>
        </w:rPr>
      </w:pPr>
      <w:r>
        <w:rPr>
          <w:rFonts w:ascii="Trebuchet MS" w:hAnsi="Trebuchet MS"/>
          <w:lang w:val="en-US"/>
        </w:rPr>
        <w:t xml:space="preserve">The aforementioned themes should be analyzed from the perspective of equal </w:t>
      </w:r>
      <w:r w:rsidR="002F59F3">
        <w:rPr>
          <w:rFonts w:ascii="Trebuchet MS" w:hAnsi="Trebuchet MS"/>
          <w:lang w:val="en-US"/>
        </w:rPr>
        <w:t xml:space="preserve">opportunities for under-represented and/or </w:t>
      </w:r>
      <w:r w:rsidR="002F59F3" w:rsidRPr="002F59F3">
        <w:rPr>
          <w:rFonts w:ascii="Trebuchet MS" w:hAnsi="Trebuchet MS"/>
          <w:lang w:val="en-US"/>
        </w:rPr>
        <w:t>socially less advantaged</w:t>
      </w:r>
      <w:r w:rsidR="002F59F3">
        <w:rPr>
          <w:rFonts w:ascii="Trebuchet MS" w:hAnsi="Trebuchet MS"/>
          <w:lang w:val="en-US"/>
        </w:rPr>
        <w:t xml:space="preserve"> groups like children</w:t>
      </w:r>
      <w:r>
        <w:rPr>
          <w:rFonts w:ascii="Trebuchet MS" w:hAnsi="Trebuchet MS"/>
          <w:lang w:val="en-US"/>
        </w:rPr>
        <w:t>, within the current policy context (e</w:t>
      </w:r>
      <w:r w:rsidR="00C87487">
        <w:rPr>
          <w:rFonts w:ascii="Trebuchet MS" w:hAnsi="Trebuchet MS"/>
          <w:lang w:val="en-US"/>
        </w:rPr>
        <w:t>.</w:t>
      </w:r>
      <w:r>
        <w:rPr>
          <w:rFonts w:ascii="Trebuchet MS" w:hAnsi="Trebuchet MS"/>
          <w:lang w:val="en-US"/>
        </w:rPr>
        <w:t>g. EU Pillar of Social Rights Action Plan; Just Transition Mechanism and European Green Deal; R</w:t>
      </w:r>
      <w:r w:rsidRPr="003501BF">
        <w:rPr>
          <w:rFonts w:ascii="Trebuchet MS" w:hAnsi="Trebuchet MS"/>
          <w:lang w:val="en-US"/>
        </w:rPr>
        <w:t xml:space="preserve">ecovery and </w:t>
      </w:r>
      <w:r>
        <w:rPr>
          <w:rFonts w:ascii="Trebuchet MS" w:hAnsi="Trebuchet MS"/>
          <w:lang w:val="en-US"/>
        </w:rPr>
        <w:t>R</w:t>
      </w:r>
      <w:r w:rsidRPr="003501BF">
        <w:rPr>
          <w:rFonts w:ascii="Trebuchet MS" w:hAnsi="Trebuchet MS"/>
          <w:lang w:val="en-US"/>
        </w:rPr>
        <w:t>esilience plans</w:t>
      </w:r>
      <w:r>
        <w:rPr>
          <w:rFonts w:ascii="Trebuchet MS" w:hAnsi="Trebuchet MS"/>
          <w:lang w:val="en-US"/>
        </w:rPr>
        <w:t xml:space="preserve">; </w:t>
      </w:r>
      <w:r w:rsidR="00FA53B6">
        <w:rPr>
          <w:rFonts w:ascii="Trebuchet MS" w:hAnsi="Trebuchet MS"/>
          <w:lang w:val="en-US"/>
        </w:rPr>
        <w:t xml:space="preserve">Next Generation EU; </w:t>
      </w:r>
      <w:r>
        <w:rPr>
          <w:rFonts w:ascii="Trebuchet MS" w:hAnsi="Trebuchet MS"/>
          <w:lang w:val="en-US"/>
        </w:rPr>
        <w:t>European Child Guarantee</w:t>
      </w:r>
      <w:r w:rsidR="002F59F3">
        <w:rPr>
          <w:rFonts w:ascii="Trebuchet MS" w:hAnsi="Trebuchet MS"/>
          <w:lang w:val="en-US"/>
        </w:rPr>
        <w:t xml:space="preserve">; European Health Union; Action Plan on Integration and Inclusion). </w:t>
      </w:r>
      <w:r w:rsidR="0026477B">
        <w:rPr>
          <w:rFonts w:ascii="Trebuchet MS" w:hAnsi="Trebuchet MS"/>
          <w:lang w:val="en-US"/>
        </w:rPr>
        <w:t>The formulation ‘Digital Communications’ draws on the e</w:t>
      </w:r>
      <w:r w:rsidR="0026477B" w:rsidRPr="0026477B">
        <w:rPr>
          <w:rFonts w:ascii="Trebuchet MS" w:hAnsi="Trebuchet MS"/>
          <w:lang w:val="en-US"/>
        </w:rPr>
        <w:t>ffective access to essential services of sufficient quality</w:t>
      </w:r>
      <w:r w:rsidR="0026477B">
        <w:rPr>
          <w:rFonts w:ascii="Trebuchet MS" w:hAnsi="Trebuchet MS"/>
          <w:lang w:val="en-US"/>
        </w:rPr>
        <w:t xml:space="preserve"> illustrated in the </w:t>
      </w:r>
      <w:hyperlink r:id="rId10" w:anchor="annex2" w:history="1">
        <w:r w:rsidR="0026477B" w:rsidRPr="0026477B">
          <w:rPr>
            <w:rStyle w:val="Hyperlink"/>
            <w:rFonts w:ascii="Trebuchet MS" w:hAnsi="Trebuchet MS"/>
            <w:lang w:val="en-US"/>
          </w:rPr>
          <w:t>EPRS Action Plan</w:t>
        </w:r>
      </w:hyperlink>
      <w:r w:rsidR="0026477B">
        <w:rPr>
          <w:rFonts w:ascii="Trebuchet MS" w:hAnsi="Trebuchet MS"/>
          <w:lang w:val="en-US"/>
        </w:rPr>
        <w:t>.</w:t>
      </w:r>
      <w:r w:rsidR="007A7122">
        <w:rPr>
          <w:rFonts w:ascii="Trebuchet MS" w:hAnsi="Trebuchet MS"/>
          <w:lang w:val="en-US"/>
        </w:rPr>
        <w:t xml:space="preserve"> In the context of this paper, this is understood as equal access to digital skills and devices as a basic need and universal human right, which affects access to all other services thus socio-economic inclusion. </w:t>
      </w:r>
    </w:p>
    <w:p w14:paraId="544CCC02" w14:textId="213B41AB" w:rsidR="002F59F3" w:rsidRDefault="002F59F3" w:rsidP="003501BF">
      <w:pPr>
        <w:spacing w:after="0"/>
        <w:ind w:left="357"/>
        <w:jc w:val="both"/>
        <w:rPr>
          <w:rFonts w:ascii="Trebuchet MS" w:hAnsi="Trebuchet MS"/>
          <w:lang w:val="en-US"/>
        </w:rPr>
      </w:pPr>
    </w:p>
    <w:p w14:paraId="14CDCCAD" w14:textId="568513C6" w:rsidR="00466DA8" w:rsidRDefault="002F59F3" w:rsidP="00C87487">
      <w:pPr>
        <w:spacing w:after="0"/>
        <w:ind w:left="357"/>
        <w:jc w:val="both"/>
        <w:rPr>
          <w:rFonts w:ascii="Trebuchet MS" w:hAnsi="Trebuchet MS"/>
          <w:lang w:val="en-US"/>
        </w:rPr>
      </w:pPr>
      <w:r>
        <w:rPr>
          <w:rFonts w:ascii="Trebuchet MS" w:hAnsi="Trebuchet MS"/>
          <w:lang w:val="en-US"/>
        </w:rPr>
        <w:t>EAPN has recently released a report delving into education and training to prevent and reduce social exclusion (March 2020)</w:t>
      </w:r>
      <w:r w:rsidR="009E245B">
        <w:rPr>
          <w:rStyle w:val="FootnoteReference"/>
          <w:rFonts w:ascii="Trebuchet MS" w:hAnsi="Trebuchet MS"/>
          <w:lang w:val="en-US"/>
        </w:rPr>
        <w:footnoteReference w:id="13"/>
      </w:r>
      <w:r>
        <w:rPr>
          <w:rFonts w:ascii="Trebuchet MS" w:hAnsi="Trebuchet MS"/>
          <w:lang w:val="en-US"/>
        </w:rPr>
        <w:t xml:space="preserve">. Consequently, the present paper </w:t>
      </w:r>
      <w:r w:rsidR="009E245B">
        <w:rPr>
          <w:rFonts w:ascii="Trebuchet MS" w:hAnsi="Trebuchet MS"/>
          <w:lang w:val="en-US"/>
        </w:rPr>
        <w:t xml:space="preserve">does not </w:t>
      </w:r>
      <w:r w:rsidR="00290FFA">
        <w:rPr>
          <w:rFonts w:ascii="Trebuchet MS" w:hAnsi="Trebuchet MS"/>
          <w:lang w:val="en-US"/>
        </w:rPr>
        <w:t xml:space="preserve">commit to a full assessment of barriers to inclusive education again. However, access to affordable and quality education </w:t>
      </w:r>
      <w:r w:rsidR="0076060F">
        <w:rPr>
          <w:rFonts w:ascii="Trebuchet MS" w:hAnsi="Trebuchet MS"/>
          <w:lang w:val="en-US"/>
        </w:rPr>
        <w:t xml:space="preserve">being </w:t>
      </w:r>
      <w:r w:rsidR="00290FFA">
        <w:rPr>
          <w:rFonts w:ascii="Trebuchet MS" w:hAnsi="Trebuchet MS"/>
          <w:lang w:val="en-US"/>
        </w:rPr>
        <w:t xml:space="preserve">a social determinant of health and an important consequence of digital exclusion, </w:t>
      </w:r>
      <w:r w:rsidR="0025006A">
        <w:rPr>
          <w:rFonts w:ascii="Trebuchet MS" w:hAnsi="Trebuchet MS"/>
          <w:lang w:val="en-US"/>
        </w:rPr>
        <w:t xml:space="preserve">education </w:t>
      </w:r>
      <w:r w:rsidR="00C87487">
        <w:rPr>
          <w:rFonts w:ascii="Trebuchet MS" w:hAnsi="Trebuchet MS"/>
          <w:lang w:val="en-US"/>
        </w:rPr>
        <w:t>will</w:t>
      </w:r>
      <w:r w:rsidR="0025006A">
        <w:rPr>
          <w:rFonts w:ascii="Trebuchet MS" w:hAnsi="Trebuchet MS"/>
          <w:lang w:val="en-US"/>
        </w:rPr>
        <w:t xml:space="preserve"> be mentioned in relation to the challenges of digitalization across Europe and its effects on certain groups of populations, such as children</w:t>
      </w:r>
      <w:r w:rsidR="0076060F">
        <w:rPr>
          <w:rFonts w:ascii="Trebuchet MS" w:hAnsi="Trebuchet MS"/>
          <w:lang w:val="en-US"/>
        </w:rPr>
        <w:t xml:space="preserve"> experiencing poverty</w:t>
      </w:r>
      <w:r w:rsidR="0025006A">
        <w:rPr>
          <w:rFonts w:ascii="Trebuchet MS" w:hAnsi="Trebuchet MS"/>
          <w:lang w:val="en-US"/>
        </w:rPr>
        <w:t xml:space="preserve">, refugees, single mothers, people with disabilities. </w:t>
      </w:r>
      <w:r w:rsidR="00C87487">
        <w:rPr>
          <w:rFonts w:ascii="Trebuchet MS" w:hAnsi="Trebuchet MS"/>
          <w:lang w:val="en-US"/>
        </w:rPr>
        <w:t>With regard to education, k</w:t>
      </w:r>
      <w:r w:rsidR="00466DA8" w:rsidRPr="00466DA8">
        <w:rPr>
          <w:rFonts w:ascii="Trebuchet MS" w:hAnsi="Trebuchet MS"/>
          <w:lang w:val="en-US"/>
        </w:rPr>
        <w:t xml:space="preserve">ey messages </w:t>
      </w:r>
      <w:r w:rsidR="00466DA8">
        <w:rPr>
          <w:rFonts w:ascii="Trebuchet MS" w:hAnsi="Trebuchet MS"/>
          <w:lang w:val="en-US"/>
        </w:rPr>
        <w:t xml:space="preserve">from this report </w:t>
      </w:r>
      <w:r w:rsidR="00C87487">
        <w:rPr>
          <w:rFonts w:ascii="Trebuchet MS" w:hAnsi="Trebuchet MS"/>
          <w:lang w:val="en-US"/>
        </w:rPr>
        <w:t xml:space="preserve">will be </w:t>
      </w:r>
      <w:r w:rsidR="00466DA8">
        <w:rPr>
          <w:rFonts w:ascii="Trebuchet MS" w:hAnsi="Trebuchet MS"/>
          <w:lang w:val="en-US"/>
        </w:rPr>
        <w:t>leverage</w:t>
      </w:r>
      <w:r w:rsidR="00C87487">
        <w:rPr>
          <w:rFonts w:ascii="Trebuchet MS" w:hAnsi="Trebuchet MS"/>
          <w:lang w:val="en-US"/>
        </w:rPr>
        <w:t>d</w:t>
      </w:r>
      <w:r w:rsidR="00466DA8">
        <w:rPr>
          <w:rFonts w:ascii="Trebuchet MS" w:hAnsi="Trebuchet MS"/>
          <w:lang w:val="en-US"/>
        </w:rPr>
        <w:t xml:space="preserve"> in preparation for upcoming Commission actions, specifically the Higher Education Transformation Agenda</w:t>
      </w:r>
      <w:r w:rsidR="00C33FB5">
        <w:rPr>
          <w:rFonts w:ascii="Trebuchet MS" w:hAnsi="Trebuchet MS"/>
          <w:lang w:val="en-US"/>
        </w:rPr>
        <w:t xml:space="preserve"> (to unlock the full potential of higher education institutions for a recovery geared towards a sustainable, inclusive, green and digital transition)</w:t>
      </w:r>
      <w:r w:rsidR="00466DA8">
        <w:rPr>
          <w:rFonts w:ascii="Trebuchet MS" w:hAnsi="Trebuchet MS"/>
          <w:lang w:val="en-US"/>
        </w:rPr>
        <w:t xml:space="preserve">, the initiative on Individual Learning Accounts </w:t>
      </w:r>
      <w:r w:rsidR="00C33FB5">
        <w:rPr>
          <w:rFonts w:ascii="Trebuchet MS" w:hAnsi="Trebuchet MS"/>
          <w:lang w:val="en-US"/>
        </w:rPr>
        <w:t xml:space="preserve">(to overcome barriers to access to training and to empower adults to manage career transitions) </w:t>
      </w:r>
      <w:r w:rsidR="00466DA8">
        <w:rPr>
          <w:rFonts w:ascii="Trebuchet MS" w:hAnsi="Trebuchet MS"/>
          <w:lang w:val="en-US"/>
        </w:rPr>
        <w:t>and the revision of the Barcelona targets</w:t>
      </w:r>
      <w:r w:rsidR="00884147">
        <w:rPr>
          <w:rFonts w:ascii="Trebuchet MS" w:hAnsi="Trebuchet MS"/>
          <w:lang w:val="en-US"/>
        </w:rPr>
        <w:t xml:space="preserve"> on </w:t>
      </w:r>
      <w:r w:rsidR="00884147" w:rsidRPr="00884147">
        <w:rPr>
          <w:rFonts w:ascii="Trebuchet MS" w:hAnsi="Trebuchet MS"/>
          <w:lang w:val="en-US"/>
        </w:rPr>
        <w:t>early childhood education and care</w:t>
      </w:r>
      <w:r w:rsidR="00BE1FE0">
        <w:rPr>
          <w:rFonts w:ascii="Trebuchet MS" w:hAnsi="Trebuchet MS"/>
          <w:lang w:val="en-US"/>
        </w:rPr>
        <w:t xml:space="preserve"> in 2022</w:t>
      </w:r>
      <w:r w:rsidR="00884147">
        <w:rPr>
          <w:rFonts w:ascii="Trebuchet MS" w:hAnsi="Trebuchet MS"/>
          <w:lang w:val="en-US"/>
        </w:rPr>
        <w:t xml:space="preserve">. </w:t>
      </w:r>
    </w:p>
    <w:p w14:paraId="6F84D8BA" w14:textId="528411D9" w:rsidR="003501BF" w:rsidRDefault="003501BF" w:rsidP="00AC57F3">
      <w:pPr>
        <w:spacing w:after="0"/>
        <w:jc w:val="both"/>
        <w:rPr>
          <w:rFonts w:ascii="Trebuchet MS" w:hAnsi="Trebuchet MS"/>
          <w:lang w:val="en-US"/>
        </w:rPr>
      </w:pPr>
    </w:p>
    <w:p w14:paraId="2FAD9E54" w14:textId="77777777" w:rsidR="00AC57F3" w:rsidRDefault="00AC57F3" w:rsidP="00AC57F3">
      <w:pPr>
        <w:spacing w:after="0"/>
        <w:jc w:val="both"/>
        <w:rPr>
          <w:rFonts w:ascii="Trebuchet MS" w:hAnsi="Trebuchet MS"/>
          <w:lang w:val="en-US"/>
        </w:rPr>
      </w:pPr>
    </w:p>
    <w:p w14:paraId="6A15AB49" w14:textId="370448E2" w:rsidR="00877B3F" w:rsidRDefault="00CF02DE" w:rsidP="003501BF">
      <w:pPr>
        <w:spacing w:after="0"/>
        <w:jc w:val="both"/>
        <w:rPr>
          <w:rFonts w:ascii="Trebuchet MS" w:hAnsi="Trebuchet MS"/>
          <w:b/>
          <w:bCs/>
          <w:u w:val="single"/>
          <w:lang w:val="en-US"/>
        </w:rPr>
      </w:pPr>
      <w:r w:rsidRPr="00CF02DE">
        <w:rPr>
          <w:rFonts w:ascii="Trebuchet MS" w:hAnsi="Trebuchet MS"/>
          <w:b/>
          <w:bCs/>
          <w:u w:val="single"/>
          <w:lang w:val="en-US"/>
        </w:rPr>
        <w:t>Main Challenges and Opportunities</w:t>
      </w:r>
    </w:p>
    <w:p w14:paraId="3A6CCA96" w14:textId="1BD6F48E" w:rsidR="00CF02DE" w:rsidRDefault="00CF02DE" w:rsidP="003501BF">
      <w:pPr>
        <w:spacing w:after="0"/>
        <w:jc w:val="both"/>
        <w:rPr>
          <w:rFonts w:ascii="Trebuchet MS" w:hAnsi="Trebuchet MS"/>
          <w:b/>
          <w:bCs/>
          <w:u w:val="single"/>
          <w:lang w:val="en-US"/>
        </w:rPr>
      </w:pPr>
    </w:p>
    <w:p w14:paraId="207099AB" w14:textId="6EB23532" w:rsidR="008E4B7F" w:rsidRDefault="0076060F" w:rsidP="003501BF">
      <w:pPr>
        <w:spacing w:after="0"/>
        <w:jc w:val="both"/>
        <w:rPr>
          <w:rFonts w:ascii="Trebuchet MS" w:hAnsi="Trebuchet MS"/>
          <w:lang w:val="en-US"/>
        </w:rPr>
      </w:pPr>
      <w:r>
        <w:rPr>
          <w:rFonts w:ascii="Trebuchet MS" w:hAnsi="Trebuchet MS"/>
          <w:lang w:val="en-US"/>
        </w:rPr>
        <w:t>The p</w:t>
      </w:r>
      <w:r w:rsidR="000A019A">
        <w:rPr>
          <w:rFonts w:ascii="Trebuchet MS" w:hAnsi="Trebuchet MS"/>
          <w:lang w:val="en-US"/>
        </w:rPr>
        <w:t xml:space="preserve">ost-covid policy context in the EU offers a number of challenges that might be turned into opportunities to break the intergeneration cycle of poverty and social exclusion as well as develop common quality standards on essentials services rooted in a human-rights and social-justice based approach in their aspects of </w:t>
      </w:r>
      <w:r w:rsidR="000A019A" w:rsidRPr="000A019A">
        <w:rPr>
          <w:rFonts w:ascii="Trebuchet MS" w:hAnsi="Trebuchet MS"/>
          <w:lang w:val="en-US"/>
        </w:rPr>
        <w:t>accessibility, affordability</w:t>
      </w:r>
      <w:r w:rsidR="000A019A">
        <w:rPr>
          <w:rFonts w:ascii="Trebuchet MS" w:hAnsi="Trebuchet MS"/>
          <w:lang w:val="en-US"/>
        </w:rPr>
        <w:t xml:space="preserve"> and </w:t>
      </w:r>
      <w:r w:rsidR="000A019A" w:rsidRPr="000A019A">
        <w:rPr>
          <w:rFonts w:ascii="Trebuchet MS" w:hAnsi="Trebuchet MS"/>
          <w:lang w:val="en-US"/>
        </w:rPr>
        <w:t>adequacy</w:t>
      </w:r>
      <w:r w:rsidR="003B7FAA">
        <w:rPr>
          <w:rFonts w:ascii="Trebuchet MS" w:hAnsi="Trebuchet MS"/>
          <w:lang w:val="en-US"/>
        </w:rPr>
        <w:t xml:space="preserve"> for all. </w:t>
      </w:r>
    </w:p>
    <w:p w14:paraId="3E48B4B7" w14:textId="0649AAD9" w:rsidR="00156C4B" w:rsidRDefault="00156C4B" w:rsidP="003501BF">
      <w:pPr>
        <w:spacing w:after="0"/>
        <w:jc w:val="both"/>
        <w:rPr>
          <w:rFonts w:ascii="Trebuchet MS" w:hAnsi="Trebuchet MS"/>
          <w:lang w:val="en-US"/>
        </w:rPr>
      </w:pPr>
    </w:p>
    <w:p w14:paraId="5359D09F" w14:textId="6DB8C1E7" w:rsidR="00156C4B" w:rsidRDefault="009861F9" w:rsidP="008233E6">
      <w:pPr>
        <w:pStyle w:val="ListParagraph"/>
        <w:numPr>
          <w:ilvl w:val="0"/>
          <w:numId w:val="13"/>
        </w:numPr>
        <w:spacing w:after="0"/>
        <w:jc w:val="both"/>
        <w:rPr>
          <w:rFonts w:ascii="Trebuchet MS" w:hAnsi="Trebuchet MS"/>
          <w:lang w:val="en-US"/>
        </w:rPr>
      </w:pPr>
      <w:r>
        <w:rPr>
          <w:rFonts w:ascii="Trebuchet MS" w:hAnsi="Trebuchet MS"/>
          <w:lang w:val="en-US"/>
        </w:rPr>
        <w:lastRenderedPageBreak/>
        <w:t xml:space="preserve">The </w:t>
      </w:r>
      <w:r w:rsidR="00FE50DE" w:rsidRPr="008233E6">
        <w:rPr>
          <w:rFonts w:ascii="Trebuchet MS" w:hAnsi="Trebuchet MS"/>
          <w:lang w:val="en-US"/>
        </w:rPr>
        <w:t xml:space="preserve">Slovenian Presidency </w:t>
      </w:r>
      <w:r>
        <w:rPr>
          <w:rFonts w:ascii="Trebuchet MS" w:hAnsi="Trebuchet MS"/>
          <w:lang w:val="en-US"/>
        </w:rPr>
        <w:t>(</w:t>
      </w:r>
      <w:r w:rsidRPr="009861F9">
        <w:rPr>
          <w:rFonts w:ascii="Trebuchet MS" w:hAnsi="Trebuchet MS"/>
          <w:lang w:val="en-US"/>
        </w:rPr>
        <w:t>1 July and 31 December 2021</w:t>
      </w:r>
      <w:r>
        <w:rPr>
          <w:rFonts w:ascii="Trebuchet MS" w:hAnsi="Trebuchet MS"/>
          <w:lang w:val="en-US"/>
        </w:rPr>
        <w:t xml:space="preserve">) </w:t>
      </w:r>
      <w:r w:rsidR="00FE50DE" w:rsidRPr="008233E6">
        <w:rPr>
          <w:rFonts w:ascii="Trebuchet MS" w:hAnsi="Trebuchet MS"/>
          <w:lang w:val="en-US"/>
        </w:rPr>
        <w:t>will focus on resilient and inclusive societies, particularly equal opportunities</w:t>
      </w:r>
      <w:r w:rsidR="00CE1A28">
        <w:rPr>
          <w:rStyle w:val="FootnoteReference"/>
          <w:rFonts w:ascii="Trebuchet MS" w:hAnsi="Trebuchet MS"/>
          <w:lang w:val="en-US"/>
        </w:rPr>
        <w:footnoteReference w:id="14"/>
      </w:r>
      <w:r w:rsidR="00FE50DE" w:rsidRPr="008233E6">
        <w:rPr>
          <w:rFonts w:ascii="Trebuchet MS" w:hAnsi="Trebuchet MS"/>
          <w:lang w:val="en-US"/>
        </w:rPr>
        <w:t xml:space="preserve"> </w:t>
      </w:r>
      <w:r w:rsidR="00B62D1D">
        <w:rPr>
          <w:rFonts w:ascii="Trebuchet MS" w:hAnsi="Trebuchet MS"/>
          <w:lang w:val="en-US"/>
        </w:rPr>
        <w:t>for</w:t>
      </w:r>
      <w:r w:rsidR="00FE50DE" w:rsidRPr="008233E6">
        <w:rPr>
          <w:rFonts w:ascii="Trebuchet MS" w:hAnsi="Trebuchet MS"/>
          <w:lang w:val="en-US"/>
        </w:rPr>
        <w:t xml:space="preserve"> children and gender equality. Important dossiers on their agenda comprise the revision of Regulation on Coordination of Social Security systems and </w:t>
      </w:r>
      <w:r w:rsidR="008233E6" w:rsidRPr="008233E6">
        <w:rPr>
          <w:rFonts w:ascii="Trebuchet MS" w:hAnsi="Trebuchet MS"/>
          <w:lang w:val="en-US"/>
        </w:rPr>
        <w:t xml:space="preserve">the implementation of the EPSR </w:t>
      </w:r>
      <w:r w:rsidR="008233E6">
        <w:rPr>
          <w:rFonts w:ascii="Trebuchet MS" w:hAnsi="Trebuchet MS"/>
          <w:lang w:val="en-US"/>
        </w:rPr>
        <w:t>in the</w:t>
      </w:r>
      <w:r w:rsidR="008233E6" w:rsidRPr="008233E6">
        <w:rPr>
          <w:rFonts w:ascii="Trebuchet MS" w:hAnsi="Trebuchet MS"/>
          <w:lang w:val="en-US"/>
        </w:rPr>
        <w:t xml:space="preserve"> European Semester </w:t>
      </w:r>
      <w:r w:rsidR="008233E6">
        <w:rPr>
          <w:rFonts w:ascii="Trebuchet MS" w:hAnsi="Trebuchet MS"/>
          <w:lang w:val="en-US"/>
        </w:rPr>
        <w:t xml:space="preserve">in </w:t>
      </w:r>
      <w:r w:rsidR="008233E6" w:rsidRPr="008233E6">
        <w:rPr>
          <w:rFonts w:ascii="Trebuchet MS" w:hAnsi="Trebuchet MS"/>
          <w:lang w:val="en-US"/>
        </w:rPr>
        <w:t>2022</w:t>
      </w:r>
      <w:r w:rsidR="008233E6">
        <w:rPr>
          <w:rFonts w:ascii="Trebuchet MS" w:hAnsi="Trebuchet MS"/>
          <w:lang w:val="en-US"/>
        </w:rPr>
        <w:t xml:space="preserve"> (</w:t>
      </w:r>
      <w:r w:rsidR="008233E6" w:rsidRPr="008233E6">
        <w:rPr>
          <w:rFonts w:ascii="Trebuchet MS" w:hAnsi="Trebuchet MS"/>
          <w:lang w:val="en-US"/>
        </w:rPr>
        <w:t>Exchange on the Slovenian Presidency – Social Platform</w:t>
      </w:r>
      <w:r w:rsidR="008233E6">
        <w:rPr>
          <w:rFonts w:ascii="Trebuchet MS" w:hAnsi="Trebuchet MS"/>
          <w:lang w:val="en-US"/>
        </w:rPr>
        <w:t xml:space="preserve">, </w:t>
      </w:r>
      <w:r w:rsidR="008233E6" w:rsidRPr="008233E6">
        <w:rPr>
          <w:rFonts w:ascii="Trebuchet MS" w:hAnsi="Trebuchet MS"/>
          <w:lang w:val="en-US"/>
        </w:rPr>
        <w:t>17 June</w:t>
      </w:r>
      <w:r w:rsidR="008233E6">
        <w:rPr>
          <w:rFonts w:ascii="Trebuchet MS" w:hAnsi="Trebuchet MS"/>
          <w:lang w:val="en-US"/>
        </w:rPr>
        <w:t xml:space="preserve"> 2021).</w:t>
      </w:r>
      <w:r w:rsidR="00C63346">
        <w:rPr>
          <w:rFonts w:ascii="Trebuchet MS" w:hAnsi="Trebuchet MS"/>
          <w:lang w:val="en-US"/>
        </w:rPr>
        <w:t xml:space="preserve"> The Slovenian Presidency is committed to fighting poverty and social exclusion of children and, to this end, </w:t>
      </w:r>
      <w:r w:rsidR="00885389">
        <w:rPr>
          <w:rFonts w:ascii="Trebuchet MS" w:hAnsi="Trebuchet MS"/>
          <w:lang w:val="en-US"/>
        </w:rPr>
        <w:t>it</w:t>
      </w:r>
      <w:r w:rsidR="00C63346">
        <w:rPr>
          <w:rFonts w:ascii="Trebuchet MS" w:hAnsi="Trebuchet MS"/>
          <w:lang w:val="en-US"/>
        </w:rPr>
        <w:t xml:space="preserve"> will encourage Member States to</w:t>
      </w:r>
      <w:r w:rsidR="0091344A">
        <w:rPr>
          <w:rFonts w:ascii="Trebuchet MS" w:hAnsi="Trebuchet MS"/>
          <w:lang w:val="en-US"/>
        </w:rPr>
        <w:t xml:space="preserve"> deliver</w:t>
      </w:r>
      <w:r w:rsidR="00C63346">
        <w:rPr>
          <w:rFonts w:ascii="Trebuchet MS" w:hAnsi="Trebuchet MS"/>
          <w:lang w:val="en-US"/>
        </w:rPr>
        <w:t xml:space="preserve"> ambitious national plans. </w:t>
      </w:r>
    </w:p>
    <w:p w14:paraId="21753B7E" w14:textId="5D5C06E5" w:rsidR="008233E6" w:rsidRDefault="00915786" w:rsidP="008233E6">
      <w:pPr>
        <w:pStyle w:val="ListParagraph"/>
        <w:numPr>
          <w:ilvl w:val="0"/>
          <w:numId w:val="13"/>
        </w:numPr>
        <w:spacing w:after="0"/>
        <w:jc w:val="both"/>
        <w:rPr>
          <w:rFonts w:ascii="Trebuchet MS" w:hAnsi="Trebuchet MS"/>
          <w:lang w:val="en-US"/>
        </w:rPr>
      </w:pPr>
      <w:r w:rsidRPr="00915786">
        <w:rPr>
          <w:rFonts w:ascii="Trebuchet MS" w:hAnsi="Trebuchet MS"/>
          <w:lang w:val="en-US"/>
        </w:rPr>
        <w:t xml:space="preserve">On </w:t>
      </w:r>
      <w:r>
        <w:rPr>
          <w:rFonts w:ascii="Trebuchet MS" w:hAnsi="Trebuchet MS"/>
          <w:lang w:val="en-US"/>
        </w:rPr>
        <w:t xml:space="preserve">June </w:t>
      </w:r>
      <w:r w:rsidRPr="00915786">
        <w:rPr>
          <w:rFonts w:ascii="Trebuchet MS" w:hAnsi="Trebuchet MS"/>
          <w:lang w:val="en-US"/>
        </w:rPr>
        <w:t>21</w:t>
      </w:r>
      <w:r>
        <w:rPr>
          <w:rFonts w:ascii="Trebuchet MS" w:hAnsi="Trebuchet MS"/>
          <w:lang w:val="en-US"/>
        </w:rPr>
        <w:t xml:space="preserve"> 2021,</w:t>
      </w:r>
      <w:r w:rsidRPr="00915786">
        <w:rPr>
          <w:rFonts w:ascii="Trebuchet MS" w:hAnsi="Trebuchet MS"/>
          <w:lang w:val="en-US"/>
        </w:rPr>
        <w:t xml:space="preserve"> EU institutions, civil society, and local and regional authorities</w:t>
      </w:r>
      <w:r>
        <w:rPr>
          <w:rFonts w:ascii="Trebuchet MS" w:hAnsi="Trebuchet MS"/>
          <w:lang w:val="en-US"/>
        </w:rPr>
        <w:t xml:space="preserve"> launched </w:t>
      </w:r>
      <w:r w:rsidRPr="00915786">
        <w:rPr>
          <w:rFonts w:ascii="Trebuchet MS" w:hAnsi="Trebuchet MS"/>
          <w:lang w:val="en-US"/>
        </w:rPr>
        <w:t xml:space="preserve">the </w:t>
      </w:r>
      <w:hyperlink r:id="rId11" w:history="1">
        <w:r w:rsidRPr="0013580F">
          <w:rPr>
            <w:rStyle w:val="Hyperlink"/>
            <w:rFonts w:ascii="Trebuchet MS" w:hAnsi="Trebuchet MS"/>
            <w:lang w:val="en-US"/>
          </w:rPr>
          <w:t>European Platform on Combatting Homelessness</w:t>
        </w:r>
      </w:hyperlink>
      <w:r w:rsidRPr="00915786">
        <w:rPr>
          <w:rFonts w:ascii="Trebuchet MS" w:hAnsi="Trebuchet MS"/>
          <w:lang w:val="en-US"/>
        </w:rPr>
        <w:t xml:space="preserve"> and sign</w:t>
      </w:r>
      <w:r>
        <w:rPr>
          <w:rFonts w:ascii="Trebuchet MS" w:hAnsi="Trebuchet MS"/>
          <w:lang w:val="en-US"/>
        </w:rPr>
        <w:t>ed</w:t>
      </w:r>
      <w:r w:rsidRPr="00915786">
        <w:rPr>
          <w:rFonts w:ascii="Trebuchet MS" w:hAnsi="Trebuchet MS"/>
          <w:lang w:val="en-US"/>
        </w:rPr>
        <w:t xml:space="preserve"> a joint declaration to commit to ending homelessness by 2030</w:t>
      </w:r>
      <w:r>
        <w:rPr>
          <w:rFonts w:ascii="Trebuchet MS" w:hAnsi="Trebuchet MS"/>
          <w:lang w:val="en-US"/>
        </w:rPr>
        <w:t xml:space="preserve">. The Chair of the EMPL Committee (European Parliament), Ms </w:t>
      </w:r>
      <w:proofErr w:type="spellStart"/>
      <w:r>
        <w:rPr>
          <w:rFonts w:ascii="Trebuchet MS" w:hAnsi="Trebuchet MS"/>
          <w:lang w:val="en-US"/>
        </w:rPr>
        <w:t>Nicholsonova</w:t>
      </w:r>
      <w:proofErr w:type="spellEnd"/>
      <w:r>
        <w:rPr>
          <w:rFonts w:ascii="Trebuchet MS" w:hAnsi="Trebuchet MS"/>
          <w:lang w:val="en-US"/>
        </w:rPr>
        <w:t xml:space="preserve">, pointed out that the EP is calling on Member States to integrate housing solutions addressing children homelessness into their Action Plan for the Child Guarantee. </w:t>
      </w:r>
      <w:r w:rsidR="00CB63EE">
        <w:rPr>
          <w:rFonts w:ascii="Trebuchet MS" w:hAnsi="Trebuchet MS"/>
          <w:lang w:val="en-US"/>
        </w:rPr>
        <w:t xml:space="preserve">She also </w:t>
      </w:r>
      <w:r w:rsidR="000272CA">
        <w:rPr>
          <w:rFonts w:ascii="Trebuchet MS" w:hAnsi="Trebuchet MS"/>
          <w:lang w:val="en-US"/>
        </w:rPr>
        <w:t>highlighted</w:t>
      </w:r>
      <w:r w:rsidR="00CB63EE">
        <w:rPr>
          <w:rFonts w:ascii="Trebuchet MS" w:hAnsi="Trebuchet MS"/>
          <w:lang w:val="en-US"/>
        </w:rPr>
        <w:t xml:space="preserve"> the importance of dialogue and mutual learning from NGOs on reliable data collection on homelessness and coherent indicators. She urged the maintenance of the exceptional measures adopted during Covid crisis, in support of vulnerable dwellers, such as moratoria on eviction and energy supply disconnection. She believes that the </w:t>
      </w:r>
      <w:hyperlink r:id="rId12" w:history="1">
        <w:r w:rsidR="00CB63EE" w:rsidRPr="00CB63EE">
          <w:rPr>
            <w:rStyle w:val="Hyperlink"/>
            <w:rFonts w:ascii="Trebuchet MS" w:hAnsi="Trebuchet MS"/>
            <w:lang w:val="en-US"/>
          </w:rPr>
          <w:t>Housing First program</w:t>
        </w:r>
      </w:hyperlink>
      <w:r w:rsidR="00CB63EE">
        <w:rPr>
          <w:rFonts w:ascii="Trebuchet MS" w:hAnsi="Trebuchet MS"/>
          <w:lang w:val="en-US"/>
        </w:rPr>
        <w:t xml:space="preserve"> should be part of the long-term solution to address homelessness.</w:t>
      </w:r>
    </w:p>
    <w:p w14:paraId="2D11375F" w14:textId="07B87FB1" w:rsidR="00980820" w:rsidRDefault="00E341C8" w:rsidP="00715154">
      <w:pPr>
        <w:pStyle w:val="ListParagraph"/>
        <w:numPr>
          <w:ilvl w:val="0"/>
          <w:numId w:val="13"/>
        </w:numPr>
        <w:spacing w:after="0"/>
        <w:jc w:val="both"/>
        <w:rPr>
          <w:rFonts w:ascii="Trebuchet MS" w:hAnsi="Trebuchet MS"/>
          <w:lang w:val="en-US"/>
        </w:rPr>
      </w:pPr>
      <w:r>
        <w:rPr>
          <w:rFonts w:ascii="Trebuchet MS" w:hAnsi="Trebuchet MS"/>
          <w:lang w:val="en-US"/>
        </w:rPr>
        <w:t>T</w:t>
      </w:r>
      <w:r w:rsidRPr="00E341C8">
        <w:rPr>
          <w:rFonts w:ascii="Trebuchet MS" w:hAnsi="Trebuchet MS"/>
          <w:lang w:val="en-US"/>
        </w:rPr>
        <w:t>he Affordable Housing Initiative piloting 100 renovation</w:t>
      </w:r>
      <w:r>
        <w:rPr>
          <w:rFonts w:ascii="Trebuchet MS" w:hAnsi="Trebuchet MS"/>
          <w:lang w:val="en-US"/>
        </w:rPr>
        <w:t xml:space="preserve"> </w:t>
      </w:r>
      <w:r w:rsidRPr="00E341C8">
        <w:rPr>
          <w:rFonts w:ascii="Trebuchet MS" w:hAnsi="Trebuchet MS"/>
          <w:lang w:val="en-US"/>
        </w:rPr>
        <w:t>districts</w:t>
      </w:r>
      <w:r>
        <w:rPr>
          <w:rFonts w:ascii="Trebuchet MS" w:hAnsi="Trebuchet MS"/>
          <w:lang w:val="en-US"/>
        </w:rPr>
        <w:t xml:space="preserve"> </w:t>
      </w:r>
      <w:r w:rsidR="00346AF9">
        <w:rPr>
          <w:rFonts w:ascii="Trebuchet MS" w:hAnsi="Trebuchet MS"/>
          <w:lang w:val="en-US"/>
        </w:rPr>
        <w:t>is</w:t>
      </w:r>
      <w:r>
        <w:rPr>
          <w:rFonts w:ascii="Trebuchet MS" w:hAnsi="Trebuchet MS"/>
          <w:lang w:val="en-US"/>
        </w:rPr>
        <w:t xml:space="preserve"> launched </w:t>
      </w:r>
      <w:r w:rsidR="00346AF9">
        <w:rPr>
          <w:rFonts w:ascii="Trebuchet MS" w:hAnsi="Trebuchet MS"/>
          <w:lang w:val="en-US"/>
        </w:rPr>
        <w:t xml:space="preserve">in Q2 of 2021. </w:t>
      </w:r>
      <w:r w:rsidR="00346AF9" w:rsidRPr="00346AF9">
        <w:rPr>
          <w:rFonts w:ascii="Trebuchet MS" w:hAnsi="Trebuchet MS"/>
          <w:lang w:val="en-US"/>
        </w:rPr>
        <w:t>Given that buildings make up 40% of the EU´s energy consumption and cause 36% of greenhouse gas emissions, renovations are central to creating carbon neutral cities.</w:t>
      </w:r>
      <w:r w:rsidR="00346AF9">
        <w:rPr>
          <w:rFonts w:ascii="Trebuchet MS" w:hAnsi="Trebuchet MS"/>
          <w:lang w:val="en-US"/>
        </w:rPr>
        <w:t xml:space="preserve"> The </w:t>
      </w:r>
      <w:r w:rsidR="006B49F4">
        <w:rPr>
          <w:rFonts w:ascii="Trebuchet MS" w:hAnsi="Trebuchet MS"/>
          <w:lang w:val="en-US"/>
        </w:rPr>
        <w:t>outputs</w:t>
      </w:r>
      <w:r w:rsidR="00346AF9">
        <w:rPr>
          <w:rFonts w:ascii="Trebuchet MS" w:hAnsi="Trebuchet MS"/>
          <w:lang w:val="en-US"/>
        </w:rPr>
        <w:t xml:space="preserve"> of the Affordable Housing Initiative, the </w:t>
      </w:r>
      <w:hyperlink r:id="rId13" w:history="1">
        <w:r w:rsidR="00FA53B6">
          <w:rPr>
            <w:rStyle w:val="Hyperlink"/>
            <w:rFonts w:ascii="Trebuchet MS" w:hAnsi="Trebuchet MS"/>
            <w:lang w:val="en-US"/>
          </w:rPr>
          <w:t>R</w:t>
        </w:r>
        <w:r w:rsidR="00346AF9" w:rsidRPr="00346AF9">
          <w:rPr>
            <w:rStyle w:val="Hyperlink"/>
            <w:rFonts w:ascii="Trebuchet MS" w:hAnsi="Trebuchet MS"/>
            <w:lang w:val="en-US"/>
          </w:rPr>
          <w:t xml:space="preserve">enovation </w:t>
        </w:r>
        <w:r w:rsidR="00FA53B6">
          <w:rPr>
            <w:rStyle w:val="Hyperlink"/>
            <w:rFonts w:ascii="Trebuchet MS" w:hAnsi="Trebuchet MS"/>
            <w:lang w:val="en-US"/>
          </w:rPr>
          <w:t>W</w:t>
        </w:r>
        <w:r w:rsidR="00346AF9" w:rsidRPr="00346AF9">
          <w:rPr>
            <w:rStyle w:val="Hyperlink"/>
            <w:rFonts w:ascii="Trebuchet MS" w:hAnsi="Trebuchet MS"/>
            <w:lang w:val="en-US"/>
          </w:rPr>
          <w:t>ave</w:t>
        </w:r>
      </w:hyperlink>
      <w:r w:rsidR="00346AF9">
        <w:rPr>
          <w:rFonts w:ascii="Trebuchet MS" w:hAnsi="Trebuchet MS"/>
          <w:lang w:val="en-US"/>
        </w:rPr>
        <w:t xml:space="preserve"> and the framework of the </w:t>
      </w:r>
      <w:hyperlink r:id="rId14" w:history="1">
        <w:r w:rsidR="00346AF9" w:rsidRPr="00346AF9">
          <w:rPr>
            <w:rStyle w:val="Hyperlink"/>
            <w:rFonts w:ascii="Trebuchet MS" w:hAnsi="Trebuchet MS"/>
            <w:lang w:val="en-US"/>
          </w:rPr>
          <w:t>Energy performance of buildings directive</w:t>
        </w:r>
      </w:hyperlink>
      <w:r w:rsidR="00346AF9">
        <w:rPr>
          <w:rFonts w:ascii="Trebuchet MS" w:hAnsi="Trebuchet MS"/>
          <w:lang w:val="en-US"/>
        </w:rPr>
        <w:t xml:space="preserve"> could be an added value for social housing and their energy supplies too if the ecological transition and energy efficiency go hand in hand with </w:t>
      </w:r>
      <w:r w:rsidR="00B617F6">
        <w:rPr>
          <w:rFonts w:ascii="Trebuchet MS" w:hAnsi="Trebuchet MS"/>
          <w:lang w:val="en-US"/>
        </w:rPr>
        <w:t xml:space="preserve">a </w:t>
      </w:r>
      <w:r w:rsidR="00346AF9">
        <w:rPr>
          <w:rFonts w:ascii="Trebuchet MS" w:hAnsi="Trebuchet MS"/>
          <w:lang w:val="en-US"/>
        </w:rPr>
        <w:t>social Europe agenda.</w:t>
      </w:r>
      <w:r w:rsidR="00715154">
        <w:rPr>
          <w:rFonts w:ascii="Trebuchet MS" w:hAnsi="Trebuchet MS"/>
          <w:lang w:val="en-US"/>
        </w:rPr>
        <w:t xml:space="preserve"> </w:t>
      </w:r>
      <w:r w:rsidR="00980820">
        <w:rPr>
          <w:rFonts w:ascii="Trebuchet MS" w:hAnsi="Trebuchet MS"/>
          <w:lang w:val="en-US"/>
        </w:rPr>
        <w:t xml:space="preserve">Expected outcomes include the mobilization of cross-sectoral partnerships at local level to develop, adapt, design new processes and technologies applied to renovation of social and affordable housing. </w:t>
      </w:r>
    </w:p>
    <w:p w14:paraId="6A27C36D" w14:textId="3EBB2898" w:rsidR="00B617F6" w:rsidRDefault="00B617F6" w:rsidP="00980820">
      <w:pPr>
        <w:pStyle w:val="ListParagraph"/>
        <w:spacing w:after="0"/>
        <w:ind w:left="717"/>
        <w:jc w:val="both"/>
        <w:rPr>
          <w:rFonts w:ascii="Trebuchet MS" w:hAnsi="Trebuchet MS"/>
          <w:lang w:val="en-US"/>
        </w:rPr>
      </w:pPr>
      <w:r>
        <w:rPr>
          <w:rFonts w:ascii="Trebuchet MS" w:hAnsi="Trebuchet MS"/>
          <w:lang w:val="en-US"/>
        </w:rPr>
        <w:t>In June, Frans Timmermans</w:t>
      </w:r>
      <w:r w:rsidR="00AC3703">
        <w:rPr>
          <w:rFonts w:ascii="Trebuchet MS" w:hAnsi="Trebuchet MS"/>
          <w:lang w:val="en-US"/>
        </w:rPr>
        <w:t xml:space="preserve">, </w:t>
      </w:r>
      <w:r>
        <w:rPr>
          <w:rFonts w:ascii="Trebuchet MS" w:hAnsi="Trebuchet MS"/>
          <w:lang w:val="en-US"/>
        </w:rPr>
        <w:t xml:space="preserve"> </w:t>
      </w:r>
      <w:r w:rsidR="00AC3703" w:rsidRPr="00AC3703">
        <w:rPr>
          <w:rFonts w:ascii="Trebuchet MS" w:hAnsi="Trebuchet MS"/>
          <w:lang w:val="en-US"/>
        </w:rPr>
        <w:t>European Commission Executive Vice-President for the European Green Deal</w:t>
      </w:r>
      <w:r w:rsidR="00AC3703">
        <w:rPr>
          <w:rFonts w:ascii="Trebuchet MS" w:hAnsi="Trebuchet MS"/>
          <w:lang w:val="en-US"/>
        </w:rPr>
        <w:t xml:space="preserve">, </w:t>
      </w:r>
      <w:r>
        <w:rPr>
          <w:rFonts w:ascii="Trebuchet MS" w:hAnsi="Trebuchet MS"/>
          <w:lang w:val="en-US"/>
        </w:rPr>
        <w:t xml:space="preserve">announced the launch of a </w:t>
      </w:r>
      <w:hyperlink r:id="rId15" w:history="1">
        <w:r w:rsidRPr="00B617F6">
          <w:rPr>
            <w:rStyle w:val="Hyperlink"/>
            <w:rFonts w:ascii="Trebuchet MS" w:hAnsi="Trebuchet MS"/>
            <w:lang w:val="en-US"/>
          </w:rPr>
          <w:t>Climate Action Social Fund</w:t>
        </w:r>
      </w:hyperlink>
      <w:r>
        <w:rPr>
          <w:rFonts w:ascii="Trebuchet MS" w:hAnsi="Trebuchet MS"/>
          <w:lang w:val="en-US"/>
        </w:rPr>
        <w:t xml:space="preserve"> aimed at achieving an inclusive Green Deal. </w:t>
      </w:r>
      <w:r w:rsidR="00B83A23">
        <w:rPr>
          <w:rFonts w:ascii="Trebuchet MS" w:hAnsi="Trebuchet MS"/>
          <w:lang w:val="en-US"/>
        </w:rPr>
        <w:t>This is meant to be</w:t>
      </w:r>
      <w:r w:rsidR="00B83A23" w:rsidRPr="00B83A23">
        <w:rPr>
          <w:rFonts w:ascii="Trebuchet MS" w:hAnsi="Trebuchet MS"/>
          <w:lang w:val="en-US"/>
        </w:rPr>
        <w:t xml:space="preserve"> a social mechanism</w:t>
      </w:r>
      <w:r w:rsidR="00B83A23">
        <w:rPr>
          <w:rFonts w:ascii="Trebuchet MS" w:hAnsi="Trebuchet MS"/>
          <w:lang w:val="en-US"/>
        </w:rPr>
        <w:t xml:space="preserve"> to </w:t>
      </w:r>
      <w:r w:rsidR="00B83A23" w:rsidRPr="00B83A23">
        <w:rPr>
          <w:rFonts w:ascii="Trebuchet MS" w:hAnsi="Trebuchet MS"/>
          <w:lang w:val="en-US"/>
        </w:rPr>
        <w:t>compensate for any possible adverse effects</w:t>
      </w:r>
      <w:r w:rsidR="00B83A23">
        <w:rPr>
          <w:rFonts w:ascii="Trebuchet MS" w:hAnsi="Trebuchet MS"/>
          <w:lang w:val="en-US"/>
        </w:rPr>
        <w:t xml:space="preserve"> of rising carbon pricing</w:t>
      </w:r>
      <w:r w:rsidR="00B83A23" w:rsidRPr="00B83A23">
        <w:rPr>
          <w:rFonts w:ascii="Trebuchet MS" w:hAnsi="Trebuchet MS"/>
          <w:lang w:val="en-US"/>
        </w:rPr>
        <w:t>, especially for most vulnerable citizens</w:t>
      </w:r>
      <w:r w:rsidR="00B83A23">
        <w:rPr>
          <w:rFonts w:ascii="Trebuchet MS" w:hAnsi="Trebuchet MS"/>
          <w:lang w:val="en-US"/>
        </w:rPr>
        <w:t xml:space="preserve">. </w:t>
      </w:r>
    </w:p>
    <w:p w14:paraId="23DA6853" w14:textId="70B584D6" w:rsidR="00915786" w:rsidRDefault="000D3224" w:rsidP="00B617F6">
      <w:pPr>
        <w:pStyle w:val="ListParagraph"/>
        <w:spacing w:after="0"/>
        <w:ind w:left="717"/>
        <w:jc w:val="both"/>
        <w:rPr>
          <w:rFonts w:ascii="Trebuchet MS" w:hAnsi="Trebuchet MS"/>
          <w:lang w:val="en-US"/>
        </w:rPr>
      </w:pPr>
      <w:r w:rsidRPr="000D3224">
        <w:rPr>
          <w:rFonts w:ascii="Trebuchet MS" w:hAnsi="Trebuchet MS"/>
          <w:lang w:val="en-US"/>
        </w:rPr>
        <w:t xml:space="preserve">It is essential that the EU and the Member States provide targeted low-income renovation </w:t>
      </w:r>
      <w:r w:rsidR="00894482">
        <w:rPr>
          <w:rFonts w:ascii="Trebuchet MS" w:hAnsi="Trebuchet MS"/>
          <w:lang w:val="en-US"/>
        </w:rPr>
        <w:t xml:space="preserve">and decarbonization </w:t>
      </w:r>
      <w:r w:rsidRPr="000D3224">
        <w:rPr>
          <w:rFonts w:ascii="Trebuchet MS" w:hAnsi="Trebuchet MS"/>
          <w:lang w:val="en-US"/>
        </w:rPr>
        <w:t>program</w:t>
      </w:r>
      <w:r>
        <w:rPr>
          <w:rFonts w:ascii="Trebuchet MS" w:hAnsi="Trebuchet MS"/>
          <w:lang w:val="en-US"/>
        </w:rPr>
        <w:t>s</w:t>
      </w:r>
      <w:r w:rsidR="001130CC">
        <w:rPr>
          <w:rFonts w:ascii="Trebuchet MS" w:hAnsi="Trebuchet MS"/>
          <w:lang w:val="en-US"/>
        </w:rPr>
        <w:t xml:space="preserve"> and that </w:t>
      </w:r>
      <w:r w:rsidR="001130CC" w:rsidRPr="001130CC">
        <w:rPr>
          <w:rFonts w:ascii="Trebuchet MS" w:hAnsi="Trebuchet MS"/>
          <w:lang w:val="en-US"/>
        </w:rPr>
        <w:t>minimum performance standards</w:t>
      </w:r>
      <w:r w:rsidR="001130CC">
        <w:rPr>
          <w:rFonts w:ascii="Trebuchet MS" w:hAnsi="Trebuchet MS"/>
          <w:lang w:val="en-US"/>
        </w:rPr>
        <w:t xml:space="preserve"> may be designed to address social housing issues</w:t>
      </w:r>
      <w:r w:rsidRPr="000D3224">
        <w:rPr>
          <w:rFonts w:ascii="Trebuchet MS" w:hAnsi="Trebuchet MS"/>
          <w:lang w:val="en-US"/>
        </w:rPr>
        <w:t>.</w:t>
      </w:r>
      <w:r>
        <w:rPr>
          <w:rFonts w:ascii="Trebuchet MS" w:hAnsi="Trebuchet MS"/>
          <w:lang w:val="en-US"/>
        </w:rPr>
        <w:t xml:space="preserve"> </w:t>
      </w:r>
      <w:r w:rsidR="00715154">
        <w:rPr>
          <w:rFonts w:ascii="Trebuchet MS" w:hAnsi="Trebuchet MS"/>
          <w:lang w:val="en-US"/>
        </w:rPr>
        <w:t xml:space="preserve">In this context, EAPN advocate for </w:t>
      </w:r>
      <w:r w:rsidR="00715154" w:rsidRPr="00715154">
        <w:rPr>
          <w:rFonts w:ascii="Trebuchet MS" w:hAnsi="Trebuchet MS"/>
          <w:lang w:val="en-US"/>
        </w:rPr>
        <w:t>the environmental and social aspects of the European Green Deal</w:t>
      </w:r>
      <w:r w:rsidR="00715154">
        <w:rPr>
          <w:rStyle w:val="FootnoteReference"/>
          <w:rFonts w:ascii="Trebuchet MS" w:hAnsi="Trebuchet MS"/>
          <w:lang w:val="en-US"/>
        </w:rPr>
        <w:footnoteReference w:id="15"/>
      </w:r>
      <w:r w:rsidR="00715154">
        <w:rPr>
          <w:rFonts w:ascii="Trebuchet MS" w:hAnsi="Trebuchet MS"/>
          <w:lang w:val="en-US"/>
        </w:rPr>
        <w:t xml:space="preserve"> - a</w:t>
      </w:r>
      <w:r w:rsidR="00715154" w:rsidRPr="00715154">
        <w:rPr>
          <w:rFonts w:ascii="Trebuchet MS" w:hAnsi="Trebuchet MS"/>
          <w:lang w:val="en-US"/>
        </w:rPr>
        <w:t xml:space="preserve"> Just Transition, will not be just, if the poor pay for it</w:t>
      </w:r>
      <w:r w:rsidR="00715154">
        <w:rPr>
          <w:rFonts w:ascii="Trebuchet MS" w:hAnsi="Trebuchet MS"/>
          <w:lang w:val="en-US"/>
        </w:rPr>
        <w:t>; a</w:t>
      </w:r>
      <w:r w:rsidR="00715154" w:rsidRPr="00715154">
        <w:rPr>
          <w:rFonts w:ascii="Trebuchet MS" w:hAnsi="Trebuchet MS"/>
          <w:lang w:val="en-US"/>
        </w:rPr>
        <w:t xml:space="preserve"> European Green Deal must be a European Social Deal</w:t>
      </w:r>
      <w:r w:rsidR="00715154">
        <w:rPr>
          <w:rFonts w:ascii="Trebuchet MS" w:hAnsi="Trebuchet MS"/>
          <w:lang w:val="en-US"/>
        </w:rPr>
        <w:t>.</w:t>
      </w:r>
      <w:r w:rsidR="007C1A20">
        <w:rPr>
          <w:rFonts w:ascii="Trebuchet MS" w:hAnsi="Trebuchet MS"/>
          <w:lang w:val="en-US"/>
        </w:rPr>
        <w:t xml:space="preserve"> </w:t>
      </w:r>
      <w:r w:rsidR="00B617F6">
        <w:rPr>
          <w:rFonts w:ascii="Trebuchet MS" w:hAnsi="Trebuchet MS"/>
          <w:lang w:val="en-US"/>
        </w:rPr>
        <w:t>In the framework of accessing quality housing services, affordability is an increasingly important obstacle in Europe.</w:t>
      </w:r>
    </w:p>
    <w:p w14:paraId="753C2F1E" w14:textId="1770E912" w:rsidR="00FA53B6" w:rsidRPr="00AF2E4D" w:rsidRDefault="00C6741C" w:rsidP="00AF2E4D">
      <w:pPr>
        <w:pStyle w:val="ListParagraph"/>
        <w:numPr>
          <w:ilvl w:val="0"/>
          <w:numId w:val="13"/>
        </w:numPr>
        <w:spacing w:after="0"/>
        <w:jc w:val="both"/>
        <w:rPr>
          <w:rFonts w:ascii="Trebuchet MS" w:hAnsi="Trebuchet MS"/>
          <w:lang w:val="en-US"/>
        </w:rPr>
      </w:pPr>
      <w:r>
        <w:rPr>
          <w:rFonts w:ascii="Trebuchet MS" w:hAnsi="Trebuchet MS"/>
          <w:lang w:val="en-US"/>
        </w:rPr>
        <w:t xml:space="preserve">Energy poverty, particularly the </w:t>
      </w:r>
      <w:r w:rsidRPr="00C6741C">
        <w:rPr>
          <w:rFonts w:ascii="Trebuchet MS" w:hAnsi="Trebuchet MS"/>
          <w:lang w:val="en-US"/>
        </w:rPr>
        <w:t>distributional effects of the energy transition</w:t>
      </w:r>
      <w:r w:rsidR="00FA2F9A">
        <w:rPr>
          <w:rFonts w:ascii="Trebuchet MS" w:hAnsi="Trebuchet MS"/>
          <w:lang w:val="en-US"/>
        </w:rPr>
        <w:t xml:space="preserve"> and </w:t>
      </w:r>
      <w:r w:rsidR="00FA2F9A" w:rsidRPr="00FA2F9A">
        <w:rPr>
          <w:rFonts w:ascii="Trebuchet MS" w:hAnsi="Trebuchet MS"/>
          <w:lang w:val="en-US"/>
        </w:rPr>
        <w:t>measures</w:t>
      </w:r>
      <w:r w:rsidR="00FA2F9A">
        <w:rPr>
          <w:rFonts w:ascii="Trebuchet MS" w:hAnsi="Trebuchet MS"/>
          <w:lang w:val="en-US"/>
        </w:rPr>
        <w:t xml:space="preserve"> </w:t>
      </w:r>
      <w:r w:rsidR="00FA2F9A" w:rsidRPr="00FA2F9A">
        <w:rPr>
          <w:rFonts w:ascii="Trebuchet MS" w:hAnsi="Trebuchet MS"/>
          <w:lang w:val="en-US"/>
        </w:rPr>
        <w:t>targeting vulnerable groups</w:t>
      </w:r>
      <w:r w:rsidRPr="00FA2F9A">
        <w:rPr>
          <w:rFonts w:ascii="Trebuchet MS" w:hAnsi="Trebuchet MS"/>
          <w:lang w:val="en-US"/>
        </w:rPr>
        <w:t xml:space="preserve">, was listed as one of the key priorities in the recent </w:t>
      </w:r>
      <w:hyperlink r:id="rId16" w:history="1">
        <w:r w:rsidRPr="00FA2F9A">
          <w:rPr>
            <w:rStyle w:val="Hyperlink"/>
            <w:rFonts w:ascii="Trebuchet MS" w:hAnsi="Trebuchet MS"/>
            <w:lang w:val="en-US"/>
          </w:rPr>
          <w:t>Recommendation on Energy Poverty</w:t>
        </w:r>
      </w:hyperlink>
      <w:r w:rsidRPr="00FA2F9A">
        <w:rPr>
          <w:rFonts w:ascii="Trebuchet MS" w:hAnsi="Trebuchet MS"/>
          <w:lang w:val="en-US"/>
        </w:rPr>
        <w:t xml:space="preserve">. </w:t>
      </w:r>
      <w:r w:rsidR="00FA53B6" w:rsidRPr="00FA53B6">
        <w:rPr>
          <w:rFonts w:ascii="Trebuchet MS" w:hAnsi="Trebuchet MS"/>
          <w:lang w:val="en-US"/>
        </w:rPr>
        <w:t xml:space="preserve">Due attention should be paid to barriers </w:t>
      </w:r>
      <w:r w:rsidR="00FA53B6" w:rsidRPr="00FA53B6">
        <w:rPr>
          <w:rFonts w:ascii="Trebuchet MS" w:hAnsi="Trebuchet MS"/>
          <w:lang w:val="en-US"/>
        </w:rPr>
        <w:lastRenderedPageBreak/>
        <w:t>to investment in energy-efficient housing and the measurement of energy poor households, in the context of national long-term renovation strategies.</w:t>
      </w:r>
      <w:r w:rsidR="00FA53B6">
        <w:rPr>
          <w:rFonts w:ascii="Trebuchet MS" w:hAnsi="Trebuchet MS"/>
          <w:lang w:val="en-US"/>
        </w:rPr>
        <w:t xml:space="preserve"> </w:t>
      </w:r>
      <w:r w:rsidR="00BB4293">
        <w:rPr>
          <w:rFonts w:ascii="Trebuchet MS" w:hAnsi="Trebuchet MS"/>
          <w:lang w:val="en-US"/>
        </w:rPr>
        <w:t>Furthermore, the lack of a common definition of energy poverty and related indicators hinders the understanding of energy poverty from a multidimensional and integrated perspective at EU, national and local level</w:t>
      </w:r>
      <w:r w:rsidR="00AF2E4D">
        <w:rPr>
          <w:rFonts w:ascii="Trebuchet MS" w:hAnsi="Trebuchet MS"/>
          <w:lang w:val="en-US"/>
        </w:rPr>
        <w:t xml:space="preserve">. </w:t>
      </w:r>
      <w:r w:rsidR="00BB4293" w:rsidRPr="00AF2E4D">
        <w:rPr>
          <w:rFonts w:ascii="Trebuchet MS" w:hAnsi="Trebuchet MS"/>
          <w:lang w:val="en-US"/>
        </w:rPr>
        <w:t xml:space="preserve">EAPN believes that renovation programs should target and subsidize social housing, low-income tenants and </w:t>
      </w:r>
      <w:r w:rsidR="006B49F4">
        <w:rPr>
          <w:rFonts w:ascii="Trebuchet MS" w:hAnsi="Trebuchet MS"/>
          <w:lang w:val="en-US"/>
        </w:rPr>
        <w:t>landlords</w:t>
      </w:r>
      <w:r w:rsidR="00BB4293" w:rsidRPr="00AF2E4D">
        <w:rPr>
          <w:rFonts w:ascii="Trebuchet MS" w:hAnsi="Trebuchet MS"/>
          <w:lang w:val="en-US"/>
        </w:rPr>
        <w:t xml:space="preserve"> and avoid higher housing and energy costs</w:t>
      </w:r>
      <w:r w:rsidR="00AF2E4D">
        <w:rPr>
          <w:rFonts w:ascii="Trebuchet MS" w:hAnsi="Trebuchet MS"/>
          <w:lang w:val="en-US"/>
        </w:rPr>
        <w:t xml:space="preserve"> to </w:t>
      </w:r>
      <w:r w:rsidR="00AF2E4D" w:rsidRPr="00AF2E4D">
        <w:rPr>
          <w:rFonts w:ascii="Trebuchet MS" w:hAnsi="Trebuchet MS"/>
          <w:lang w:val="en-US"/>
        </w:rPr>
        <w:t>deliver decent and affordable housing for all</w:t>
      </w:r>
      <w:r w:rsidR="00AF2E4D">
        <w:rPr>
          <w:rFonts w:ascii="Trebuchet MS" w:hAnsi="Trebuchet MS"/>
          <w:lang w:val="en-US"/>
        </w:rPr>
        <w:t>.</w:t>
      </w:r>
    </w:p>
    <w:p w14:paraId="1390EB94" w14:textId="6BF1124C" w:rsidR="00385C1F" w:rsidRDefault="00882547" w:rsidP="00FA2F9A">
      <w:pPr>
        <w:pStyle w:val="ListParagraph"/>
        <w:numPr>
          <w:ilvl w:val="0"/>
          <w:numId w:val="13"/>
        </w:numPr>
        <w:spacing w:after="0"/>
        <w:jc w:val="both"/>
        <w:rPr>
          <w:rFonts w:ascii="Trebuchet MS" w:hAnsi="Trebuchet MS"/>
          <w:lang w:val="en-US"/>
        </w:rPr>
      </w:pPr>
      <w:r w:rsidRPr="00882547">
        <w:rPr>
          <w:rFonts w:ascii="Trebuchet MS" w:hAnsi="Trebuchet MS"/>
          <w:lang w:val="en-US"/>
        </w:rPr>
        <w:t>On July 14, the European Commission will present the “Fit for 55” legislative package, aiming at updating the European 2030 climate and energy laws, in</w:t>
      </w:r>
      <w:r>
        <w:rPr>
          <w:rFonts w:ascii="Trebuchet MS" w:hAnsi="Trebuchet MS"/>
          <w:lang w:val="en-US"/>
        </w:rPr>
        <w:t xml:space="preserve"> the</w:t>
      </w:r>
      <w:r w:rsidRPr="00882547">
        <w:rPr>
          <w:rFonts w:ascii="Trebuchet MS" w:hAnsi="Trebuchet MS"/>
          <w:lang w:val="en-US"/>
        </w:rPr>
        <w:t xml:space="preserve"> light of the 55% net emission target for 2030. </w:t>
      </w:r>
      <w:r w:rsidR="00CF00F8" w:rsidRPr="00CF00F8">
        <w:rPr>
          <w:rFonts w:ascii="Trebuchet MS" w:hAnsi="Trebuchet MS"/>
          <w:lang w:val="en-US"/>
        </w:rPr>
        <w:t xml:space="preserve">Unambitious targets </w:t>
      </w:r>
      <w:r w:rsidR="00CF00F8">
        <w:rPr>
          <w:rFonts w:ascii="Trebuchet MS" w:hAnsi="Trebuchet MS"/>
          <w:lang w:val="en-US"/>
        </w:rPr>
        <w:t>for the “Fit for 55”</w:t>
      </w:r>
      <w:r w:rsidR="00CF00F8" w:rsidRPr="00CF00F8">
        <w:rPr>
          <w:rFonts w:ascii="Trebuchet MS" w:hAnsi="Trebuchet MS"/>
          <w:lang w:val="en-US"/>
        </w:rPr>
        <w:t xml:space="preserve"> </w:t>
      </w:r>
      <w:r w:rsidR="00CF00F8">
        <w:rPr>
          <w:rFonts w:ascii="Trebuchet MS" w:hAnsi="Trebuchet MS"/>
          <w:lang w:val="en-US"/>
        </w:rPr>
        <w:t xml:space="preserve">would </w:t>
      </w:r>
      <w:r w:rsidR="00CF00F8" w:rsidRPr="00CF00F8">
        <w:rPr>
          <w:rFonts w:ascii="Trebuchet MS" w:hAnsi="Trebuchet MS"/>
          <w:lang w:val="en-US"/>
        </w:rPr>
        <w:t>leave energy poor households on the frontlines of climate change in unfit housing and precarious energy security</w:t>
      </w:r>
      <w:r w:rsidR="00CF00F8">
        <w:rPr>
          <w:rStyle w:val="FootnoteReference"/>
          <w:rFonts w:ascii="Trebuchet MS" w:hAnsi="Trebuchet MS"/>
          <w:lang w:val="en-US"/>
        </w:rPr>
        <w:footnoteReference w:id="16"/>
      </w:r>
      <w:r w:rsidR="00CF00F8" w:rsidRPr="00CF00F8">
        <w:rPr>
          <w:rFonts w:ascii="Trebuchet MS" w:hAnsi="Trebuchet MS"/>
          <w:lang w:val="en-US"/>
        </w:rPr>
        <w:t>.</w:t>
      </w:r>
    </w:p>
    <w:p w14:paraId="197ADF73" w14:textId="4C385B99" w:rsidR="00882547" w:rsidRDefault="00882547" w:rsidP="00385C1F">
      <w:pPr>
        <w:pStyle w:val="ListParagraph"/>
        <w:spacing w:after="0"/>
        <w:ind w:left="717"/>
        <w:jc w:val="both"/>
        <w:rPr>
          <w:rFonts w:ascii="Trebuchet MS" w:hAnsi="Trebuchet MS"/>
          <w:lang w:val="en-US"/>
        </w:rPr>
      </w:pPr>
      <w:r>
        <w:rPr>
          <w:rFonts w:ascii="Trebuchet MS" w:hAnsi="Trebuchet MS"/>
          <w:lang w:val="en-US"/>
        </w:rPr>
        <w:t xml:space="preserve">A </w:t>
      </w:r>
      <w:r w:rsidRPr="00882547">
        <w:rPr>
          <w:rFonts w:ascii="Trebuchet MS" w:hAnsi="Trebuchet MS"/>
          <w:lang w:val="en-US"/>
        </w:rPr>
        <w:t xml:space="preserve">potential source of concerns </w:t>
      </w:r>
      <w:r>
        <w:rPr>
          <w:rFonts w:ascii="Trebuchet MS" w:hAnsi="Trebuchet MS"/>
          <w:lang w:val="en-US"/>
        </w:rPr>
        <w:t xml:space="preserve">regards the proposal for the </w:t>
      </w:r>
      <w:r w:rsidRPr="00882547">
        <w:rPr>
          <w:rFonts w:ascii="Trebuchet MS" w:hAnsi="Trebuchet MS"/>
          <w:lang w:val="en-US"/>
        </w:rPr>
        <w:t>extension of the European Emission Trading System to buildings and energy obligations and its likely negative distributional effects</w:t>
      </w:r>
      <w:r>
        <w:rPr>
          <w:rFonts w:ascii="Trebuchet MS" w:hAnsi="Trebuchet MS"/>
          <w:lang w:val="en-US"/>
        </w:rPr>
        <w:t xml:space="preserve"> and effects on higher energy prices and rents</w:t>
      </w:r>
      <w:r w:rsidR="00AE2533">
        <w:rPr>
          <w:rStyle w:val="FootnoteReference"/>
          <w:rFonts w:ascii="Trebuchet MS" w:hAnsi="Trebuchet MS"/>
          <w:lang w:val="en-US"/>
        </w:rPr>
        <w:footnoteReference w:id="17"/>
      </w:r>
      <w:r>
        <w:rPr>
          <w:rFonts w:ascii="Trebuchet MS" w:hAnsi="Trebuchet MS"/>
          <w:lang w:val="en-US"/>
        </w:rPr>
        <w:t xml:space="preserve">. </w:t>
      </w:r>
      <w:r w:rsidR="00C554C8">
        <w:rPr>
          <w:rFonts w:ascii="Trebuchet MS" w:hAnsi="Trebuchet MS"/>
          <w:lang w:val="en-US"/>
        </w:rPr>
        <w:t xml:space="preserve">However, it is currently being discussed that </w:t>
      </w:r>
      <w:r w:rsidR="00C554C8" w:rsidRPr="00C554C8">
        <w:rPr>
          <w:rFonts w:ascii="Trebuchet MS" w:hAnsi="Trebuchet MS"/>
          <w:lang w:val="en-US"/>
        </w:rPr>
        <w:t>EU Member States w</w:t>
      </w:r>
      <w:r w:rsidR="00C554C8">
        <w:rPr>
          <w:rFonts w:ascii="Trebuchet MS" w:hAnsi="Trebuchet MS"/>
          <w:lang w:val="en-US"/>
        </w:rPr>
        <w:t xml:space="preserve">ill </w:t>
      </w:r>
      <w:r w:rsidR="00C554C8" w:rsidRPr="00C554C8">
        <w:rPr>
          <w:rFonts w:ascii="Trebuchet MS" w:hAnsi="Trebuchet MS"/>
          <w:lang w:val="en-US"/>
        </w:rPr>
        <w:t>need to use all their revenue from ETS for climate-related purposes, including support for “low-income households’ sustainable renovation”</w:t>
      </w:r>
      <w:r w:rsidR="00C554C8">
        <w:rPr>
          <w:rFonts w:ascii="Trebuchet MS" w:hAnsi="Trebuchet MS"/>
          <w:lang w:val="en-US"/>
        </w:rPr>
        <w:t xml:space="preserve">. If confirmed, </w:t>
      </w:r>
      <w:r w:rsidR="00C554C8" w:rsidRPr="00C554C8">
        <w:rPr>
          <w:rFonts w:ascii="Trebuchet MS" w:hAnsi="Trebuchet MS"/>
          <w:lang w:val="en-US"/>
        </w:rPr>
        <w:t xml:space="preserve">instead of the creation of a Climate Action Social Fund, the Commission </w:t>
      </w:r>
      <w:r w:rsidR="00C554C8">
        <w:rPr>
          <w:rFonts w:ascii="Trebuchet MS" w:hAnsi="Trebuchet MS"/>
          <w:lang w:val="en-US"/>
        </w:rPr>
        <w:t>will set</w:t>
      </w:r>
      <w:r w:rsidR="00C554C8" w:rsidRPr="00C554C8">
        <w:rPr>
          <w:rFonts w:ascii="Trebuchet MS" w:hAnsi="Trebuchet MS"/>
          <w:lang w:val="en-US"/>
        </w:rPr>
        <w:t xml:space="preserve"> a 50% target to go to low-income households nationally</w:t>
      </w:r>
      <w:r w:rsidR="00CF00F8">
        <w:rPr>
          <w:rStyle w:val="FootnoteReference"/>
          <w:rFonts w:ascii="Trebuchet MS" w:hAnsi="Trebuchet MS"/>
          <w:lang w:val="en-US"/>
        </w:rPr>
        <w:footnoteReference w:id="18"/>
      </w:r>
      <w:r w:rsidR="00C554C8" w:rsidRPr="00C554C8">
        <w:rPr>
          <w:rFonts w:ascii="Trebuchet MS" w:hAnsi="Trebuchet MS"/>
          <w:lang w:val="en-US"/>
        </w:rPr>
        <w:t>.</w:t>
      </w:r>
    </w:p>
    <w:p w14:paraId="7EC59841" w14:textId="1C4FAFE6" w:rsidR="00FA2F9A" w:rsidRDefault="00FA53B6" w:rsidP="00FA53B6">
      <w:pPr>
        <w:pStyle w:val="ListParagraph"/>
        <w:numPr>
          <w:ilvl w:val="0"/>
          <w:numId w:val="13"/>
        </w:numPr>
        <w:jc w:val="both"/>
        <w:rPr>
          <w:rFonts w:ascii="Trebuchet MS" w:hAnsi="Trebuchet MS"/>
          <w:lang w:val="en-US"/>
        </w:rPr>
      </w:pPr>
      <w:r w:rsidRPr="00FA53B6">
        <w:rPr>
          <w:rFonts w:ascii="Trebuchet MS" w:hAnsi="Trebuchet MS"/>
          <w:lang w:val="en-US"/>
        </w:rPr>
        <w:t>The Recommendation on Energy Poverty</w:t>
      </w:r>
      <w:r w:rsidR="00FA2F9A" w:rsidRPr="00FA53B6">
        <w:rPr>
          <w:rFonts w:ascii="Trebuchet MS" w:hAnsi="Trebuchet MS"/>
          <w:lang w:val="en-US"/>
        </w:rPr>
        <w:t xml:space="preserve"> </w:t>
      </w:r>
      <w:r w:rsidRPr="00FA53B6">
        <w:rPr>
          <w:rFonts w:ascii="Trebuchet MS" w:hAnsi="Trebuchet MS"/>
          <w:lang w:val="en-US"/>
        </w:rPr>
        <w:t xml:space="preserve">is in line with the revised </w:t>
      </w:r>
      <w:hyperlink r:id="rId17" w:history="1">
        <w:r w:rsidRPr="00FA53B6">
          <w:rPr>
            <w:rStyle w:val="Hyperlink"/>
            <w:rFonts w:ascii="Trebuchet MS" w:hAnsi="Trebuchet MS"/>
            <w:lang w:val="en-US"/>
          </w:rPr>
          <w:t>Energy Efficiency Directive 2018/2002</w:t>
        </w:r>
      </w:hyperlink>
      <w:r w:rsidRPr="00FA53B6">
        <w:rPr>
          <w:rFonts w:ascii="Trebuchet MS" w:hAnsi="Trebuchet MS"/>
          <w:lang w:val="en-US"/>
        </w:rPr>
        <w:t xml:space="preserve"> affirming </w:t>
      </w:r>
      <w:r w:rsidR="00FA2F9A" w:rsidRPr="00FA53B6">
        <w:rPr>
          <w:rFonts w:ascii="Trebuchet MS" w:hAnsi="Trebuchet MS"/>
          <w:lang w:val="en-US"/>
        </w:rPr>
        <w:t>the need to reduce energy poverty in the context of national obligations regarding energy efficiency and measures to address households affected by energy poverty</w:t>
      </w:r>
      <w:r w:rsidRPr="00FA53B6">
        <w:rPr>
          <w:rFonts w:ascii="Trebuchet MS" w:hAnsi="Trebuchet MS"/>
          <w:lang w:val="en-US"/>
        </w:rPr>
        <w:t xml:space="preserve">. As member of the Right to Energy Coalition, EAPN supports the integration of 4 elements into a socially-just directive: </w:t>
      </w:r>
      <w:proofErr w:type="spellStart"/>
      <w:r w:rsidRPr="00FA53B6">
        <w:rPr>
          <w:rFonts w:ascii="Trebuchet MS" w:hAnsi="Trebuchet MS"/>
          <w:lang w:val="en-US"/>
        </w:rPr>
        <w:t>i</w:t>
      </w:r>
      <w:proofErr w:type="spellEnd"/>
      <w:r w:rsidRPr="00FA53B6">
        <w:rPr>
          <w:rFonts w:ascii="Trebuchet MS" w:hAnsi="Trebuchet MS"/>
          <w:lang w:val="en-US"/>
        </w:rPr>
        <w:t xml:space="preserve">) sufficient and appropriate funding ii) specific energy efficiency programs for low-income, energy-poor households, iii) technical assistance for </w:t>
      </w:r>
      <w:r>
        <w:rPr>
          <w:rFonts w:ascii="Trebuchet MS" w:hAnsi="Trebuchet MS"/>
          <w:lang w:val="en-US"/>
        </w:rPr>
        <w:t>M</w:t>
      </w:r>
      <w:r w:rsidRPr="00FA53B6">
        <w:rPr>
          <w:rFonts w:ascii="Trebuchet MS" w:hAnsi="Trebuchet MS"/>
          <w:lang w:val="en-US"/>
        </w:rPr>
        <w:t xml:space="preserve">ember </w:t>
      </w:r>
      <w:r>
        <w:rPr>
          <w:rFonts w:ascii="Trebuchet MS" w:hAnsi="Trebuchet MS"/>
          <w:lang w:val="en-US"/>
        </w:rPr>
        <w:t>S</w:t>
      </w:r>
      <w:r w:rsidRPr="00FA53B6">
        <w:rPr>
          <w:rFonts w:ascii="Trebuchet MS" w:hAnsi="Trebuchet MS"/>
          <w:lang w:val="en-US"/>
        </w:rPr>
        <w:t>tates, iv) practical assistance to low-income households.</w:t>
      </w:r>
      <w:r w:rsidR="00A8230A">
        <w:rPr>
          <w:rFonts w:ascii="Trebuchet MS" w:hAnsi="Trebuchet MS"/>
          <w:lang w:val="en-US"/>
        </w:rPr>
        <w:t xml:space="preserve"> </w:t>
      </w:r>
      <w:r w:rsidR="007C1A20">
        <w:rPr>
          <w:rFonts w:ascii="Trebuchet MS" w:hAnsi="Trebuchet MS"/>
          <w:lang w:val="en-US"/>
        </w:rPr>
        <w:t xml:space="preserve">For EAPN, energy is a public good and the right to affordable energy is a universal </w:t>
      </w:r>
      <w:r w:rsidR="007C1A20" w:rsidRPr="007C1A20">
        <w:rPr>
          <w:rFonts w:ascii="Trebuchet MS" w:hAnsi="Trebuchet MS"/>
          <w:lang w:val="en-US"/>
        </w:rPr>
        <w:t>human and social right</w:t>
      </w:r>
      <w:r w:rsidR="007C1A20">
        <w:rPr>
          <w:rFonts w:ascii="Trebuchet MS" w:hAnsi="Trebuchet MS"/>
          <w:lang w:val="en-US"/>
        </w:rPr>
        <w:t xml:space="preserve">. </w:t>
      </w:r>
      <w:r w:rsidR="007C1A20" w:rsidRPr="007C1A20">
        <w:rPr>
          <w:rFonts w:ascii="Trebuchet MS" w:hAnsi="Trebuchet MS"/>
          <w:lang w:val="en-US"/>
        </w:rPr>
        <w:t>This approach also implies direct income support for low-income households</w:t>
      </w:r>
      <w:r w:rsidR="007C1A20">
        <w:rPr>
          <w:rFonts w:ascii="Trebuchet MS" w:hAnsi="Trebuchet MS"/>
          <w:lang w:val="en-US"/>
        </w:rPr>
        <w:t xml:space="preserve"> </w:t>
      </w:r>
      <w:r w:rsidR="007C1A20" w:rsidRPr="007C1A20">
        <w:rPr>
          <w:rFonts w:ascii="Trebuchet MS" w:hAnsi="Trebuchet MS"/>
          <w:lang w:val="en-US"/>
        </w:rPr>
        <w:t>(by means of social/reduced tariffs, specific heating/housing allowances or supplements to social assistance benefits), a ban for disconnections and/or the supply of a minimum amount of energy for all</w:t>
      </w:r>
      <w:r w:rsidR="007C1A20">
        <w:rPr>
          <w:rStyle w:val="FootnoteReference"/>
          <w:rFonts w:ascii="Trebuchet MS" w:hAnsi="Trebuchet MS"/>
          <w:lang w:val="en-US"/>
        </w:rPr>
        <w:footnoteReference w:id="19"/>
      </w:r>
      <w:r w:rsidR="007C1A20" w:rsidRPr="007C1A20">
        <w:rPr>
          <w:rFonts w:ascii="Trebuchet MS" w:hAnsi="Trebuchet MS"/>
          <w:lang w:val="en-US"/>
        </w:rPr>
        <w:t>.</w:t>
      </w:r>
    </w:p>
    <w:p w14:paraId="381BCA9F" w14:textId="228BFE64" w:rsidR="00C3075C" w:rsidRDefault="00C3075C" w:rsidP="00C3075C">
      <w:pPr>
        <w:pStyle w:val="ListParagraph"/>
        <w:ind w:left="717"/>
        <w:jc w:val="both"/>
        <w:rPr>
          <w:rFonts w:ascii="Trebuchet MS" w:hAnsi="Trebuchet MS"/>
          <w:lang w:val="en-US"/>
        </w:rPr>
      </w:pPr>
      <w:r>
        <w:rPr>
          <w:rFonts w:ascii="Trebuchet MS" w:hAnsi="Trebuchet MS"/>
          <w:lang w:val="en-US"/>
        </w:rPr>
        <w:t xml:space="preserve">In addition to this, </w:t>
      </w:r>
      <w:r w:rsidRPr="00C3075C">
        <w:rPr>
          <w:rFonts w:ascii="Trebuchet MS" w:hAnsi="Trebuchet MS"/>
          <w:lang w:val="en-US"/>
        </w:rPr>
        <w:t>models of decentralized production and consumption</w:t>
      </w:r>
      <w:r>
        <w:rPr>
          <w:rFonts w:ascii="Trebuchet MS" w:hAnsi="Trebuchet MS"/>
          <w:lang w:val="en-US"/>
        </w:rPr>
        <w:t>, such as</w:t>
      </w:r>
      <w:r w:rsidRPr="00C3075C">
        <w:rPr>
          <w:rFonts w:ascii="Trebuchet MS" w:hAnsi="Trebuchet MS"/>
          <w:lang w:val="en-US"/>
        </w:rPr>
        <w:t xml:space="preserve"> energy communities</w:t>
      </w:r>
      <w:r>
        <w:rPr>
          <w:rFonts w:ascii="Trebuchet MS" w:hAnsi="Trebuchet MS"/>
          <w:lang w:val="en-US"/>
        </w:rPr>
        <w:t>, could be explored in order to unlock</w:t>
      </w:r>
      <w:r w:rsidR="0091344A">
        <w:rPr>
          <w:rFonts w:ascii="Trebuchet MS" w:hAnsi="Trebuchet MS"/>
          <w:lang w:val="en-US"/>
        </w:rPr>
        <w:t xml:space="preserve"> models of</w:t>
      </w:r>
      <w:r>
        <w:rPr>
          <w:rFonts w:ascii="Trebuchet MS" w:hAnsi="Trebuchet MS"/>
          <w:lang w:val="en-US"/>
        </w:rPr>
        <w:t xml:space="preserve"> </w:t>
      </w:r>
      <w:r w:rsidRPr="00C3075C">
        <w:rPr>
          <w:rFonts w:ascii="Trebuchet MS" w:hAnsi="Trebuchet MS"/>
          <w:lang w:val="en-US"/>
        </w:rPr>
        <w:t>energy efficiency and energy services that return profits to the community</w:t>
      </w:r>
      <w:r>
        <w:rPr>
          <w:rStyle w:val="FootnoteReference"/>
          <w:rFonts w:ascii="Trebuchet MS" w:hAnsi="Trebuchet MS"/>
          <w:lang w:val="en-US"/>
        </w:rPr>
        <w:footnoteReference w:id="20"/>
      </w:r>
      <w:r w:rsidRPr="00C3075C">
        <w:rPr>
          <w:rFonts w:ascii="Trebuchet MS" w:hAnsi="Trebuchet MS"/>
          <w:lang w:val="en-US"/>
        </w:rPr>
        <w:t>.</w:t>
      </w:r>
    </w:p>
    <w:p w14:paraId="3F33C227" w14:textId="259DE36B" w:rsidR="00B250FE" w:rsidRDefault="00B250FE" w:rsidP="00FA53B6">
      <w:pPr>
        <w:pStyle w:val="ListParagraph"/>
        <w:numPr>
          <w:ilvl w:val="0"/>
          <w:numId w:val="13"/>
        </w:numPr>
        <w:jc w:val="both"/>
        <w:rPr>
          <w:rFonts w:ascii="Trebuchet MS" w:hAnsi="Trebuchet MS"/>
          <w:lang w:val="en-US"/>
        </w:rPr>
      </w:pPr>
      <w:r w:rsidRPr="00B250FE">
        <w:rPr>
          <w:rFonts w:ascii="Trebuchet MS" w:hAnsi="Trebuchet MS"/>
          <w:lang w:val="en-US"/>
        </w:rPr>
        <w:t xml:space="preserve">Some Member States have already included within their </w:t>
      </w:r>
      <w:hyperlink r:id="rId18" w:history="1">
        <w:r w:rsidRPr="00B250FE">
          <w:rPr>
            <w:rStyle w:val="Hyperlink"/>
            <w:rFonts w:ascii="Trebuchet MS" w:hAnsi="Trebuchet MS"/>
            <w:lang w:val="en-US"/>
          </w:rPr>
          <w:t>National Recovery and Resilience Plans</w:t>
        </w:r>
      </w:hyperlink>
      <w:r w:rsidRPr="00B250FE">
        <w:rPr>
          <w:rFonts w:ascii="Trebuchet MS" w:hAnsi="Trebuchet MS"/>
          <w:lang w:val="en-US"/>
        </w:rPr>
        <w:t xml:space="preserve"> specific actions aimed at addressing housing, homelessness, and energy poverty. Belgium, Greece, Italy, Poland, Portugal, and Spain address homelessness through dedicated de-institutionalization reforms</w:t>
      </w:r>
      <w:r>
        <w:rPr>
          <w:rFonts w:ascii="Trebuchet MS" w:hAnsi="Trebuchet MS"/>
          <w:lang w:val="en-US"/>
        </w:rPr>
        <w:t xml:space="preserve"> </w:t>
      </w:r>
      <w:r w:rsidRPr="00B250FE">
        <w:rPr>
          <w:rFonts w:ascii="Trebuchet MS" w:hAnsi="Trebuchet MS"/>
          <w:lang w:val="en-US"/>
        </w:rPr>
        <w:t xml:space="preserve">and </w:t>
      </w:r>
      <w:r>
        <w:rPr>
          <w:rFonts w:ascii="Trebuchet MS" w:hAnsi="Trebuchet MS"/>
          <w:lang w:val="en-US"/>
        </w:rPr>
        <w:t>the provision of</w:t>
      </w:r>
      <w:r w:rsidRPr="00B250FE">
        <w:rPr>
          <w:rFonts w:ascii="Trebuchet MS" w:hAnsi="Trebuchet MS"/>
          <w:lang w:val="en-US"/>
        </w:rPr>
        <w:t xml:space="preserve"> legislative and financial support to create accommodation and temporary housing for homeless and vulnerable groups. Fifteen Member States (BE, BG, HR, DK, FR, DE, IT, </w:t>
      </w:r>
      <w:r w:rsidRPr="00B250FE">
        <w:rPr>
          <w:rFonts w:ascii="Trebuchet MS" w:hAnsi="Trebuchet MS"/>
          <w:lang w:val="en-US"/>
        </w:rPr>
        <w:lastRenderedPageBreak/>
        <w:t xml:space="preserve">LT, LV, LU, PT, RO, SI, ES, HU) have included in their Plans measures targeted at investing in social and adequate housing, whereas only a few countries (AT, FR, GR, ES, CY) included measures to tackle energy poverty. In this scenario, the involvement of civil society organizations in all the steps of the process will be pivotal to ensure </w:t>
      </w:r>
      <w:r w:rsidR="00427916">
        <w:rPr>
          <w:rFonts w:ascii="Trebuchet MS" w:hAnsi="Trebuchet MS"/>
          <w:lang w:val="en-US"/>
        </w:rPr>
        <w:t xml:space="preserve">that </w:t>
      </w:r>
      <w:r w:rsidRPr="00B250FE">
        <w:rPr>
          <w:rFonts w:ascii="Trebuchet MS" w:hAnsi="Trebuchet MS"/>
          <w:lang w:val="en-US"/>
        </w:rPr>
        <w:t>poorer people as well as poorer regions</w:t>
      </w:r>
      <w:r w:rsidR="00427916">
        <w:rPr>
          <w:rFonts w:ascii="Trebuchet MS" w:hAnsi="Trebuchet MS"/>
          <w:lang w:val="en-US"/>
        </w:rPr>
        <w:t xml:space="preserve"> may benefit from funds</w:t>
      </w:r>
      <w:r w:rsidRPr="00B250FE">
        <w:rPr>
          <w:rFonts w:ascii="Trebuchet MS" w:hAnsi="Trebuchet MS"/>
          <w:lang w:val="en-US"/>
        </w:rPr>
        <w:t>, and that a climate-neutral economy</w:t>
      </w:r>
      <w:r>
        <w:rPr>
          <w:rFonts w:ascii="Trebuchet MS" w:hAnsi="Trebuchet MS"/>
          <w:lang w:val="en-US"/>
        </w:rPr>
        <w:t xml:space="preserve"> </w:t>
      </w:r>
      <w:r w:rsidRPr="00B250FE">
        <w:rPr>
          <w:rFonts w:ascii="Trebuchet MS" w:hAnsi="Trebuchet MS"/>
          <w:lang w:val="en-US"/>
        </w:rPr>
        <w:t xml:space="preserve">leaving no one behind is reached. </w:t>
      </w:r>
      <w:r w:rsidR="00DF3555">
        <w:rPr>
          <w:rFonts w:ascii="Trebuchet MS" w:hAnsi="Trebuchet MS"/>
          <w:lang w:val="en-US"/>
        </w:rPr>
        <w:t xml:space="preserve">In this respect, </w:t>
      </w:r>
      <w:r w:rsidR="00DF3555" w:rsidRPr="00DF3555">
        <w:rPr>
          <w:rFonts w:ascii="Trebuchet MS" w:hAnsi="Trebuchet MS"/>
          <w:lang w:val="en-US"/>
        </w:rPr>
        <w:t xml:space="preserve">the </w:t>
      </w:r>
      <w:r w:rsidR="00DF3555">
        <w:rPr>
          <w:rFonts w:ascii="Trebuchet MS" w:hAnsi="Trebuchet MS"/>
          <w:lang w:val="en-US"/>
        </w:rPr>
        <w:t xml:space="preserve">policy delivery model provided by the </w:t>
      </w:r>
      <w:hyperlink r:id="rId19" w:history="1">
        <w:r w:rsidR="00DF3555" w:rsidRPr="00DF3555">
          <w:rPr>
            <w:rStyle w:val="Hyperlink"/>
            <w:rFonts w:ascii="Trebuchet MS" w:hAnsi="Trebuchet MS"/>
            <w:lang w:val="en-US"/>
          </w:rPr>
          <w:t>Assist Project</w:t>
        </w:r>
      </w:hyperlink>
      <w:r w:rsidR="00DF3555">
        <w:rPr>
          <w:rFonts w:ascii="Trebuchet MS" w:hAnsi="Trebuchet MS"/>
          <w:lang w:val="en-US"/>
        </w:rPr>
        <w:t xml:space="preserve"> should be </w:t>
      </w:r>
      <w:r w:rsidR="004414DD">
        <w:rPr>
          <w:rFonts w:ascii="Trebuchet MS" w:hAnsi="Trebuchet MS"/>
          <w:lang w:val="en-US"/>
        </w:rPr>
        <w:t>further examined</w:t>
      </w:r>
      <w:r w:rsidR="00DF3555">
        <w:rPr>
          <w:rFonts w:ascii="Trebuchet MS" w:hAnsi="Trebuchet MS"/>
          <w:lang w:val="en-US"/>
        </w:rPr>
        <w:t xml:space="preserve"> to ensure the </w:t>
      </w:r>
      <w:r w:rsidR="00DF3555" w:rsidRPr="00DF3555">
        <w:rPr>
          <w:rFonts w:ascii="Trebuchet MS" w:hAnsi="Trebuchet MS"/>
          <w:lang w:val="en-US"/>
        </w:rPr>
        <w:t>best interest of P</w:t>
      </w:r>
      <w:r w:rsidR="00DF3555">
        <w:rPr>
          <w:rFonts w:ascii="Trebuchet MS" w:hAnsi="Trebuchet MS"/>
          <w:lang w:val="en-US"/>
        </w:rPr>
        <w:t>E</w:t>
      </w:r>
      <w:r w:rsidR="00DF3555" w:rsidRPr="00DF3555">
        <w:rPr>
          <w:rFonts w:ascii="Trebuchet MS" w:hAnsi="Trebuchet MS"/>
          <w:lang w:val="en-US"/>
        </w:rPr>
        <w:t>P</w:t>
      </w:r>
      <w:r w:rsidR="00DF3555">
        <w:rPr>
          <w:rFonts w:ascii="Trebuchet MS" w:hAnsi="Trebuchet MS"/>
          <w:lang w:val="en-US"/>
        </w:rPr>
        <w:t xml:space="preserve">s in addressing energy vulnerability, </w:t>
      </w:r>
      <w:r w:rsidR="00DF3555" w:rsidRPr="00DF3555">
        <w:rPr>
          <w:rFonts w:ascii="Trebuchet MS" w:hAnsi="Trebuchet MS"/>
          <w:lang w:val="en-US"/>
        </w:rPr>
        <w:t>with CSOs acting as reliable and trusted agents</w:t>
      </w:r>
      <w:r w:rsidR="00DF3555">
        <w:rPr>
          <w:rFonts w:ascii="Trebuchet MS" w:hAnsi="Trebuchet MS"/>
          <w:lang w:val="en-US"/>
        </w:rPr>
        <w:t>.</w:t>
      </w:r>
    </w:p>
    <w:p w14:paraId="66516CA7" w14:textId="0CCEF5C2" w:rsidR="00CB7E16" w:rsidRDefault="00CB7E16" w:rsidP="0013455C">
      <w:pPr>
        <w:pStyle w:val="ListParagraph"/>
        <w:ind w:left="717"/>
        <w:jc w:val="both"/>
        <w:rPr>
          <w:rFonts w:ascii="Trebuchet MS" w:hAnsi="Trebuchet MS"/>
          <w:lang w:val="en-US"/>
        </w:rPr>
      </w:pPr>
      <w:r>
        <w:rPr>
          <w:rFonts w:ascii="Trebuchet MS" w:hAnsi="Trebuchet MS"/>
          <w:lang w:val="en-US"/>
        </w:rPr>
        <w:t xml:space="preserve">In general, the </w:t>
      </w:r>
      <w:r w:rsidRPr="00CB7E16">
        <w:rPr>
          <w:rFonts w:ascii="Trebuchet MS" w:hAnsi="Trebuchet MS"/>
          <w:lang w:val="en-US"/>
        </w:rPr>
        <w:t>potential reform of the European Semester</w:t>
      </w:r>
      <w:r>
        <w:rPr>
          <w:rFonts w:ascii="Trebuchet MS" w:hAnsi="Trebuchet MS"/>
          <w:lang w:val="en-US"/>
        </w:rPr>
        <w:t xml:space="preserve"> might be</w:t>
      </w:r>
      <w:r w:rsidRPr="00CB7E16">
        <w:rPr>
          <w:rFonts w:ascii="Trebuchet MS" w:hAnsi="Trebuchet MS"/>
          <w:lang w:val="en-US"/>
        </w:rPr>
        <w:t xml:space="preserve"> a key window to </w:t>
      </w:r>
      <w:r>
        <w:rPr>
          <w:rFonts w:ascii="Trebuchet MS" w:hAnsi="Trebuchet MS"/>
          <w:lang w:val="en-US"/>
        </w:rPr>
        <w:t xml:space="preserve">leverage </w:t>
      </w:r>
      <w:r w:rsidRPr="00CB7E16">
        <w:rPr>
          <w:rFonts w:ascii="Trebuchet MS" w:hAnsi="Trebuchet MS"/>
          <w:lang w:val="en-US"/>
        </w:rPr>
        <w:t xml:space="preserve">our asks </w:t>
      </w:r>
      <w:r w:rsidR="00866975" w:rsidRPr="00866975">
        <w:rPr>
          <w:rFonts w:ascii="Trebuchet MS" w:hAnsi="Trebuchet MS"/>
          <w:lang w:val="en-US"/>
        </w:rPr>
        <w:t>addressing the structural causes of poverty</w:t>
      </w:r>
      <w:r w:rsidR="00866975">
        <w:rPr>
          <w:rFonts w:ascii="Trebuchet MS" w:hAnsi="Trebuchet MS"/>
          <w:lang w:val="en-US"/>
        </w:rPr>
        <w:t xml:space="preserve">, </w:t>
      </w:r>
      <w:r w:rsidRPr="00CB7E16">
        <w:rPr>
          <w:rFonts w:ascii="Trebuchet MS" w:hAnsi="Trebuchet MS"/>
          <w:lang w:val="en-US"/>
        </w:rPr>
        <w:t xml:space="preserve">in the monitoring </w:t>
      </w:r>
      <w:r w:rsidR="009C5880">
        <w:rPr>
          <w:rFonts w:ascii="Trebuchet MS" w:hAnsi="Trebuchet MS"/>
          <w:lang w:val="en-US"/>
        </w:rPr>
        <w:t xml:space="preserve">process </w:t>
      </w:r>
      <w:r w:rsidR="00962EE1">
        <w:rPr>
          <w:rFonts w:ascii="Trebuchet MS" w:hAnsi="Trebuchet MS"/>
          <w:lang w:val="en-US"/>
        </w:rPr>
        <w:t>following</w:t>
      </w:r>
      <w:r w:rsidR="002934D9">
        <w:rPr>
          <w:rFonts w:ascii="Trebuchet MS" w:hAnsi="Trebuchet MS"/>
          <w:lang w:val="en-US"/>
        </w:rPr>
        <w:t xml:space="preserve"> </w:t>
      </w:r>
      <w:hyperlink r:id="rId20" w:history="1">
        <w:r w:rsidR="009C5880" w:rsidRPr="00962EE1">
          <w:rPr>
            <w:rStyle w:val="Hyperlink"/>
            <w:rFonts w:ascii="Trebuchet MS" w:hAnsi="Trebuchet MS"/>
            <w:lang w:val="en-US"/>
          </w:rPr>
          <w:t>Commission’s assessments</w:t>
        </w:r>
      </w:hyperlink>
      <w:r w:rsidR="009C5880" w:rsidRPr="009C5880">
        <w:rPr>
          <w:rFonts w:ascii="Trebuchet MS" w:hAnsi="Trebuchet MS"/>
          <w:lang w:val="en-US"/>
        </w:rPr>
        <w:t xml:space="preserve"> of the substance of the recovery and resilience plans</w:t>
      </w:r>
      <w:r w:rsidR="002934D9">
        <w:rPr>
          <w:rFonts w:ascii="Trebuchet MS" w:hAnsi="Trebuchet MS"/>
          <w:lang w:val="en-US"/>
        </w:rPr>
        <w:t xml:space="preserve">. </w:t>
      </w:r>
      <w:r w:rsidR="0013455C" w:rsidRPr="0013455C">
        <w:rPr>
          <w:rFonts w:ascii="Trebuchet MS" w:hAnsi="Trebuchet MS"/>
          <w:lang w:val="en-US"/>
        </w:rPr>
        <w:t>Council Implementing Decisions on the NRRPs</w:t>
      </w:r>
      <w:r w:rsidR="0013455C">
        <w:rPr>
          <w:rFonts w:ascii="Trebuchet MS" w:hAnsi="Trebuchet MS"/>
          <w:lang w:val="en-US"/>
        </w:rPr>
        <w:t xml:space="preserve"> have been scheduled for some countries (</w:t>
      </w:r>
      <w:r w:rsidR="0013455C" w:rsidRPr="0013455C">
        <w:rPr>
          <w:rFonts w:ascii="Trebuchet MS" w:hAnsi="Trebuchet MS"/>
          <w:lang w:val="en-US"/>
        </w:rPr>
        <w:t>Luxembourg, Denmark, Greece, Spain, Portugal, Austria, Slovakia, Latvia, Germany, Italy, Belgium, and France</w:t>
      </w:r>
      <w:r w:rsidR="0013455C">
        <w:rPr>
          <w:rFonts w:ascii="Trebuchet MS" w:hAnsi="Trebuchet MS"/>
          <w:lang w:val="en-US"/>
        </w:rPr>
        <w:t xml:space="preserve">). Upcoming Council Implementing Decisions concern Lithuania, Slovenia, Hungary, Cyprus, Croatia, Finland, Ireland, Czechia and Poland. </w:t>
      </w:r>
      <w:hyperlink r:id="rId21" w:history="1">
        <w:r w:rsidR="00583F6D" w:rsidRPr="00583F6D">
          <w:rPr>
            <w:rStyle w:val="Hyperlink"/>
            <w:rFonts w:ascii="Trebuchet MS" w:hAnsi="Trebuchet MS"/>
            <w:lang w:val="en-US"/>
          </w:rPr>
          <w:t>Key messages</w:t>
        </w:r>
      </w:hyperlink>
      <w:r w:rsidR="00583F6D">
        <w:rPr>
          <w:rFonts w:ascii="Trebuchet MS" w:hAnsi="Trebuchet MS"/>
          <w:lang w:val="en-US"/>
        </w:rPr>
        <w:t xml:space="preserve"> that could be leveraged include: </w:t>
      </w:r>
    </w:p>
    <w:p w14:paraId="7AB6BC76" w14:textId="1677B463" w:rsidR="00583F6D" w:rsidRDefault="00583F6D" w:rsidP="00583F6D">
      <w:pPr>
        <w:pStyle w:val="ListParagraph"/>
        <w:numPr>
          <w:ilvl w:val="0"/>
          <w:numId w:val="21"/>
        </w:numPr>
        <w:jc w:val="both"/>
        <w:rPr>
          <w:rFonts w:ascii="Trebuchet MS" w:hAnsi="Trebuchet MS"/>
          <w:lang w:val="en-US"/>
        </w:rPr>
      </w:pPr>
      <w:r>
        <w:rPr>
          <w:rFonts w:ascii="Trebuchet MS" w:hAnsi="Trebuchet MS"/>
          <w:lang w:val="en-US"/>
        </w:rPr>
        <w:t>The Commission should promote a rights-based antipoverty strategy based on integrated active inclusion across key social rights comprising access to quality services;</w:t>
      </w:r>
    </w:p>
    <w:p w14:paraId="3F104952" w14:textId="51E74CD5" w:rsidR="00583F6D" w:rsidRDefault="00583F6D" w:rsidP="00583F6D">
      <w:pPr>
        <w:pStyle w:val="ListParagraph"/>
        <w:numPr>
          <w:ilvl w:val="0"/>
          <w:numId w:val="21"/>
        </w:numPr>
        <w:jc w:val="both"/>
        <w:rPr>
          <w:rFonts w:ascii="Trebuchet MS" w:hAnsi="Trebuchet MS"/>
          <w:lang w:val="en-US"/>
        </w:rPr>
      </w:pPr>
      <w:r>
        <w:rPr>
          <w:rFonts w:ascii="Trebuchet MS" w:hAnsi="Trebuchet MS"/>
          <w:lang w:val="en-US"/>
        </w:rPr>
        <w:t>All countries must be monitored on how they are delivering on all social rights and the poverty target, through the assessment of systematic impact at national level;</w:t>
      </w:r>
    </w:p>
    <w:p w14:paraId="317B5B13" w14:textId="6E9F72F8" w:rsidR="00583F6D" w:rsidRPr="0013455C" w:rsidRDefault="00583F6D" w:rsidP="00583F6D">
      <w:pPr>
        <w:pStyle w:val="ListParagraph"/>
        <w:numPr>
          <w:ilvl w:val="0"/>
          <w:numId w:val="21"/>
        </w:numPr>
        <w:jc w:val="both"/>
        <w:rPr>
          <w:rFonts w:ascii="Trebuchet MS" w:hAnsi="Trebuchet MS"/>
          <w:lang w:val="en-US"/>
        </w:rPr>
      </w:pPr>
      <w:r>
        <w:rPr>
          <w:rFonts w:ascii="Trebuchet MS" w:hAnsi="Trebuchet MS"/>
          <w:lang w:val="en-US"/>
        </w:rPr>
        <w:t xml:space="preserve">Dialogue with people with direct experience of poverty is essential to signpost what is/not working and propose viable solutions. </w:t>
      </w:r>
    </w:p>
    <w:p w14:paraId="0AA5D230" w14:textId="53F8AB70" w:rsidR="00715154" w:rsidRDefault="00715154" w:rsidP="00715154">
      <w:pPr>
        <w:pStyle w:val="ListParagraph"/>
        <w:numPr>
          <w:ilvl w:val="0"/>
          <w:numId w:val="13"/>
        </w:numPr>
        <w:spacing w:after="0"/>
        <w:jc w:val="both"/>
        <w:rPr>
          <w:rFonts w:ascii="Trebuchet MS" w:hAnsi="Trebuchet MS"/>
          <w:lang w:val="en-US"/>
        </w:rPr>
      </w:pPr>
      <w:r>
        <w:rPr>
          <w:rFonts w:ascii="Trebuchet MS" w:hAnsi="Trebuchet MS"/>
          <w:lang w:val="en-US"/>
        </w:rPr>
        <w:t>The EPSR Action Plan</w:t>
      </w:r>
      <w:r w:rsidR="00427916">
        <w:rPr>
          <w:rFonts w:ascii="Trebuchet MS" w:hAnsi="Trebuchet MS"/>
          <w:lang w:val="en-US"/>
        </w:rPr>
        <w:t xml:space="preserve"> advanced</w:t>
      </w:r>
      <w:r>
        <w:rPr>
          <w:rFonts w:ascii="Trebuchet MS" w:hAnsi="Trebuchet MS"/>
          <w:lang w:val="en-US"/>
        </w:rPr>
        <w:t xml:space="preserve"> the proposal of </w:t>
      </w:r>
      <w:r w:rsidRPr="00715154">
        <w:rPr>
          <w:rFonts w:ascii="Trebuchet MS" w:hAnsi="Trebuchet MS"/>
          <w:lang w:val="en-US"/>
        </w:rPr>
        <w:t>new tools to better measure barriers and gaps in access to healthcare</w:t>
      </w:r>
      <w:r>
        <w:rPr>
          <w:rFonts w:ascii="Trebuchet MS" w:hAnsi="Trebuchet MS"/>
          <w:lang w:val="en-US"/>
        </w:rPr>
        <w:t xml:space="preserve"> </w:t>
      </w:r>
      <w:r w:rsidRPr="00715154">
        <w:rPr>
          <w:rFonts w:ascii="Trebuchet MS" w:hAnsi="Trebuchet MS"/>
          <w:lang w:val="en-US"/>
        </w:rPr>
        <w:t>(2021—2022).</w:t>
      </w:r>
      <w:r>
        <w:rPr>
          <w:rFonts w:ascii="Trebuchet MS" w:hAnsi="Trebuchet MS"/>
          <w:lang w:val="en-US"/>
        </w:rPr>
        <w:t xml:space="preserve"> The Commission also encourage</w:t>
      </w:r>
      <w:r w:rsidR="000D253C">
        <w:rPr>
          <w:rFonts w:ascii="Trebuchet MS" w:hAnsi="Trebuchet MS"/>
          <w:lang w:val="en-US"/>
        </w:rPr>
        <w:t>d</w:t>
      </w:r>
      <w:r>
        <w:rPr>
          <w:rFonts w:ascii="Trebuchet MS" w:hAnsi="Trebuchet MS"/>
          <w:lang w:val="en-US"/>
        </w:rPr>
        <w:t xml:space="preserve"> the digitalization of health systems to tackle health inequalities. EAPN could use these opportunities to </w:t>
      </w:r>
      <w:r w:rsidR="00D701DD">
        <w:rPr>
          <w:rFonts w:ascii="Trebuchet MS" w:hAnsi="Trebuchet MS"/>
          <w:lang w:val="en-US"/>
        </w:rPr>
        <w:t xml:space="preserve">gather statistical and monitoring tools that may map health inequalities across national members and highlight the perspective of vulnerable/marginalized patients experiencing unequal access to healthcare. </w:t>
      </w:r>
    </w:p>
    <w:p w14:paraId="48A17B58" w14:textId="770C01DF" w:rsidR="00715154" w:rsidRDefault="00F0174A" w:rsidP="00F0174A">
      <w:pPr>
        <w:pStyle w:val="ListParagraph"/>
        <w:numPr>
          <w:ilvl w:val="0"/>
          <w:numId w:val="13"/>
        </w:numPr>
        <w:spacing w:after="0"/>
        <w:jc w:val="both"/>
        <w:rPr>
          <w:rFonts w:ascii="Trebuchet MS" w:hAnsi="Trebuchet MS"/>
          <w:lang w:val="en-US"/>
        </w:rPr>
      </w:pPr>
      <w:r>
        <w:rPr>
          <w:rFonts w:ascii="Trebuchet MS" w:hAnsi="Trebuchet MS"/>
          <w:lang w:val="en-US"/>
        </w:rPr>
        <w:t xml:space="preserve">In February 2021, the Expert Group on Health Systems Performance Assessment presented the </w:t>
      </w:r>
      <w:hyperlink r:id="rId22" w:history="1">
        <w:r w:rsidRPr="00F0174A">
          <w:rPr>
            <w:rStyle w:val="Hyperlink"/>
            <w:rFonts w:ascii="Trebuchet MS" w:hAnsi="Trebuchet MS"/>
            <w:lang w:val="en-US"/>
          </w:rPr>
          <w:t>opinion on the organization of resilient health and social care following the COVID-19 pandemic</w:t>
        </w:r>
      </w:hyperlink>
      <w:r w:rsidRPr="00F0174A">
        <w:rPr>
          <w:rFonts w:ascii="Trebuchet MS" w:hAnsi="Trebuchet MS"/>
          <w:lang w:val="en-US"/>
        </w:rPr>
        <w:t>.</w:t>
      </w:r>
      <w:r>
        <w:rPr>
          <w:rFonts w:ascii="Trebuchet MS" w:hAnsi="Trebuchet MS"/>
          <w:lang w:val="en-US"/>
        </w:rPr>
        <w:t xml:space="preserve"> Recommendations included the development and deployment of </w:t>
      </w:r>
      <w:r w:rsidRPr="00F0174A">
        <w:rPr>
          <w:rFonts w:ascii="Trebuchet MS" w:hAnsi="Trebuchet MS"/>
          <w:lang w:val="en-US"/>
        </w:rPr>
        <w:t>online trainings for frontline health and social care</w:t>
      </w:r>
      <w:r>
        <w:rPr>
          <w:rFonts w:ascii="Trebuchet MS" w:hAnsi="Trebuchet MS"/>
          <w:lang w:val="en-US"/>
        </w:rPr>
        <w:t xml:space="preserve"> </w:t>
      </w:r>
      <w:r w:rsidRPr="00F0174A">
        <w:rPr>
          <w:rFonts w:ascii="Trebuchet MS" w:hAnsi="Trebuchet MS"/>
          <w:lang w:val="en-US"/>
        </w:rPr>
        <w:t>professionals regarding care provision to vulnerable groups</w:t>
      </w:r>
      <w:r>
        <w:rPr>
          <w:rFonts w:ascii="Trebuchet MS" w:hAnsi="Trebuchet MS"/>
          <w:lang w:val="en-US"/>
        </w:rPr>
        <w:t xml:space="preserve">. The report also revisited </w:t>
      </w:r>
      <w:r w:rsidRPr="00F0174A">
        <w:rPr>
          <w:rFonts w:ascii="Trebuchet MS" w:hAnsi="Trebuchet MS"/>
          <w:lang w:val="en-US"/>
        </w:rPr>
        <w:t>the issue of</w:t>
      </w:r>
      <w:r>
        <w:rPr>
          <w:rFonts w:ascii="Trebuchet MS" w:hAnsi="Trebuchet MS"/>
          <w:lang w:val="en-US"/>
        </w:rPr>
        <w:t xml:space="preserve"> </w:t>
      </w:r>
      <w:r w:rsidRPr="00F0174A">
        <w:rPr>
          <w:rFonts w:ascii="Trebuchet MS" w:hAnsi="Trebuchet MS"/>
          <w:lang w:val="en-US"/>
        </w:rPr>
        <w:t>health inequalities</w:t>
      </w:r>
      <w:r>
        <w:rPr>
          <w:rFonts w:ascii="Trebuchet MS" w:hAnsi="Trebuchet MS"/>
          <w:lang w:val="en-US"/>
        </w:rPr>
        <w:t xml:space="preserve">, particularly </w:t>
      </w:r>
      <w:r w:rsidRPr="00F0174A">
        <w:rPr>
          <w:rFonts w:ascii="Trebuchet MS" w:hAnsi="Trebuchet MS"/>
          <w:lang w:val="en-US"/>
        </w:rPr>
        <w:t>the vicious cycle between health and poverty</w:t>
      </w:r>
      <w:r w:rsidR="002E1E8A">
        <w:rPr>
          <w:rFonts w:ascii="Trebuchet MS" w:hAnsi="Trebuchet MS"/>
          <w:lang w:val="en-US"/>
        </w:rPr>
        <w:t xml:space="preserve"> </w:t>
      </w:r>
      <w:r w:rsidR="000D253C">
        <w:rPr>
          <w:rFonts w:ascii="Trebuchet MS" w:hAnsi="Trebuchet MS"/>
          <w:lang w:val="en-US"/>
        </w:rPr>
        <w:t>(</w:t>
      </w:r>
      <w:r w:rsidR="002E1E8A">
        <w:rPr>
          <w:rFonts w:ascii="Trebuchet MS" w:hAnsi="Trebuchet MS"/>
          <w:lang w:val="en-US"/>
        </w:rPr>
        <w:t>health sector inequalities and poverty; poverty and poor health outcomes</w:t>
      </w:r>
      <w:r w:rsidR="000D253C">
        <w:rPr>
          <w:rFonts w:ascii="Trebuchet MS" w:hAnsi="Trebuchet MS"/>
          <w:lang w:val="en-US"/>
        </w:rPr>
        <w:t>)</w:t>
      </w:r>
      <w:r>
        <w:rPr>
          <w:rFonts w:ascii="Trebuchet MS" w:hAnsi="Trebuchet MS"/>
          <w:lang w:val="en-US"/>
        </w:rPr>
        <w:t>. In this framework, EAPN could explore common needs</w:t>
      </w:r>
      <w:r w:rsidR="00476148">
        <w:rPr>
          <w:rFonts w:ascii="Trebuchet MS" w:hAnsi="Trebuchet MS"/>
          <w:lang w:val="en-US"/>
        </w:rPr>
        <w:t xml:space="preserve"> and societal impact of multiple intersectional vulnerabilities, such as medically vulnerable, mentally vulnerable and socially marginalized people. Particular attention should be paid to how health inequity exacerbates vulnerabilities at different levels (EU, Member States, regions). A political response could be proposed in collaboration with other relevant initiatives such as the </w:t>
      </w:r>
      <w:hyperlink r:id="rId23" w:history="1">
        <w:r w:rsidR="00476148" w:rsidRPr="00476148">
          <w:rPr>
            <w:rStyle w:val="Hyperlink"/>
            <w:rFonts w:ascii="Trebuchet MS" w:hAnsi="Trebuchet MS"/>
            <w:lang w:val="en-US"/>
          </w:rPr>
          <w:t>Joint Action on Health Equity in Europe</w:t>
        </w:r>
      </w:hyperlink>
      <w:r w:rsidR="00476148">
        <w:rPr>
          <w:rFonts w:ascii="Trebuchet MS" w:hAnsi="Trebuchet MS"/>
          <w:lang w:val="en-US"/>
        </w:rPr>
        <w:t>.</w:t>
      </w:r>
    </w:p>
    <w:p w14:paraId="22B0C6CB" w14:textId="55A8D16C" w:rsidR="0021735D" w:rsidRDefault="0021735D" w:rsidP="00F0174A">
      <w:pPr>
        <w:pStyle w:val="ListParagraph"/>
        <w:numPr>
          <w:ilvl w:val="0"/>
          <w:numId w:val="13"/>
        </w:numPr>
        <w:spacing w:after="0"/>
        <w:jc w:val="both"/>
        <w:rPr>
          <w:rFonts w:ascii="Trebuchet MS" w:hAnsi="Trebuchet MS"/>
          <w:lang w:val="en-US"/>
        </w:rPr>
      </w:pPr>
      <w:r>
        <w:rPr>
          <w:rFonts w:ascii="Trebuchet MS" w:hAnsi="Trebuchet MS"/>
          <w:lang w:val="en-US"/>
        </w:rPr>
        <w:t xml:space="preserve">The </w:t>
      </w:r>
      <w:hyperlink r:id="rId24" w:history="1">
        <w:r w:rsidRPr="00512DC0">
          <w:rPr>
            <w:rStyle w:val="Hyperlink"/>
            <w:rFonts w:ascii="Trebuchet MS" w:hAnsi="Trebuchet MS"/>
            <w:lang w:val="en-US"/>
          </w:rPr>
          <w:t>European Health Data Space</w:t>
        </w:r>
      </w:hyperlink>
      <w:r>
        <w:rPr>
          <w:rFonts w:ascii="Trebuchet MS" w:hAnsi="Trebuchet MS"/>
          <w:lang w:val="en-US"/>
        </w:rPr>
        <w:t xml:space="preserve"> will be launched in the f</w:t>
      </w:r>
      <w:r w:rsidRPr="0021735D">
        <w:rPr>
          <w:rFonts w:ascii="Trebuchet MS" w:hAnsi="Trebuchet MS"/>
          <w:lang w:val="en-US"/>
        </w:rPr>
        <w:t xml:space="preserve">ourth quarter </w:t>
      </w:r>
      <w:r>
        <w:rPr>
          <w:rFonts w:ascii="Trebuchet MS" w:hAnsi="Trebuchet MS"/>
          <w:lang w:val="en-US"/>
        </w:rPr>
        <w:t xml:space="preserve">of </w:t>
      </w:r>
      <w:r w:rsidRPr="0021735D">
        <w:rPr>
          <w:rFonts w:ascii="Trebuchet MS" w:hAnsi="Trebuchet MS"/>
          <w:lang w:val="en-US"/>
        </w:rPr>
        <w:t>2021</w:t>
      </w:r>
      <w:r w:rsidR="00C410CE">
        <w:rPr>
          <w:rFonts w:ascii="Trebuchet MS" w:hAnsi="Trebuchet MS"/>
          <w:lang w:val="en-US"/>
        </w:rPr>
        <w:t xml:space="preserve">, with the aim of </w:t>
      </w:r>
      <w:r w:rsidR="00C410CE" w:rsidRPr="00C410CE">
        <w:rPr>
          <w:rFonts w:ascii="Trebuchet MS" w:hAnsi="Trebuchet MS"/>
          <w:lang w:val="en-US"/>
        </w:rPr>
        <w:t>promot</w:t>
      </w:r>
      <w:r w:rsidR="00C410CE">
        <w:rPr>
          <w:rFonts w:ascii="Trebuchet MS" w:hAnsi="Trebuchet MS"/>
          <w:lang w:val="en-US"/>
        </w:rPr>
        <w:t>ing</w:t>
      </w:r>
      <w:r w:rsidR="00C410CE" w:rsidRPr="00C410CE">
        <w:rPr>
          <w:rFonts w:ascii="Trebuchet MS" w:hAnsi="Trebuchet MS"/>
          <w:lang w:val="en-US"/>
        </w:rPr>
        <w:t xml:space="preserve"> access to health data for better healthcare, research and policy</w:t>
      </w:r>
      <w:r w:rsidR="00C410CE">
        <w:rPr>
          <w:rFonts w:ascii="Trebuchet MS" w:hAnsi="Trebuchet MS"/>
          <w:lang w:val="en-US"/>
        </w:rPr>
        <w:t xml:space="preserve"> </w:t>
      </w:r>
      <w:r w:rsidR="00C410CE" w:rsidRPr="00C410CE">
        <w:rPr>
          <w:rFonts w:ascii="Trebuchet MS" w:hAnsi="Trebuchet MS"/>
          <w:lang w:val="en-US"/>
        </w:rPr>
        <w:t xml:space="preserve">making, and </w:t>
      </w:r>
      <w:r w:rsidR="00C410CE">
        <w:rPr>
          <w:rFonts w:ascii="Trebuchet MS" w:hAnsi="Trebuchet MS"/>
          <w:lang w:val="en-US"/>
        </w:rPr>
        <w:t>fostering</w:t>
      </w:r>
      <w:r w:rsidR="00C410CE" w:rsidRPr="00C410CE">
        <w:rPr>
          <w:rFonts w:ascii="Trebuchet MS" w:hAnsi="Trebuchet MS"/>
          <w:lang w:val="en-US"/>
        </w:rPr>
        <w:t xml:space="preserve"> the development</w:t>
      </w:r>
      <w:r w:rsidR="00C410CE">
        <w:rPr>
          <w:rFonts w:ascii="Trebuchet MS" w:hAnsi="Trebuchet MS"/>
          <w:lang w:val="en-US"/>
        </w:rPr>
        <w:t xml:space="preserve"> </w:t>
      </w:r>
      <w:r w:rsidR="00C410CE" w:rsidRPr="00C410CE">
        <w:rPr>
          <w:rFonts w:ascii="Trebuchet MS" w:hAnsi="Trebuchet MS"/>
          <w:lang w:val="en-US"/>
        </w:rPr>
        <w:t xml:space="preserve">and application of digital services for the </w:t>
      </w:r>
      <w:r w:rsidR="00C410CE" w:rsidRPr="00C410CE">
        <w:rPr>
          <w:rFonts w:ascii="Trebuchet MS" w:hAnsi="Trebuchet MS"/>
          <w:lang w:val="en-US"/>
        </w:rPr>
        <w:lastRenderedPageBreak/>
        <w:t>provision of healthcare.</w:t>
      </w:r>
      <w:r w:rsidR="00C410CE">
        <w:rPr>
          <w:rFonts w:ascii="Trebuchet MS" w:hAnsi="Trebuchet MS"/>
          <w:lang w:val="en-US"/>
        </w:rPr>
        <w:t xml:space="preserve"> There is a lot at stake: data protection concerns for vulnerable people like undocumented migrants</w:t>
      </w:r>
      <w:r w:rsidR="00C410CE">
        <w:rPr>
          <w:rStyle w:val="FootnoteReference"/>
          <w:rFonts w:ascii="Trebuchet MS" w:hAnsi="Trebuchet MS"/>
          <w:lang w:val="en-US"/>
        </w:rPr>
        <w:footnoteReference w:id="21"/>
      </w:r>
      <w:r w:rsidR="00C54639">
        <w:rPr>
          <w:rFonts w:ascii="Trebuchet MS" w:hAnsi="Trebuchet MS"/>
          <w:lang w:val="en-US"/>
        </w:rPr>
        <w:t xml:space="preserve">, </w:t>
      </w:r>
      <w:r w:rsidR="003075BD">
        <w:rPr>
          <w:rFonts w:ascii="Trebuchet MS" w:hAnsi="Trebuchet MS"/>
          <w:lang w:val="en-US"/>
        </w:rPr>
        <w:t xml:space="preserve">accessibility to digital healthcare for those who do not have digital skills or devices, </w:t>
      </w:r>
      <w:r w:rsidR="00C54639">
        <w:rPr>
          <w:rFonts w:ascii="Trebuchet MS" w:hAnsi="Trebuchet MS"/>
          <w:lang w:val="en-US"/>
        </w:rPr>
        <w:t>non-harmonized approach to data portability across Member States.</w:t>
      </w:r>
      <w:r w:rsidR="00D2353E">
        <w:rPr>
          <w:rFonts w:ascii="Trebuchet MS" w:hAnsi="Trebuchet MS"/>
          <w:lang w:val="en-US"/>
        </w:rPr>
        <w:t xml:space="preserve"> A </w:t>
      </w:r>
      <w:hyperlink r:id="rId25" w:history="1">
        <w:r w:rsidR="00D2353E" w:rsidRPr="00D2353E">
          <w:rPr>
            <w:rStyle w:val="Hyperlink"/>
            <w:rFonts w:ascii="Trebuchet MS" w:hAnsi="Trebuchet MS"/>
            <w:lang w:val="en-US"/>
          </w:rPr>
          <w:t>Public Consultation</w:t>
        </w:r>
      </w:hyperlink>
      <w:r w:rsidR="00D2353E">
        <w:rPr>
          <w:rFonts w:ascii="Trebuchet MS" w:hAnsi="Trebuchet MS"/>
          <w:lang w:val="en-US"/>
        </w:rPr>
        <w:t xml:space="preserve"> is open for feedback until July 26, 2021.</w:t>
      </w:r>
    </w:p>
    <w:p w14:paraId="4F58916A" w14:textId="18C10FEF" w:rsidR="0003235C" w:rsidRDefault="0003235C" w:rsidP="0003235C">
      <w:pPr>
        <w:pStyle w:val="ListParagraph"/>
        <w:numPr>
          <w:ilvl w:val="0"/>
          <w:numId w:val="13"/>
        </w:numPr>
        <w:spacing w:after="0"/>
        <w:jc w:val="both"/>
        <w:rPr>
          <w:rFonts w:ascii="Trebuchet MS" w:hAnsi="Trebuchet MS"/>
          <w:lang w:val="en-US"/>
        </w:rPr>
      </w:pPr>
      <w:r>
        <w:rPr>
          <w:rFonts w:ascii="Trebuchet MS" w:hAnsi="Trebuchet MS"/>
          <w:lang w:val="en-US"/>
        </w:rPr>
        <w:t xml:space="preserve">The </w:t>
      </w:r>
      <w:r w:rsidRPr="0003235C">
        <w:rPr>
          <w:rFonts w:ascii="Trebuchet MS" w:hAnsi="Trebuchet MS"/>
          <w:lang w:val="en-US"/>
        </w:rPr>
        <w:t xml:space="preserve">Employment, Social Policy, Health and Consumer Affairs Council (EPSCO) has </w:t>
      </w:r>
      <w:r>
        <w:rPr>
          <w:rFonts w:ascii="Trebuchet MS" w:hAnsi="Trebuchet MS"/>
          <w:lang w:val="en-US"/>
        </w:rPr>
        <w:t xml:space="preserve">just </w:t>
      </w:r>
      <w:r w:rsidRPr="0003235C">
        <w:rPr>
          <w:rFonts w:ascii="Trebuchet MS" w:hAnsi="Trebuchet MS"/>
          <w:lang w:val="en-US"/>
        </w:rPr>
        <w:t xml:space="preserve">adopted the Commission proposal on establishing a </w:t>
      </w:r>
      <w:hyperlink r:id="rId26" w:history="1">
        <w:r w:rsidRPr="0003235C">
          <w:rPr>
            <w:rStyle w:val="Hyperlink"/>
            <w:rFonts w:ascii="Trebuchet MS" w:hAnsi="Trebuchet MS"/>
            <w:lang w:val="en-US"/>
          </w:rPr>
          <w:t>European Child Guarantee</w:t>
        </w:r>
      </w:hyperlink>
      <w:r w:rsidRPr="0003235C">
        <w:rPr>
          <w:rFonts w:ascii="Trebuchet MS" w:hAnsi="Trebuchet MS"/>
          <w:lang w:val="en-US"/>
        </w:rPr>
        <w:t>.</w:t>
      </w:r>
      <w:r>
        <w:rPr>
          <w:rFonts w:ascii="Trebuchet MS" w:hAnsi="Trebuchet MS"/>
          <w:lang w:val="en-US"/>
        </w:rPr>
        <w:t xml:space="preserve"> The latter aims at providing </w:t>
      </w:r>
      <w:r w:rsidRPr="0003235C">
        <w:rPr>
          <w:rFonts w:ascii="Trebuchet MS" w:hAnsi="Trebuchet MS"/>
          <w:lang w:val="en-US"/>
        </w:rPr>
        <w:t xml:space="preserve">every child in Europe at risk of poverty or social exclusion </w:t>
      </w:r>
      <w:r>
        <w:rPr>
          <w:rFonts w:ascii="Trebuchet MS" w:hAnsi="Trebuchet MS"/>
          <w:lang w:val="en-US"/>
        </w:rPr>
        <w:t xml:space="preserve">with </w:t>
      </w:r>
      <w:r w:rsidRPr="0003235C">
        <w:rPr>
          <w:rFonts w:ascii="Trebuchet MS" w:hAnsi="Trebuchet MS"/>
          <w:lang w:val="en-US"/>
        </w:rPr>
        <w:t xml:space="preserve">access to </w:t>
      </w:r>
      <w:r>
        <w:rPr>
          <w:rFonts w:ascii="Trebuchet MS" w:hAnsi="Trebuchet MS"/>
          <w:lang w:val="en-US"/>
        </w:rPr>
        <w:t xml:space="preserve">essential services </w:t>
      </w:r>
      <w:r w:rsidRPr="0003235C">
        <w:rPr>
          <w:rFonts w:ascii="Trebuchet MS" w:hAnsi="Trebuchet MS"/>
          <w:lang w:val="en-US"/>
        </w:rPr>
        <w:t>like health care</w:t>
      </w:r>
      <w:r>
        <w:rPr>
          <w:rFonts w:ascii="Trebuchet MS" w:hAnsi="Trebuchet MS"/>
          <w:lang w:val="en-US"/>
        </w:rPr>
        <w:t xml:space="preserve">, </w:t>
      </w:r>
      <w:r w:rsidRPr="0003235C">
        <w:rPr>
          <w:rFonts w:ascii="Trebuchet MS" w:hAnsi="Trebuchet MS"/>
          <w:lang w:val="en-US"/>
        </w:rPr>
        <w:t>education</w:t>
      </w:r>
      <w:r>
        <w:rPr>
          <w:rFonts w:ascii="Trebuchet MS" w:hAnsi="Trebuchet MS"/>
          <w:lang w:val="en-US"/>
        </w:rPr>
        <w:t xml:space="preserve">, early childhood care and housing. </w:t>
      </w:r>
      <w:r w:rsidR="00157DD8" w:rsidRPr="00157DD8">
        <w:rPr>
          <w:rFonts w:ascii="Trebuchet MS" w:hAnsi="Trebuchet MS"/>
          <w:lang w:val="en-US"/>
        </w:rPr>
        <w:t>The Child Guarantee require</w:t>
      </w:r>
      <w:r w:rsidR="00157DD8">
        <w:rPr>
          <w:rFonts w:ascii="Trebuchet MS" w:hAnsi="Trebuchet MS"/>
          <w:lang w:val="en-US"/>
        </w:rPr>
        <w:t>s</w:t>
      </w:r>
      <w:r w:rsidR="00157DD8" w:rsidRPr="00157DD8">
        <w:rPr>
          <w:rFonts w:ascii="Trebuchet MS" w:hAnsi="Trebuchet MS"/>
          <w:lang w:val="en-US"/>
        </w:rPr>
        <w:t xml:space="preserve"> Member States to submit Child Guarantee National Action Plans within 9 months since its adoption and to nominate a national Child Guarantee Coordinator. It </w:t>
      </w:r>
      <w:r w:rsidR="00157DD8">
        <w:rPr>
          <w:rFonts w:ascii="Trebuchet MS" w:hAnsi="Trebuchet MS"/>
          <w:lang w:val="en-US"/>
        </w:rPr>
        <w:t xml:space="preserve">promotes </w:t>
      </w:r>
      <w:r w:rsidR="00157DD8" w:rsidRPr="00157DD8">
        <w:rPr>
          <w:rFonts w:ascii="Trebuchet MS" w:hAnsi="Trebuchet MS"/>
          <w:lang w:val="en-US"/>
        </w:rPr>
        <w:t>a right-based</w:t>
      </w:r>
      <w:r w:rsidR="00157DD8">
        <w:rPr>
          <w:rFonts w:ascii="Trebuchet MS" w:hAnsi="Trebuchet MS"/>
          <w:lang w:val="en-US"/>
        </w:rPr>
        <w:t xml:space="preserve"> </w:t>
      </w:r>
      <w:r w:rsidR="00157DD8" w:rsidRPr="00157DD8">
        <w:rPr>
          <w:rFonts w:ascii="Trebuchet MS" w:hAnsi="Trebuchet MS"/>
          <w:lang w:val="en-US"/>
        </w:rPr>
        <w:t>and multidimensional approach to addressing child poverty and social exclusion</w:t>
      </w:r>
      <w:r w:rsidR="00157DD8">
        <w:rPr>
          <w:rFonts w:ascii="Trebuchet MS" w:hAnsi="Trebuchet MS"/>
          <w:lang w:val="en-US"/>
        </w:rPr>
        <w:t xml:space="preserve">. </w:t>
      </w:r>
      <w:r w:rsidR="0051468E">
        <w:rPr>
          <w:rFonts w:ascii="Trebuchet MS" w:hAnsi="Trebuchet MS"/>
          <w:lang w:val="en-US"/>
        </w:rPr>
        <w:t xml:space="preserve">The European Child Guarantee effectively responds to </w:t>
      </w:r>
      <w:hyperlink r:id="rId27" w:history="1">
        <w:r w:rsidR="0051468E" w:rsidRPr="0051468E">
          <w:rPr>
            <w:rStyle w:val="Hyperlink"/>
            <w:rFonts w:ascii="Trebuchet MS" w:hAnsi="Trebuchet MS"/>
            <w:lang w:val="en-US"/>
          </w:rPr>
          <w:t>Thematic area 2 of the EU Strategy on the Rights of the Child</w:t>
        </w:r>
      </w:hyperlink>
      <w:r w:rsidR="0051468E">
        <w:rPr>
          <w:rFonts w:ascii="Trebuchet MS" w:hAnsi="Trebuchet MS"/>
          <w:lang w:val="en-US"/>
        </w:rPr>
        <w:t>, namely s</w:t>
      </w:r>
      <w:r w:rsidR="0051468E" w:rsidRPr="0051468E">
        <w:rPr>
          <w:rFonts w:ascii="Trebuchet MS" w:hAnsi="Trebuchet MS"/>
          <w:lang w:val="en-US"/>
        </w:rPr>
        <w:t>ocio-economic inclusion, health and education</w:t>
      </w:r>
      <w:r w:rsidR="0051468E">
        <w:rPr>
          <w:rFonts w:ascii="Trebuchet MS" w:hAnsi="Trebuchet MS"/>
          <w:lang w:val="en-US"/>
        </w:rPr>
        <w:t>.</w:t>
      </w:r>
      <w:r w:rsidR="00174FC0">
        <w:rPr>
          <w:rFonts w:ascii="Trebuchet MS" w:hAnsi="Trebuchet MS"/>
          <w:lang w:val="en-US"/>
        </w:rPr>
        <w:t xml:space="preserve"> </w:t>
      </w:r>
      <w:r w:rsidR="002E4D3D">
        <w:rPr>
          <w:rFonts w:ascii="Trebuchet MS" w:hAnsi="Trebuchet MS"/>
          <w:lang w:val="en-US"/>
        </w:rPr>
        <w:t xml:space="preserve">Child Guarantee might provide opportunities to leverage EAPN policy recommendations on Ensuring Education, Vocational Trainings and Lifelong Learning in relation to access to essential services, within the </w:t>
      </w:r>
      <w:r w:rsidR="002E4D3D" w:rsidRPr="002E4D3D">
        <w:rPr>
          <w:rFonts w:ascii="Trebuchet MS" w:hAnsi="Trebuchet MS"/>
          <w:lang w:val="en-US"/>
        </w:rPr>
        <w:t>national Child Guarantee Action Plans</w:t>
      </w:r>
      <w:r w:rsidR="002E4D3D">
        <w:rPr>
          <w:rFonts w:ascii="Trebuchet MS" w:hAnsi="Trebuchet MS"/>
          <w:lang w:val="en-US"/>
        </w:rPr>
        <w:t xml:space="preserve"> and vulnerable children consultation reg</w:t>
      </w:r>
      <w:r w:rsidR="0049610C">
        <w:rPr>
          <w:rFonts w:ascii="Trebuchet MS" w:hAnsi="Trebuchet MS"/>
          <w:lang w:val="en-US"/>
        </w:rPr>
        <w:t>ar</w:t>
      </w:r>
      <w:r w:rsidR="002E4D3D">
        <w:rPr>
          <w:rFonts w:ascii="Trebuchet MS" w:hAnsi="Trebuchet MS"/>
          <w:lang w:val="en-US"/>
        </w:rPr>
        <w:t xml:space="preserve">ding their planning, execution and evaluation. </w:t>
      </w:r>
      <w:r w:rsidR="00A36321">
        <w:rPr>
          <w:rFonts w:ascii="Trebuchet MS" w:hAnsi="Trebuchet MS"/>
          <w:lang w:val="en-US"/>
        </w:rPr>
        <w:t xml:space="preserve">Lastly, the Child Guarantee Action Plans (by March 2022 tbc) should be monitored to ensure that it </w:t>
      </w:r>
      <w:r w:rsidR="00A36321" w:rsidRPr="00A36321">
        <w:rPr>
          <w:rFonts w:ascii="Trebuchet MS" w:hAnsi="Trebuchet MS"/>
          <w:lang w:val="en-US"/>
        </w:rPr>
        <w:t>feeds into the European Semester process</w:t>
      </w:r>
      <w:r w:rsidR="00A36321">
        <w:rPr>
          <w:rFonts w:ascii="Trebuchet MS" w:hAnsi="Trebuchet MS"/>
          <w:lang w:val="en-US"/>
        </w:rPr>
        <w:t xml:space="preserve"> and it triggers concrete reforms at national level (</w:t>
      </w:r>
      <w:hyperlink r:id="rId28" w:history="1">
        <w:r w:rsidR="00A36321" w:rsidRPr="00A36321">
          <w:rPr>
            <w:rStyle w:val="Hyperlink"/>
            <w:rFonts w:ascii="Trebuchet MS" w:hAnsi="Trebuchet MS"/>
            <w:lang w:val="en-US"/>
          </w:rPr>
          <w:t>Manifesto on Child Poverty and Social Exclusion in the EU</w:t>
        </w:r>
      </w:hyperlink>
      <w:r w:rsidR="00A36321">
        <w:rPr>
          <w:rFonts w:ascii="Trebuchet MS" w:hAnsi="Trebuchet MS"/>
          <w:lang w:val="en-US"/>
        </w:rPr>
        <w:t xml:space="preserve">). </w:t>
      </w:r>
    </w:p>
    <w:p w14:paraId="723C304D" w14:textId="12860254" w:rsidR="00B67A0B" w:rsidRDefault="00B67A0B" w:rsidP="0003235C">
      <w:pPr>
        <w:pStyle w:val="ListParagraph"/>
        <w:numPr>
          <w:ilvl w:val="0"/>
          <w:numId w:val="13"/>
        </w:numPr>
        <w:spacing w:after="0"/>
        <w:jc w:val="both"/>
        <w:rPr>
          <w:rFonts w:ascii="Trebuchet MS" w:hAnsi="Trebuchet MS"/>
          <w:lang w:val="en-US"/>
        </w:rPr>
      </w:pPr>
      <w:r>
        <w:rPr>
          <w:rFonts w:ascii="Trebuchet MS" w:hAnsi="Trebuchet MS"/>
          <w:lang w:val="en-US"/>
        </w:rPr>
        <w:t>The Revision of the Social Scoreboard offers the opportunity to advocate for the use of disaggregated data to monitor EU countries’ policies detecting inequalities and intersectional discrimination and promoting non-discriminatory access to essential services.</w:t>
      </w:r>
      <w:r w:rsidR="00B01E4F">
        <w:rPr>
          <w:rFonts w:ascii="Trebuchet MS" w:hAnsi="Trebuchet MS"/>
          <w:lang w:val="en-US"/>
        </w:rPr>
        <w:t xml:space="preserve"> We should monitor any change regarding indicators </w:t>
      </w:r>
      <w:r w:rsidR="00F8542B">
        <w:rPr>
          <w:rFonts w:ascii="Trebuchet MS" w:hAnsi="Trebuchet MS"/>
          <w:lang w:val="en-US"/>
        </w:rPr>
        <w:t>(</w:t>
      </w:r>
      <w:r w:rsidR="0026477B">
        <w:rPr>
          <w:rFonts w:ascii="Trebuchet MS" w:hAnsi="Trebuchet MS"/>
          <w:lang w:val="en-US"/>
        </w:rPr>
        <w:t>s</w:t>
      </w:r>
      <w:r w:rsidR="00F8542B" w:rsidRPr="00F8542B">
        <w:rPr>
          <w:rFonts w:ascii="Trebuchet MS" w:hAnsi="Trebuchet MS"/>
          <w:lang w:val="en-US"/>
        </w:rPr>
        <w:t xml:space="preserve">ocial protection and inclusion </w:t>
      </w:r>
      <w:r w:rsidR="00F8542B">
        <w:rPr>
          <w:rFonts w:ascii="Trebuchet MS" w:hAnsi="Trebuchet MS"/>
          <w:lang w:val="en-US"/>
        </w:rPr>
        <w:t xml:space="preserve">ones, in particular) </w:t>
      </w:r>
      <w:r w:rsidR="00B01E4F">
        <w:rPr>
          <w:rFonts w:ascii="Trebuchet MS" w:hAnsi="Trebuchet MS"/>
          <w:lang w:val="en-US"/>
        </w:rPr>
        <w:t xml:space="preserve">that may have an impact on perception of poverty in the EU and that may </w:t>
      </w:r>
      <w:r w:rsidR="00B01E4F" w:rsidRPr="00B01E4F">
        <w:rPr>
          <w:rFonts w:ascii="Trebuchet MS" w:hAnsi="Trebuchet MS"/>
          <w:lang w:val="en-US"/>
        </w:rPr>
        <w:t>complement the assessment of</w:t>
      </w:r>
      <w:r w:rsidR="00B01E4F">
        <w:rPr>
          <w:rFonts w:ascii="Trebuchet MS" w:hAnsi="Trebuchet MS"/>
          <w:lang w:val="en-US"/>
        </w:rPr>
        <w:t xml:space="preserve"> economic performance and stability. </w:t>
      </w:r>
      <w:r w:rsidR="008C1D3A" w:rsidRPr="008C1D3A">
        <w:rPr>
          <w:rFonts w:ascii="Trebuchet MS" w:hAnsi="Trebuchet MS"/>
          <w:lang w:val="en-US"/>
        </w:rPr>
        <w:t xml:space="preserve">The </w:t>
      </w:r>
      <w:r w:rsidR="008C1D3A">
        <w:rPr>
          <w:rFonts w:ascii="Trebuchet MS" w:hAnsi="Trebuchet MS"/>
          <w:lang w:val="en-US"/>
        </w:rPr>
        <w:t xml:space="preserve">headline indicators of the </w:t>
      </w:r>
      <w:r w:rsidR="008C1D3A" w:rsidRPr="008C1D3A">
        <w:rPr>
          <w:rFonts w:ascii="Trebuchet MS" w:hAnsi="Trebuchet MS"/>
          <w:lang w:val="en-US"/>
        </w:rPr>
        <w:t xml:space="preserve">revised social scoreboard </w:t>
      </w:r>
      <w:r w:rsidR="008C1D3A">
        <w:rPr>
          <w:rFonts w:ascii="Trebuchet MS" w:hAnsi="Trebuchet MS"/>
          <w:lang w:val="en-US"/>
        </w:rPr>
        <w:t>(</w:t>
      </w:r>
      <w:hyperlink r:id="rId29" w:anchor="chapter2" w:history="1">
        <w:r w:rsidR="008C1D3A" w:rsidRPr="00C42A7E">
          <w:rPr>
            <w:rStyle w:val="Hyperlink"/>
            <w:rFonts w:ascii="Trebuchet MS" w:hAnsi="Trebuchet MS"/>
            <w:lang w:val="en-US"/>
          </w:rPr>
          <w:t>Annex 2 of the EPRS Action Plan</w:t>
        </w:r>
      </w:hyperlink>
      <w:r w:rsidR="008C1D3A">
        <w:rPr>
          <w:rFonts w:ascii="Trebuchet MS" w:hAnsi="Trebuchet MS"/>
          <w:lang w:val="en-US"/>
        </w:rPr>
        <w:t>) have already been endorsed by EPSCO, but discussions on the secondary indicators are still ongoing</w:t>
      </w:r>
      <w:r w:rsidR="008C1D3A" w:rsidRPr="008C1D3A">
        <w:rPr>
          <w:rFonts w:ascii="Trebuchet MS" w:hAnsi="Trebuchet MS"/>
          <w:lang w:val="en-US"/>
        </w:rPr>
        <w:t>.</w:t>
      </w:r>
    </w:p>
    <w:p w14:paraId="25659378" w14:textId="7355D1CD" w:rsidR="00ED2549" w:rsidRDefault="008E6DC7" w:rsidP="00342179">
      <w:pPr>
        <w:pStyle w:val="ListParagraph"/>
        <w:numPr>
          <w:ilvl w:val="0"/>
          <w:numId w:val="13"/>
        </w:numPr>
        <w:spacing w:after="0"/>
        <w:jc w:val="both"/>
        <w:rPr>
          <w:rFonts w:ascii="Trebuchet MS" w:hAnsi="Trebuchet MS"/>
          <w:lang w:val="en-US"/>
        </w:rPr>
      </w:pPr>
      <w:r>
        <w:rPr>
          <w:rFonts w:ascii="Trebuchet MS" w:hAnsi="Trebuchet MS"/>
          <w:lang w:val="en-US"/>
        </w:rPr>
        <w:t xml:space="preserve">The European </w:t>
      </w:r>
      <w:hyperlink r:id="rId30" w:history="1">
        <w:r w:rsidRPr="008E6DC7">
          <w:rPr>
            <w:rStyle w:val="Hyperlink"/>
            <w:rFonts w:ascii="Trebuchet MS" w:hAnsi="Trebuchet MS"/>
            <w:lang w:val="en-US"/>
          </w:rPr>
          <w:t>Communication on the Digital Compass</w:t>
        </w:r>
      </w:hyperlink>
      <w:r w:rsidRPr="008E6DC7">
        <w:rPr>
          <w:rFonts w:ascii="Trebuchet MS" w:hAnsi="Trebuchet MS"/>
          <w:lang w:val="en-US"/>
        </w:rPr>
        <w:t>: the European way for the Digital Decade</w:t>
      </w:r>
      <w:r>
        <w:rPr>
          <w:rFonts w:ascii="Trebuchet MS" w:hAnsi="Trebuchet MS"/>
          <w:lang w:val="en-US"/>
        </w:rPr>
        <w:t xml:space="preserve"> </w:t>
      </w:r>
      <w:r w:rsidRPr="008E6DC7">
        <w:rPr>
          <w:rFonts w:ascii="Trebuchet MS" w:hAnsi="Trebuchet MS"/>
          <w:lang w:val="en-US"/>
        </w:rPr>
        <w:t>agree</w:t>
      </w:r>
      <w:r w:rsidR="000D253C">
        <w:rPr>
          <w:rFonts w:ascii="Trebuchet MS" w:hAnsi="Trebuchet MS"/>
          <w:lang w:val="en-US"/>
        </w:rPr>
        <w:t>d</w:t>
      </w:r>
      <w:r w:rsidRPr="008E6DC7">
        <w:rPr>
          <w:rFonts w:ascii="Trebuchet MS" w:hAnsi="Trebuchet MS"/>
          <w:lang w:val="en-US"/>
        </w:rPr>
        <w:t xml:space="preserve"> on a set of digital</w:t>
      </w:r>
      <w:r>
        <w:rPr>
          <w:rFonts w:ascii="Trebuchet MS" w:hAnsi="Trebuchet MS"/>
          <w:lang w:val="en-US"/>
        </w:rPr>
        <w:t xml:space="preserve"> principles including the</w:t>
      </w:r>
      <w:r w:rsidRPr="008E6DC7">
        <w:rPr>
          <w:rFonts w:ascii="Trebuchet MS" w:hAnsi="Trebuchet MS"/>
          <w:lang w:val="en-US"/>
        </w:rPr>
        <w:t xml:space="preserve"> launch </w:t>
      </w:r>
      <w:r>
        <w:rPr>
          <w:rFonts w:ascii="Trebuchet MS" w:hAnsi="Trebuchet MS"/>
          <w:lang w:val="en-US"/>
        </w:rPr>
        <w:t xml:space="preserve">of </w:t>
      </w:r>
      <w:r w:rsidRPr="008E6DC7">
        <w:rPr>
          <w:rFonts w:ascii="Trebuchet MS" w:hAnsi="Trebuchet MS"/>
          <w:lang w:val="en-US"/>
        </w:rPr>
        <w:t>important multi-country projects</w:t>
      </w:r>
      <w:r>
        <w:rPr>
          <w:rFonts w:ascii="Trebuchet MS" w:hAnsi="Trebuchet MS"/>
          <w:lang w:val="en-US"/>
        </w:rPr>
        <w:t xml:space="preserve">. Principles encompass </w:t>
      </w:r>
      <w:r w:rsidR="00257EA2">
        <w:rPr>
          <w:rFonts w:ascii="Trebuchet MS" w:hAnsi="Trebuchet MS"/>
          <w:lang w:val="en-US"/>
        </w:rPr>
        <w:t>u</w:t>
      </w:r>
      <w:r w:rsidR="00257EA2" w:rsidRPr="00257EA2">
        <w:rPr>
          <w:rFonts w:ascii="Trebuchet MS" w:hAnsi="Trebuchet MS"/>
          <w:lang w:val="en-US"/>
        </w:rPr>
        <w:t xml:space="preserve">niversal </w:t>
      </w:r>
      <w:r w:rsidR="00257EA2">
        <w:rPr>
          <w:rFonts w:ascii="Trebuchet MS" w:hAnsi="Trebuchet MS"/>
          <w:lang w:val="en-US"/>
        </w:rPr>
        <w:t>a</w:t>
      </w:r>
      <w:r w:rsidR="00257EA2" w:rsidRPr="00257EA2">
        <w:rPr>
          <w:rFonts w:ascii="Trebuchet MS" w:hAnsi="Trebuchet MS"/>
          <w:lang w:val="en-US"/>
        </w:rPr>
        <w:t>ccess to internet services</w:t>
      </w:r>
      <w:r w:rsidR="00257EA2">
        <w:rPr>
          <w:rFonts w:ascii="Trebuchet MS" w:hAnsi="Trebuchet MS"/>
          <w:lang w:val="en-US"/>
        </w:rPr>
        <w:t>, a</w:t>
      </w:r>
      <w:r w:rsidR="00257EA2" w:rsidRPr="00257EA2">
        <w:rPr>
          <w:rFonts w:ascii="Trebuchet MS" w:hAnsi="Trebuchet MS"/>
          <w:lang w:val="en-US"/>
        </w:rPr>
        <w:t>ccess to digital systems and devices that respect the environment</w:t>
      </w:r>
      <w:r w:rsidR="00257EA2">
        <w:rPr>
          <w:rFonts w:ascii="Trebuchet MS" w:hAnsi="Trebuchet MS"/>
          <w:lang w:val="en-US"/>
        </w:rPr>
        <w:t>, a</w:t>
      </w:r>
      <w:r w:rsidR="00257EA2" w:rsidRPr="00257EA2">
        <w:rPr>
          <w:rFonts w:ascii="Trebuchet MS" w:hAnsi="Trebuchet MS"/>
          <w:lang w:val="en-US"/>
        </w:rPr>
        <w:t>ccess to digital health services</w:t>
      </w:r>
      <w:r w:rsidR="00257EA2">
        <w:rPr>
          <w:rFonts w:ascii="Trebuchet MS" w:hAnsi="Trebuchet MS"/>
          <w:lang w:val="en-US"/>
        </w:rPr>
        <w:t>, u</w:t>
      </w:r>
      <w:r w:rsidR="00257EA2" w:rsidRPr="00257EA2">
        <w:rPr>
          <w:rFonts w:ascii="Trebuchet MS" w:hAnsi="Trebuchet MS"/>
          <w:lang w:val="en-US"/>
        </w:rPr>
        <w:t>niversal digital education and skills</w:t>
      </w:r>
      <w:r w:rsidR="00257EA2">
        <w:rPr>
          <w:rFonts w:ascii="Trebuchet MS" w:hAnsi="Trebuchet MS"/>
          <w:lang w:val="en-US"/>
        </w:rPr>
        <w:t xml:space="preserve">. The Commission also proposed </w:t>
      </w:r>
      <w:r w:rsidR="00257EA2" w:rsidRPr="00257EA2">
        <w:rPr>
          <w:rFonts w:ascii="Trebuchet MS" w:hAnsi="Trebuchet MS"/>
          <w:lang w:val="en-US"/>
        </w:rPr>
        <w:t>to include such a set of digital principles and rights in an interinstitutional declaration between the European Commission, the European Parliament</w:t>
      </w:r>
      <w:r w:rsidR="00257EA2">
        <w:rPr>
          <w:rFonts w:ascii="Trebuchet MS" w:hAnsi="Trebuchet MS"/>
          <w:lang w:val="en-US"/>
        </w:rPr>
        <w:t xml:space="preserve"> </w:t>
      </w:r>
      <w:r w:rsidR="00257EA2" w:rsidRPr="00257EA2">
        <w:rPr>
          <w:rFonts w:ascii="Trebuchet MS" w:hAnsi="Trebuchet MS"/>
          <w:lang w:val="en-US"/>
        </w:rPr>
        <w:t>and the Council, complementing the experience of the European Pillar of Social Rights</w:t>
      </w:r>
      <w:r w:rsidR="00257EA2">
        <w:rPr>
          <w:rFonts w:ascii="Trebuchet MS" w:hAnsi="Trebuchet MS"/>
          <w:lang w:val="en-US"/>
        </w:rPr>
        <w:t>.</w:t>
      </w:r>
      <w:r w:rsidR="00342179">
        <w:rPr>
          <w:rFonts w:ascii="Trebuchet MS" w:hAnsi="Trebuchet MS"/>
          <w:lang w:val="en-US"/>
        </w:rPr>
        <w:t xml:space="preserve"> The Commission will publish </w:t>
      </w:r>
      <w:r w:rsidR="00342179" w:rsidRPr="00342179">
        <w:rPr>
          <w:rFonts w:ascii="Trebuchet MS" w:hAnsi="Trebuchet MS"/>
          <w:lang w:val="en-US"/>
        </w:rPr>
        <w:t>annually the European State of</w:t>
      </w:r>
      <w:r w:rsidR="00342179">
        <w:rPr>
          <w:rFonts w:ascii="Trebuchet MS" w:hAnsi="Trebuchet MS"/>
          <w:lang w:val="en-US"/>
        </w:rPr>
        <w:t xml:space="preserve"> </w:t>
      </w:r>
      <w:r w:rsidR="00342179" w:rsidRPr="00342179">
        <w:rPr>
          <w:rFonts w:ascii="Trebuchet MS" w:hAnsi="Trebuchet MS"/>
          <w:lang w:val="en-US"/>
        </w:rPr>
        <w:t>the Digital Decade Report</w:t>
      </w:r>
      <w:r w:rsidR="00342179">
        <w:rPr>
          <w:rFonts w:ascii="Trebuchet MS" w:hAnsi="Trebuchet MS"/>
          <w:lang w:val="en-US"/>
        </w:rPr>
        <w:t xml:space="preserve"> to report on the progress towards targets and principles. EAPN could trigger an internal reflection within the network of members to identify solutions for an inclusive and sustainable digital society. Questions that may be asked include the following:</w:t>
      </w:r>
    </w:p>
    <w:p w14:paraId="3A182ABE" w14:textId="6F845F4E" w:rsidR="00342179" w:rsidRPr="00960278" w:rsidRDefault="00342179" w:rsidP="00960278">
      <w:pPr>
        <w:pStyle w:val="ListParagraph"/>
        <w:spacing w:after="0"/>
        <w:ind w:left="717"/>
        <w:jc w:val="both"/>
        <w:rPr>
          <w:rFonts w:ascii="Trebuchet MS" w:hAnsi="Trebuchet MS"/>
          <w:lang w:val="en-US"/>
        </w:rPr>
      </w:pPr>
      <w:r>
        <w:rPr>
          <w:rFonts w:ascii="Trebuchet MS" w:hAnsi="Trebuchet MS"/>
          <w:lang w:val="en-US"/>
        </w:rPr>
        <w:t xml:space="preserve">What type of digital services vulnerable people need the most? Do we have good practices/recommendations to ensure that people benefit from non-discriminatory </w:t>
      </w:r>
      <w:r>
        <w:rPr>
          <w:rFonts w:ascii="Trebuchet MS" w:hAnsi="Trebuchet MS"/>
          <w:lang w:val="en-US"/>
        </w:rPr>
        <w:lastRenderedPageBreak/>
        <w:t>access to online services</w:t>
      </w:r>
      <w:r w:rsidR="00960278">
        <w:rPr>
          <w:rFonts w:ascii="Trebuchet MS" w:hAnsi="Trebuchet MS"/>
          <w:lang w:val="en-US"/>
        </w:rPr>
        <w:t xml:space="preserve"> and digital infrastructure? Can we advocate for a multi-country project closing the digital gap and fostering equal opportunities for the digitally skilled population? </w:t>
      </w:r>
      <w:r w:rsidR="00960278" w:rsidRPr="00960278">
        <w:rPr>
          <w:rFonts w:ascii="Trebuchet MS" w:hAnsi="Trebuchet MS"/>
          <w:lang w:val="en-US"/>
        </w:rPr>
        <w:t>The Recovery and Resilience</w:t>
      </w:r>
      <w:r w:rsidR="00960278">
        <w:rPr>
          <w:rFonts w:ascii="Trebuchet MS" w:hAnsi="Trebuchet MS"/>
          <w:lang w:val="en-US"/>
        </w:rPr>
        <w:t xml:space="preserve"> </w:t>
      </w:r>
      <w:r w:rsidR="00960278" w:rsidRPr="00960278">
        <w:rPr>
          <w:rFonts w:ascii="Trebuchet MS" w:hAnsi="Trebuchet MS"/>
          <w:lang w:val="en-US"/>
        </w:rPr>
        <w:t>Facility (RRF) Regulation</w:t>
      </w:r>
      <w:r w:rsidR="00960278">
        <w:rPr>
          <w:rFonts w:ascii="Trebuchet MS" w:hAnsi="Trebuchet MS"/>
          <w:lang w:val="en-US"/>
        </w:rPr>
        <w:t xml:space="preserve"> recognizes the importance of developing such projects by combining investments from national recovery and resilience plans. </w:t>
      </w:r>
    </w:p>
    <w:p w14:paraId="2B6B33B6" w14:textId="4AAB8B3B" w:rsidR="00960278" w:rsidRDefault="00960278" w:rsidP="00342179">
      <w:pPr>
        <w:pStyle w:val="ListParagraph"/>
        <w:spacing w:after="0"/>
        <w:ind w:left="717"/>
        <w:jc w:val="both"/>
        <w:rPr>
          <w:rFonts w:ascii="Trebuchet MS" w:hAnsi="Trebuchet MS"/>
          <w:lang w:val="en-US"/>
        </w:rPr>
      </w:pPr>
    </w:p>
    <w:p w14:paraId="4CA02F13" w14:textId="77777777" w:rsidR="00A67985" w:rsidRDefault="00A67985" w:rsidP="003501BF">
      <w:pPr>
        <w:spacing w:after="0"/>
        <w:jc w:val="both"/>
        <w:rPr>
          <w:rFonts w:ascii="Trebuchet MS" w:hAnsi="Trebuchet MS"/>
          <w:b/>
          <w:bCs/>
          <w:u w:val="single"/>
          <w:lang w:val="en-US"/>
        </w:rPr>
      </w:pPr>
    </w:p>
    <w:p w14:paraId="71691131" w14:textId="66C58A65" w:rsidR="00E341C8" w:rsidRDefault="00CF02DE" w:rsidP="003501BF">
      <w:pPr>
        <w:spacing w:after="0"/>
        <w:jc w:val="both"/>
        <w:rPr>
          <w:rFonts w:ascii="Trebuchet MS" w:hAnsi="Trebuchet MS"/>
          <w:b/>
          <w:bCs/>
          <w:u w:val="single"/>
          <w:lang w:val="en-US"/>
        </w:rPr>
      </w:pPr>
      <w:r w:rsidRPr="00CF02DE">
        <w:rPr>
          <w:rFonts w:ascii="Trebuchet MS" w:hAnsi="Trebuchet MS"/>
          <w:b/>
          <w:bCs/>
          <w:u w:val="single"/>
          <w:lang w:val="en-US"/>
        </w:rPr>
        <w:t>Key objectives</w:t>
      </w:r>
    </w:p>
    <w:p w14:paraId="629DCD60" w14:textId="5ADCD2A3" w:rsidR="005C3C95" w:rsidRDefault="005C3C95" w:rsidP="003501BF">
      <w:pPr>
        <w:spacing w:after="0"/>
        <w:jc w:val="both"/>
        <w:rPr>
          <w:rFonts w:ascii="Trebuchet MS" w:hAnsi="Trebuchet MS"/>
          <w:b/>
          <w:bCs/>
          <w:u w:val="single"/>
          <w:lang w:val="en-US"/>
        </w:rPr>
      </w:pPr>
    </w:p>
    <w:p w14:paraId="64898D3B" w14:textId="322B4BEC" w:rsidR="005C3C95" w:rsidRDefault="00FA29F1" w:rsidP="005B4D76">
      <w:pPr>
        <w:pStyle w:val="ListParagraph"/>
        <w:numPr>
          <w:ilvl w:val="0"/>
          <w:numId w:val="16"/>
        </w:numPr>
        <w:spacing w:after="0"/>
        <w:jc w:val="both"/>
        <w:rPr>
          <w:rFonts w:ascii="Trebuchet MS" w:hAnsi="Trebuchet MS"/>
          <w:lang w:val="en-US"/>
        </w:rPr>
      </w:pPr>
      <w:r>
        <w:rPr>
          <w:rFonts w:ascii="Trebuchet MS" w:hAnsi="Trebuchet MS"/>
          <w:lang w:val="en-US"/>
        </w:rPr>
        <w:t>S</w:t>
      </w:r>
      <w:r w:rsidR="005C3C95" w:rsidRPr="005C3C95">
        <w:rPr>
          <w:rFonts w:ascii="Trebuchet MS" w:hAnsi="Trebuchet MS"/>
          <w:lang w:val="en-US"/>
        </w:rPr>
        <w:t xml:space="preserve">trengthen public support in Europe </w:t>
      </w:r>
      <w:r w:rsidR="00F45FAD">
        <w:rPr>
          <w:rFonts w:ascii="Trebuchet MS" w:hAnsi="Trebuchet MS"/>
          <w:lang w:val="en-US"/>
        </w:rPr>
        <w:t>in favor of</w:t>
      </w:r>
      <w:r w:rsidR="005C3C95" w:rsidRPr="005C3C95">
        <w:rPr>
          <w:rFonts w:ascii="Trebuchet MS" w:hAnsi="Trebuchet MS"/>
          <w:lang w:val="en-US"/>
        </w:rPr>
        <w:t xml:space="preserve"> indicators and strategies to tackle </w:t>
      </w:r>
      <w:hyperlink r:id="rId31" w:history="1">
        <w:r w:rsidR="005C3C95" w:rsidRPr="00B44D55">
          <w:rPr>
            <w:rStyle w:val="Hyperlink"/>
            <w:rFonts w:ascii="Trebuchet MS" w:hAnsi="Trebuchet MS"/>
            <w:lang w:val="en-US"/>
          </w:rPr>
          <w:t>multidimensional poverty</w:t>
        </w:r>
      </w:hyperlink>
      <w:r w:rsidR="005C3C95" w:rsidRPr="005C3C95">
        <w:rPr>
          <w:rFonts w:ascii="Trebuchet MS" w:hAnsi="Trebuchet MS"/>
          <w:lang w:val="en-US"/>
        </w:rPr>
        <w:t xml:space="preserve"> </w:t>
      </w:r>
      <w:r w:rsidR="00666E9C">
        <w:rPr>
          <w:rFonts w:ascii="Trebuchet MS" w:hAnsi="Trebuchet MS"/>
          <w:lang w:val="en-US"/>
        </w:rPr>
        <w:t xml:space="preserve">through </w:t>
      </w:r>
      <w:r w:rsidR="00666E9C" w:rsidRPr="00666E9C">
        <w:rPr>
          <w:rFonts w:ascii="Trebuchet MS" w:hAnsi="Trebuchet MS"/>
          <w:lang w:val="en-US"/>
        </w:rPr>
        <w:t xml:space="preserve">a new European Strategy against Poverty, </w:t>
      </w:r>
      <w:r w:rsidR="00666E9C">
        <w:rPr>
          <w:rFonts w:ascii="Trebuchet MS" w:hAnsi="Trebuchet MS"/>
          <w:lang w:val="en-US"/>
        </w:rPr>
        <w:t xml:space="preserve">based on an </w:t>
      </w:r>
      <w:r w:rsidR="00666E9C" w:rsidRPr="00666E9C">
        <w:rPr>
          <w:rFonts w:ascii="Trebuchet MS" w:hAnsi="Trebuchet MS"/>
          <w:lang w:val="en-US"/>
        </w:rPr>
        <w:t>integrated, person-cent</w:t>
      </w:r>
      <w:r w:rsidR="00666E9C">
        <w:rPr>
          <w:rFonts w:ascii="Trebuchet MS" w:hAnsi="Trebuchet MS"/>
          <w:lang w:val="en-US"/>
        </w:rPr>
        <w:t>e</w:t>
      </w:r>
      <w:r w:rsidR="00666E9C" w:rsidRPr="00666E9C">
        <w:rPr>
          <w:rFonts w:ascii="Trebuchet MS" w:hAnsi="Trebuchet MS"/>
          <w:lang w:val="en-US"/>
        </w:rPr>
        <w:t xml:space="preserve">red approach </w:t>
      </w:r>
      <w:r w:rsidR="00666E9C">
        <w:rPr>
          <w:rFonts w:ascii="Trebuchet MS" w:hAnsi="Trebuchet MS"/>
          <w:lang w:val="en-US"/>
        </w:rPr>
        <w:t xml:space="preserve">promoting the equal commitment to ecological, digital and social goals and mainstreaming </w:t>
      </w:r>
      <w:r w:rsidR="005B4D76">
        <w:rPr>
          <w:rFonts w:ascii="Trebuchet MS" w:hAnsi="Trebuchet MS"/>
          <w:lang w:val="en-US"/>
        </w:rPr>
        <w:t xml:space="preserve">gender and racial equality of treatment in access to services. We could </w:t>
      </w:r>
      <w:r w:rsidR="00666E9C" w:rsidRPr="005B4D76">
        <w:rPr>
          <w:rFonts w:ascii="Trebuchet MS" w:hAnsi="Trebuchet MS"/>
          <w:lang w:val="en-US"/>
        </w:rPr>
        <w:t>capitaliz</w:t>
      </w:r>
      <w:r w:rsidR="005B4D76" w:rsidRPr="005B4D76">
        <w:rPr>
          <w:rFonts w:ascii="Trebuchet MS" w:hAnsi="Trebuchet MS"/>
          <w:lang w:val="en-US"/>
        </w:rPr>
        <w:t>e</w:t>
      </w:r>
      <w:r w:rsidR="00666E9C" w:rsidRPr="005B4D76">
        <w:rPr>
          <w:rFonts w:ascii="Trebuchet MS" w:hAnsi="Trebuchet MS"/>
          <w:lang w:val="en-US"/>
        </w:rPr>
        <w:t xml:space="preserve"> on </w:t>
      </w:r>
      <w:r w:rsidR="00D93A45" w:rsidRPr="005B4D76">
        <w:rPr>
          <w:rFonts w:ascii="Trebuchet MS" w:hAnsi="Trebuchet MS"/>
          <w:lang w:val="en-US"/>
        </w:rPr>
        <w:t>members’ experiences and outputs of other related policy documents such as Poverty Watches</w:t>
      </w:r>
      <w:r w:rsidR="00E81735">
        <w:rPr>
          <w:rFonts w:ascii="Trebuchet MS" w:hAnsi="Trebuchet MS"/>
          <w:lang w:val="en-US"/>
        </w:rPr>
        <w:t xml:space="preserve"> and the gender mainstreaming report.</w:t>
      </w:r>
    </w:p>
    <w:p w14:paraId="570E3DB3" w14:textId="49625439" w:rsidR="003A4EED" w:rsidRPr="005B4D76" w:rsidRDefault="003A4EED" w:rsidP="005B4D76">
      <w:pPr>
        <w:pStyle w:val="ListParagraph"/>
        <w:numPr>
          <w:ilvl w:val="0"/>
          <w:numId w:val="16"/>
        </w:numPr>
        <w:spacing w:after="0"/>
        <w:jc w:val="both"/>
        <w:rPr>
          <w:rFonts w:ascii="Trebuchet MS" w:hAnsi="Trebuchet MS"/>
          <w:lang w:val="en-US"/>
        </w:rPr>
      </w:pPr>
      <w:r w:rsidRPr="003A4EED">
        <w:rPr>
          <w:rFonts w:ascii="Trebuchet MS" w:hAnsi="Trebuchet MS"/>
          <w:lang w:val="en-US"/>
        </w:rPr>
        <w:t xml:space="preserve">Build our competence on digital exclusion, digital being a service </w:t>
      </w:r>
      <w:r>
        <w:rPr>
          <w:rFonts w:ascii="Trebuchet MS" w:hAnsi="Trebuchet MS"/>
          <w:lang w:val="en-US"/>
        </w:rPr>
        <w:t>but</w:t>
      </w:r>
      <w:r w:rsidRPr="003A4EED">
        <w:rPr>
          <w:rFonts w:ascii="Trebuchet MS" w:hAnsi="Trebuchet MS"/>
          <w:lang w:val="en-US"/>
        </w:rPr>
        <w:t xml:space="preserve"> also a transversal access/enabler condition</w:t>
      </w:r>
      <w:r>
        <w:rPr>
          <w:rFonts w:ascii="Trebuchet MS" w:hAnsi="Trebuchet MS"/>
          <w:lang w:val="en-US"/>
        </w:rPr>
        <w:t xml:space="preserve">, with a view to forming a coalition on digital exclusion with </w:t>
      </w:r>
      <w:r w:rsidR="00B034A3">
        <w:rPr>
          <w:rFonts w:ascii="Trebuchet MS" w:hAnsi="Trebuchet MS"/>
          <w:lang w:val="en-US"/>
        </w:rPr>
        <w:t>EU Commission</w:t>
      </w:r>
      <w:r>
        <w:rPr>
          <w:rFonts w:ascii="Trebuchet MS" w:hAnsi="Trebuchet MS"/>
          <w:lang w:val="en-US"/>
        </w:rPr>
        <w:t xml:space="preserve">/DG EMPL and potentially interested organizations such as EDRI. </w:t>
      </w:r>
      <w:r w:rsidRPr="003A4EED">
        <w:rPr>
          <w:rFonts w:ascii="Trebuchet MS" w:hAnsi="Trebuchet MS"/>
          <w:lang w:val="en-US"/>
        </w:rPr>
        <w:t xml:space="preserve"> </w:t>
      </w:r>
    </w:p>
    <w:p w14:paraId="6CF186B2" w14:textId="25DF2A28" w:rsidR="005C3C95" w:rsidRDefault="005C3C95" w:rsidP="005C3C95">
      <w:pPr>
        <w:pStyle w:val="ListParagraph"/>
        <w:numPr>
          <w:ilvl w:val="0"/>
          <w:numId w:val="16"/>
        </w:numPr>
        <w:spacing w:after="0"/>
        <w:jc w:val="both"/>
        <w:rPr>
          <w:rFonts w:ascii="Trebuchet MS" w:hAnsi="Trebuchet MS"/>
          <w:lang w:val="en-US"/>
        </w:rPr>
      </w:pPr>
      <w:r>
        <w:rPr>
          <w:rFonts w:ascii="Trebuchet MS" w:hAnsi="Trebuchet MS"/>
          <w:lang w:val="en-US"/>
        </w:rPr>
        <w:t>Build consensus about key messages aimed at anticipating and addressing EU’s expectations about the integration of green and digital transitions into the agenda of poverty and social exclusion through the a</w:t>
      </w:r>
      <w:r w:rsidR="00FC71BE">
        <w:rPr>
          <w:rFonts w:ascii="Trebuchet MS" w:hAnsi="Trebuchet MS"/>
          <w:lang w:val="en-US"/>
        </w:rPr>
        <w:t xml:space="preserve">ssessment of their impact on </w:t>
      </w:r>
      <w:proofErr w:type="spellStart"/>
      <w:r w:rsidR="00FC71BE">
        <w:rPr>
          <w:rFonts w:ascii="Trebuchet MS" w:hAnsi="Trebuchet MS"/>
          <w:lang w:val="en-US"/>
        </w:rPr>
        <w:t>PEPs</w:t>
      </w:r>
      <w:r w:rsidR="00C728CB">
        <w:rPr>
          <w:rFonts w:ascii="Trebuchet MS" w:hAnsi="Trebuchet MS"/>
          <w:lang w:val="en-US"/>
        </w:rPr>
        <w:t>’</w:t>
      </w:r>
      <w:proofErr w:type="spellEnd"/>
      <w:r w:rsidR="00C728CB">
        <w:rPr>
          <w:rFonts w:ascii="Trebuchet MS" w:hAnsi="Trebuchet MS"/>
          <w:lang w:val="en-US"/>
        </w:rPr>
        <w:t xml:space="preserve"> access to essential services</w:t>
      </w:r>
      <w:r w:rsidR="00FC71BE">
        <w:rPr>
          <w:rFonts w:ascii="Trebuchet MS" w:hAnsi="Trebuchet MS"/>
          <w:lang w:val="en-US"/>
        </w:rPr>
        <w:t xml:space="preserve"> a</w:t>
      </w:r>
      <w:r w:rsidR="00C728CB">
        <w:rPr>
          <w:rFonts w:ascii="Trebuchet MS" w:hAnsi="Trebuchet MS"/>
          <w:lang w:val="en-US"/>
        </w:rPr>
        <w:t>s well as</w:t>
      </w:r>
      <w:r w:rsidR="00FC71BE">
        <w:rPr>
          <w:rFonts w:ascii="Trebuchet MS" w:hAnsi="Trebuchet MS"/>
          <w:lang w:val="en-US"/>
        </w:rPr>
        <w:t xml:space="preserve"> good practices to make green/digital transitions inclusive and conducive to </w:t>
      </w:r>
      <w:r w:rsidR="00D66F68">
        <w:rPr>
          <w:rFonts w:ascii="Trebuchet MS" w:hAnsi="Trebuchet MS"/>
          <w:lang w:val="en-US"/>
        </w:rPr>
        <w:t>the break of</w:t>
      </w:r>
      <w:r w:rsidR="00FC71BE" w:rsidRPr="00FC71BE">
        <w:rPr>
          <w:rFonts w:ascii="Trebuchet MS" w:hAnsi="Trebuchet MS"/>
          <w:lang w:val="en-US"/>
        </w:rPr>
        <w:t xml:space="preserve"> the intergenerational cycles of disadvantage</w:t>
      </w:r>
      <w:r w:rsidR="00FC71BE">
        <w:rPr>
          <w:rFonts w:ascii="Trebuchet MS" w:hAnsi="Trebuchet MS"/>
          <w:lang w:val="en-US"/>
        </w:rPr>
        <w:t>.</w:t>
      </w:r>
    </w:p>
    <w:p w14:paraId="25675FF0" w14:textId="49DD7DF0" w:rsidR="004F0BEE" w:rsidRDefault="004F0BEE" w:rsidP="005C3C95">
      <w:pPr>
        <w:pStyle w:val="ListParagraph"/>
        <w:numPr>
          <w:ilvl w:val="0"/>
          <w:numId w:val="16"/>
        </w:numPr>
        <w:spacing w:after="0"/>
        <w:jc w:val="both"/>
        <w:rPr>
          <w:rFonts w:ascii="Trebuchet MS" w:hAnsi="Trebuchet MS"/>
          <w:lang w:val="en-US"/>
        </w:rPr>
      </w:pPr>
      <w:r>
        <w:rPr>
          <w:rFonts w:ascii="Trebuchet MS" w:hAnsi="Trebuchet MS"/>
          <w:lang w:val="en-US"/>
        </w:rPr>
        <w:t xml:space="preserve">Unlock concrete </w:t>
      </w:r>
      <w:r w:rsidRPr="004F0BEE">
        <w:rPr>
          <w:rFonts w:ascii="Trebuchet MS" w:hAnsi="Trebuchet MS"/>
          <w:lang w:val="en-US"/>
        </w:rPr>
        <w:t>mechanisms for structured engagement</w:t>
      </w:r>
      <w:r>
        <w:rPr>
          <w:rFonts w:ascii="Trebuchet MS" w:hAnsi="Trebuchet MS"/>
          <w:lang w:val="en-US"/>
        </w:rPr>
        <w:t xml:space="preserve"> of PEPs and CSOs in the Child Guarantee action plans by featuring a model for their structural participation in all social policies. The Child Guarantee will serve as a transversal hook </w:t>
      </w:r>
      <w:r w:rsidR="00CD6207">
        <w:rPr>
          <w:rFonts w:ascii="Trebuchet MS" w:hAnsi="Trebuchet MS"/>
          <w:lang w:val="en-US"/>
        </w:rPr>
        <w:t>to discuss structured engagement in designing solutions that address homelessness, unequal access to education</w:t>
      </w:r>
      <w:r w:rsidR="00063EF0">
        <w:rPr>
          <w:rFonts w:ascii="Trebuchet MS" w:hAnsi="Trebuchet MS"/>
          <w:lang w:val="en-US"/>
        </w:rPr>
        <w:t xml:space="preserve">, </w:t>
      </w:r>
      <w:r w:rsidR="00CD6207">
        <w:rPr>
          <w:rFonts w:ascii="Trebuchet MS" w:hAnsi="Trebuchet MS"/>
          <w:lang w:val="en-US"/>
        </w:rPr>
        <w:t>healthcare</w:t>
      </w:r>
      <w:r w:rsidR="00063EF0">
        <w:rPr>
          <w:rFonts w:ascii="Trebuchet MS" w:hAnsi="Trebuchet MS"/>
          <w:lang w:val="en-US"/>
        </w:rPr>
        <w:t xml:space="preserve"> and digital literacy</w:t>
      </w:r>
      <w:r w:rsidR="00B44D55">
        <w:rPr>
          <w:rFonts w:ascii="Trebuchet MS" w:hAnsi="Trebuchet MS"/>
          <w:lang w:val="en-US"/>
        </w:rPr>
        <w:t xml:space="preserve">, with a view to combating multidimensional poverty. </w:t>
      </w:r>
    </w:p>
    <w:p w14:paraId="5135481D" w14:textId="461264A4" w:rsidR="00BE1FE0" w:rsidRPr="005C3C95" w:rsidRDefault="00BE1FE0" w:rsidP="005C3C95">
      <w:pPr>
        <w:pStyle w:val="ListParagraph"/>
        <w:numPr>
          <w:ilvl w:val="0"/>
          <w:numId w:val="16"/>
        </w:numPr>
        <w:spacing w:after="0"/>
        <w:jc w:val="both"/>
        <w:rPr>
          <w:rFonts w:ascii="Trebuchet MS" w:hAnsi="Trebuchet MS"/>
          <w:lang w:val="en-US"/>
        </w:rPr>
      </w:pPr>
      <w:r>
        <w:rPr>
          <w:rFonts w:ascii="Trebuchet MS" w:hAnsi="Trebuchet MS"/>
          <w:lang w:val="en-US"/>
        </w:rPr>
        <w:t xml:space="preserve">Advocating for EAPN main </w:t>
      </w:r>
      <w:r w:rsidR="00C728CB">
        <w:rPr>
          <w:rFonts w:ascii="Trebuchet MS" w:hAnsi="Trebuchet MS"/>
          <w:lang w:val="en-US"/>
        </w:rPr>
        <w:t>policy asks</w:t>
      </w:r>
      <w:r>
        <w:rPr>
          <w:rFonts w:ascii="Trebuchet MS" w:hAnsi="Trebuchet MS"/>
          <w:lang w:val="en-US"/>
        </w:rPr>
        <w:t xml:space="preserve"> </w:t>
      </w:r>
      <w:r w:rsidR="00C728CB">
        <w:rPr>
          <w:rFonts w:ascii="Trebuchet MS" w:hAnsi="Trebuchet MS"/>
          <w:lang w:val="en-US"/>
        </w:rPr>
        <w:t xml:space="preserve">ahead of </w:t>
      </w:r>
      <w:r w:rsidRPr="00BE1FE0">
        <w:rPr>
          <w:rFonts w:ascii="Trebuchet MS" w:hAnsi="Trebuchet MS"/>
          <w:lang w:val="en-US"/>
        </w:rPr>
        <w:t>the final text of</w:t>
      </w:r>
      <w:r>
        <w:rPr>
          <w:rFonts w:ascii="Trebuchet MS" w:hAnsi="Trebuchet MS"/>
          <w:lang w:val="en-US"/>
        </w:rPr>
        <w:t xml:space="preserve"> the first EU Report on Access to Essential Services in 2022</w:t>
      </w:r>
      <w:r w:rsidR="00FA29F1">
        <w:rPr>
          <w:rFonts w:ascii="Trebuchet MS" w:hAnsi="Trebuchet MS"/>
          <w:lang w:val="en-US"/>
        </w:rPr>
        <w:t>, by making the link between EAPN position statements and upcoming EU initiatives and preparing the ground for public policy and investments in universal, affordable, quality services</w:t>
      </w:r>
      <w:r w:rsidR="003963E4">
        <w:rPr>
          <w:rFonts w:ascii="Trebuchet MS" w:hAnsi="Trebuchet MS"/>
          <w:lang w:val="en-US"/>
        </w:rPr>
        <w:t xml:space="preserve"> through an integrated approach across sectors and policies.</w:t>
      </w:r>
    </w:p>
    <w:p w14:paraId="5B7443B3" w14:textId="1656037F" w:rsidR="00CF02DE" w:rsidRDefault="00CF02DE" w:rsidP="003501BF">
      <w:pPr>
        <w:spacing w:after="0"/>
        <w:jc w:val="both"/>
        <w:rPr>
          <w:rFonts w:ascii="Trebuchet MS" w:hAnsi="Trebuchet MS"/>
          <w:b/>
          <w:bCs/>
          <w:u w:val="single"/>
          <w:lang w:val="en-US"/>
        </w:rPr>
      </w:pPr>
    </w:p>
    <w:p w14:paraId="538D812E" w14:textId="77777777" w:rsidR="00B034A3" w:rsidRDefault="00B034A3" w:rsidP="003501BF">
      <w:pPr>
        <w:spacing w:after="0"/>
        <w:jc w:val="both"/>
        <w:rPr>
          <w:rFonts w:ascii="Trebuchet MS" w:hAnsi="Trebuchet MS"/>
          <w:b/>
          <w:bCs/>
          <w:u w:val="single"/>
          <w:lang w:val="en-US"/>
        </w:rPr>
      </w:pPr>
    </w:p>
    <w:p w14:paraId="7CD0CDF7" w14:textId="1A554039" w:rsidR="00CF02DE" w:rsidRDefault="008E4B7F" w:rsidP="003501BF">
      <w:pPr>
        <w:spacing w:after="0"/>
        <w:jc w:val="both"/>
        <w:rPr>
          <w:rFonts w:ascii="Trebuchet MS" w:hAnsi="Trebuchet MS"/>
          <w:b/>
          <w:bCs/>
          <w:u w:val="single"/>
          <w:lang w:val="en-US"/>
        </w:rPr>
      </w:pPr>
      <w:r>
        <w:rPr>
          <w:rFonts w:ascii="Trebuchet MS" w:hAnsi="Trebuchet MS"/>
          <w:b/>
          <w:bCs/>
          <w:u w:val="single"/>
          <w:lang w:val="en-US"/>
        </w:rPr>
        <w:t xml:space="preserve">Further information to consider in the collective reflection </w:t>
      </w:r>
      <w:r w:rsidR="002E5597">
        <w:rPr>
          <w:rFonts w:ascii="Trebuchet MS" w:hAnsi="Trebuchet MS"/>
          <w:b/>
          <w:bCs/>
          <w:u w:val="single"/>
          <w:lang w:val="en-US"/>
        </w:rPr>
        <w:t>and input exchanges</w:t>
      </w:r>
      <w:r>
        <w:rPr>
          <w:rFonts w:ascii="Trebuchet MS" w:hAnsi="Trebuchet MS"/>
          <w:b/>
          <w:bCs/>
          <w:u w:val="single"/>
          <w:lang w:val="en-US"/>
        </w:rPr>
        <w:t>:</w:t>
      </w:r>
    </w:p>
    <w:p w14:paraId="608A41D4" w14:textId="330C5D59" w:rsidR="008E4B7F" w:rsidRDefault="008E4B7F" w:rsidP="003501BF">
      <w:pPr>
        <w:spacing w:after="0"/>
        <w:jc w:val="both"/>
        <w:rPr>
          <w:rFonts w:ascii="Trebuchet MS" w:hAnsi="Trebuchet MS"/>
          <w:b/>
          <w:bCs/>
          <w:u w:val="single"/>
          <w:lang w:val="en-US"/>
        </w:rPr>
      </w:pPr>
    </w:p>
    <w:p w14:paraId="7C65F86B" w14:textId="15B66938" w:rsidR="008E4B7F" w:rsidRDefault="00F66BD4" w:rsidP="008E4B7F">
      <w:pPr>
        <w:pStyle w:val="ListParagraph"/>
        <w:numPr>
          <w:ilvl w:val="0"/>
          <w:numId w:val="17"/>
        </w:numPr>
        <w:spacing w:after="0"/>
        <w:jc w:val="both"/>
        <w:rPr>
          <w:rFonts w:ascii="Trebuchet MS" w:hAnsi="Trebuchet MS"/>
          <w:lang w:val="en-US"/>
        </w:rPr>
      </w:pPr>
      <w:hyperlink r:id="rId32" w:history="1">
        <w:r w:rsidR="008E4B7F" w:rsidRPr="00835C9E">
          <w:rPr>
            <w:rStyle w:val="Hyperlink"/>
            <w:rFonts w:ascii="Trebuchet MS" w:hAnsi="Trebuchet MS"/>
            <w:lang w:val="en-US"/>
          </w:rPr>
          <w:t>European Social Policy Network report on Access to essential services for people on low incomes in Europe</w:t>
        </w:r>
      </w:hyperlink>
      <w:r w:rsidR="008E4B7F" w:rsidRPr="008E4B7F">
        <w:rPr>
          <w:rFonts w:ascii="Trebuchet MS" w:hAnsi="Trebuchet MS"/>
          <w:lang w:val="en-US"/>
        </w:rPr>
        <w:t xml:space="preserve"> – an analysis of policies on access to six essential services (water, sanitation, energy, transport, financial services and digital communications) in the 27 EU countries.</w:t>
      </w:r>
    </w:p>
    <w:p w14:paraId="11EF4C08" w14:textId="7FF4602B" w:rsidR="00EB05EF" w:rsidRDefault="00EB05EF" w:rsidP="00EB05EF">
      <w:pPr>
        <w:pStyle w:val="ListParagraph"/>
        <w:numPr>
          <w:ilvl w:val="0"/>
          <w:numId w:val="17"/>
        </w:numPr>
        <w:spacing w:after="0"/>
        <w:jc w:val="both"/>
        <w:rPr>
          <w:rFonts w:ascii="Trebuchet MS" w:hAnsi="Trebuchet MS"/>
          <w:lang w:val="en-US"/>
        </w:rPr>
      </w:pPr>
      <w:r>
        <w:rPr>
          <w:rFonts w:ascii="Trebuchet MS" w:hAnsi="Trebuchet MS"/>
          <w:lang w:val="en-US"/>
        </w:rPr>
        <w:t xml:space="preserve">EAPN, </w:t>
      </w:r>
      <w:r w:rsidRPr="00EB05EF">
        <w:rPr>
          <w:rFonts w:ascii="Trebuchet MS" w:hAnsi="Trebuchet MS"/>
          <w:lang w:val="en-US"/>
        </w:rPr>
        <w:t>Involvement of Civil Society Organi</w:t>
      </w:r>
      <w:r w:rsidR="00B034A3">
        <w:rPr>
          <w:rFonts w:ascii="Trebuchet MS" w:hAnsi="Trebuchet MS"/>
          <w:lang w:val="en-US"/>
        </w:rPr>
        <w:t>z</w:t>
      </w:r>
      <w:r w:rsidRPr="00EB05EF">
        <w:rPr>
          <w:rFonts w:ascii="Trebuchet MS" w:hAnsi="Trebuchet MS"/>
          <w:lang w:val="en-US"/>
        </w:rPr>
        <w:t>ations in European Semester 2021 – What do EAPN members say?</w:t>
      </w:r>
      <w:r>
        <w:rPr>
          <w:rFonts w:ascii="Trebuchet MS" w:hAnsi="Trebuchet MS"/>
          <w:lang w:val="en-US"/>
        </w:rPr>
        <w:t xml:space="preserve"> - </w:t>
      </w:r>
      <w:r w:rsidRPr="00EB05EF">
        <w:rPr>
          <w:rFonts w:ascii="Trebuchet MS" w:hAnsi="Trebuchet MS"/>
          <w:lang w:val="en-US"/>
        </w:rPr>
        <w:t>Report elaborated by the EAPN Secretariat, with input by EAPN members</w:t>
      </w:r>
      <w:r>
        <w:rPr>
          <w:rFonts w:ascii="Trebuchet MS" w:hAnsi="Trebuchet MS"/>
          <w:lang w:val="en-US"/>
        </w:rPr>
        <w:t xml:space="preserve">; </w:t>
      </w:r>
      <w:r w:rsidRPr="00EB05EF">
        <w:rPr>
          <w:rFonts w:ascii="Trebuchet MS" w:hAnsi="Trebuchet MS"/>
          <w:lang w:val="en-US"/>
        </w:rPr>
        <w:t>Final Version (25 March 2021)</w:t>
      </w:r>
      <w:r>
        <w:rPr>
          <w:rFonts w:ascii="Trebuchet MS" w:hAnsi="Trebuchet MS"/>
          <w:lang w:val="en-US"/>
        </w:rPr>
        <w:t>.</w:t>
      </w:r>
    </w:p>
    <w:p w14:paraId="1896ECEC" w14:textId="38D26A15" w:rsidR="00F214BF" w:rsidRPr="00EB05EF" w:rsidRDefault="00F214BF" w:rsidP="00EB05EF">
      <w:pPr>
        <w:pStyle w:val="ListParagraph"/>
        <w:numPr>
          <w:ilvl w:val="0"/>
          <w:numId w:val="17"/>
        </w:numPr>
        <w:spacing w:after="0"/>
        <w:jc w:val="both"/>
        <w:rPr>
          <w:rFonts w:ascii="Trebuchet MS" w:hAnsi="Trebuchet MS"/>
          <w:lang w:val="en-US"/>
        </w:rPr>
      </w:pPr>
      <w:r>
        <w:rPr>
          <w:rFonts w:ascii="Trebuchet MS" w:hAnsi="Trebuchet MS"/>
          <w:lang w:val="en-US"/>
        </w:rPr>
        <w:lastRenderedPageBreak/>
        <w:t xml:space="preserve">EAPN, </w:t>
      </w:r>
      <w:hyperlink r:id="rId33" w:history="1">
        <w:r w:rsidRPr="00F214BF">
          <w:rPr>
            <w:rStyle w:val="Hyperlink"/>
            <w:rFonts w:ascii="Trebuchet MS" w:hAnsi="Trebuchet MS"/>
            <w:lang w:val="en-US"/>
          </w:rPr>
          <w:t>Toolkit for EAPN Members on Engaging with the European Semester</w:t>
        </w:r>
      </w:hyperlink>
      <w:r>
        <w:rPr>
          <w:rFonts w:ascii="Trebuchet MS" w:hAnsi="Trebuchet MS"/>
          <w:lang w:val="en-US"/>
        </w:rPr>
        <w:t>, 2020.</w:t>
      </w:r>
    </w:p>
    <w:p w14:paraId="51021247" w14:textId="435B3FCC" w:rsidR="00417374" w:rsidRDefault="00F66BD4" w:rsidP="008E4B7F">
      <w:pPr>
        <w:pStyle w:val="ListParagraph"/>
        <w:numPr>
          <w:ilvl w:val="0"/>
          <w:numId w:val="17"/>
        </w:numPr>
        <w:spacing w:after="0"/>
        <w:jc w:val="both"/>
        <w:rPr>
          <w:rFonts w:ascii="Trebuchet MS" w:hAnsi="Trebuchet MS"/>
          <w:lang w:val="en-US"/>
        </w:rPr>
      </w:pPr>
      <w:hyperlink r:id="rId34" w:history="1">
        <w:r w:rsidR="00417374" w:rsidRPr="00417374">
          <w:rPr>
            <w:rStyle w:val="Hyperlink"/>
            <w:rFonts w:ascii="Trebuchet MS" w:hAnsi="Trebuchet MS"/>
            <w:lang w:val="en-US"/>
          </w:rPr>
          <w:t>Social Platform position on an EU strategy to develop a resilient ecosystem</w:t>
        </w:r>
      </w:hyperlink>
      <w:r w:rsidR="00417374" w:rsidRPr="00417374">
        <w:rPr>
          <w:rFonts w:ascii="Trebuchet MS" w:hAnsi="Trebuchet MS"/>
          <w:lang w:val="en-US"/>
        </w:rPr>
        <w:t xml:space="preserve"> for social services and implement the European Pillar of Social Rights during the COVID-19 pandemic and beyond</w:t>
      </w:r>
      <w:r w:rsidR="00417374">
        <w:rPr>
          <w:rFonts w:ascii="Trebuchet MS" w:hAnsi="Trebuchet MS"/>
          <w:lang w:val="en-US"/>
        </w:rPr>
        <w:t xml:space="preserve">. </w:t>
      </w:r>
    </w:p>
    <w:p w14:paraId="1EAB5FA9" w14:textId="06F12593" w:rsidR="00E341C8" w:rsidRDefault="00F66BD4" w:rsidP="008E4B7F">
      <w:pPr>
        <w:pStyle w:val="ListParagraph"/>
        <w:numPr>
          <w:ilvl w:val="0"/>
          <w:numId w:val="17"/>
        </w:numPr>
        <w:spacing w:after="0"/>
        <w:jc w:val="both"/>
        <w:rPr>
          <w:rFonts w:ascii="Trebuchet MS" w:hAnsi="Trebuchet MS"/>
          <w:lang w:val="en-US"/>
        </w:rPr>
      </w:pPr>
      <w:hyperlink r:id="rId35" w:anchor="OECD-Housing-Project" w:history="1">
        <w:r w:rsidR="00E341C8" w:rsidRPr="00E341C8">
          <w:rPr>
            <w:rStyle w:val="Hyperlink"/>
            <w:rFonts w:ascii="Trebuchet MS" w:hAnsi="Trebuchet MS"/>
            <w:lang w:val="en-US"/>
          </w:rPr>
          <w:t>OECD Housing Project</w:t>
        </w:r>
      </w:hyperlink>
      <w:r w:rsidR="00E341C8">
        <w:rPr>
          <w:rFonts w:ascii="Trebuchet MS" w:hAnsi="Trebuchet MS"/>
          <w:lang w:val="en-US"/>
        </w:rPr>
        <w:t>: better housing for better lives.</w:t>
      </w:r>
    </w:p>
    <w:p w14:paraId="6C3B3CCF" w14:textId="5BFE6706" w:rsidR="00ED2380" w:rsidRDefault="00ED2380" w:rsidP="008E4B7F">
      <w:pPr>
        <w:pStyle w:val="ListParagraph"/>
        <w:numPr>
          <w:ilvl w:val="0"/>
          <w:numId w:val="17"/>
        </w:numPr>
        <w:spacing w:after="0"/>
        <w:jc w:val="both"/>
        <w:rPr>
          <w:rFonts w:ascii="Trebuchet MS" w:hAnsi="Trebuchet MS"/>
          <w:lang w:val="en-US"/>
        </w:rPr>
      </w:pPr>
      <w:r>
        <w:rPr>
          <w:rFonts w:ascii="Trebuchet MS" w:hAnsi="Trebuchet MS"/>
          <w:lang w:val="en-US"/>
        </w:rPr>
        <w:t xml:space="preserve">European Commission, </w:t>
      </w:r>
      <w:hyperlink r:id="rId36" w:history="1">
        <w:r w:rsidRPr="00ED2380">
          <w:rPr>
            <w:rStyle w:val="Hyperlink"/>
            <w:rFonts w:ascii="Trebuchet MS" w:hAnsi="Trebuchet MS"/>
            <w:lang w:val="en-US"/>
          </w:rPr>
          <w:t>Inequalities in access to healthcare - A study of national policies 2018</w:t>
        </w:r>
      </w:hyperlink>
      <w:r>
        <w:rPr>
          <w:rFonts w:ascii="Trebuchet MS" w:hAnsi="Trebuchet MS"/>
          <w:lang w:val="en-US"/>
        </w:rPr>
        <w:t>.</w:t>
      </w:r>
    </w:p>
    <w:p w14:paraId="3C626E0B" w14:textId="08274532" w:rsidR="00795DE4" w:rsidRDefault="00F66BD4" w:rsidP="00795DE4">
      <w:pPr>
        <w:pStyle w:val="ListParagraph"/>
        <w:numPr>
          <w:ilvl w:val="0"/>
          <w:numId w:val="17"/>
        </w:numPr>
        <w:spacing w:after="0"/>
        <w:jc w:val="both"/>
        <w:rPr>
          <w:rFonts w:ascii="Trebuchet MS" w:hAnsi="Trebuchet MS"/>
          <w:lang w:val="en-US"/>
        </w:rPr>
      </w:pPr>
      <w:hyperlink r:id="rId37" w:history="1">
        <w:r w:rsidR="00795DE4" w:rsidRPr="00795DE4">
          <w:rPr>
            <w:rStyle w:val="Hyperlink"/>
            <w:rFonts w:ascii="Trebuchet MS" w:hAnsi="Trebuchet MS"/>
            <w:lang w:val="en-US"/>
          </w:rPr>
          <w:t>EU4Health 2021-2027 – a vision for a healthier European Union</w:t>
        </w:r>
      </w:hyperlink>
      <w:r w:rsidR="00795DE4">
        <w:rPr>
          <w:rFonts w:ascii="Trebuchet MS" w:hAnsi="Trebuchet MS"/>
          <w:lang w:val="en-US"/>
        </w:rPr>
        <w:t xml:space="preserve"> – specifically, </w:t>
      </w:r>
      <w:r w:rsidR="00795DE4" w:rsidRPr="00795DE4">
        <w:rPr>
          <w:rFonts w:ascii="Trebuchet MS" w:hAnsi="Trebuchet MS"/>
          <w:lang w:val="en-US"/>
        </w:rPr>
        <w:t>strengthening health data, digital tools &amp; services, digital transformation of healthcare</w:t>
      </w:r>
      <w:r w:rsidR="00795DE4">
        <w:rPr>
          <w:rFonts w:ascii="Trebuchet MS" w:hAnsi="Trebuchet MS"/>
          <w:lang w:val="en-US"/>
        </w:rPr>
        <w:t xml:space="preserve">; </w:t>
      </w:r>
      <w:r w:rsidR="00795DE4" w:rsidRPr="00795DE4">
        <w:rPr>
          <w:rFonts w:ascii="Trebuchet MS" w:hAnsi="Trebuchet MS"/>
          <w:lang w:val="en-US"/>
        </w:rPr>
        <w:t>improving access to healthcare</w:t>
      </w:r>
      <w:r w:rsidR="00795DE4">
        <w:rPr>
          <w:rFonts w:ascii="Trebuchet MS" w:hAnsi="Trebuchet MS"/>
          <w:lang w:val="en-US"/>
        </w:rPr>
        <w:t>.</w:t>
      </w:r>
    </w:p>
    <w:p w14:paraId="659644D0" w14:textId="5954FD7B" w:rsidR="00CA35AA" w:rsidRDefault="00F66BD4" w:rsidP="00795DE4">
      <w:pPr>
        <w:pStyle w:val="ListParagraph"/>
        <w:numPr>
          <w:ilvl w:val="0"/>
          <w:numId w:val="17"/>
        </w:numPr>
        <w:spacing w:after="0"/>
        <w:jc w:val="both"/>
        <w:rPr>
          <w:rFonts w:ascii="Trebuchet MS" w:hAnsi="Trebuchet MS"/>
          <w:lang w:val="en-US"/>
        </w:rPr>
      </w:pPr>
      <w:hyperlink r:id="rId38" w:history="1">
        <w:r w:rsidR="00CA35AA" w:rsidRPr="00CA35AA">
          <w:rPr>
            <w:rStyle w:val="Hyperlink"/>
            <w:rFonts w:ascii="Trebuchet MS" w:hAnsi="Trebuchet MS"/>
            <w:lang w:val="en-US"/>
          </w:rPr>
          <w:t>State of Health in the EU</w:t>
        </w:r>
      </w:hyperlink>
      <w:r w:rsidR="00CA35AA">
        <w:rPr>
          <w:rFonts w:ascii="Trebuchet MS" w:hAnsi="Trebuchet MS"/>
          <w:lang w:val="en-US"/>
        </w:rPr>
        <w:t xml:space="preserve">, particularly the </w:t>
      </w:r>
      <w:r w:rsidR="00CA35AA" w:rsidRPr="00CA35AA">
        <w:rPr>
          <w:rFonts w:ascii="Trebuchet MS" w:hAnsi="Trebuchet MS"/>
          <w:lang w:val="en-US"/>
        </w:rPr>
        <w:t>Individual Country Health Profiles</w:t>
      </w:r>
      <w:r w:rsidR="00CA35AA">
        <w:rPr>
          <w:rFonts w:ascii="Trebuchet MS" w:hAnsi="Trebuchet MS"/>
          <w:lang w:val="en-US"/>
        </w:rPr>
        <w:t xml:space="preserve"> </w:t>
      </w:r>
      <w:r w:rsidR="00CA35AA" w:rsidRPr="00CA35AA">
        <w:rPr>
          <w:rFonts w:ascii="Trebuchet MS" w:hAnsi="Trebuchet MS"/>
          <w:lang w:val="en-US"/>
        </w:rPr>
        <w:t>assess</w:t>
      </w:r>
      <w:r w:rsidR="00CA35AA">
        <w:rPr>
          <w:rFonts w:ascii="Trebuchet MS" w:hAnsi="Trebuchet MS"/>
          <w:lang w:val="en-US"/>
        </w:rPr>
        <w:t>ing</w:t>
      </w:r>
      <w:r w:rsidR="00CA35AA" w:rsidRPr="00CA35AA">
        <w:rPr>
          <w:rFonts w:ascii="Trebuchet MS" w:hAnsi="Trebuchet MS"/>
          <w:lang w:val="en-US"/>
        </w:rPr>
        <w:t xml:space="preserve"> the strengths and challenges in </w:t>
      </w:r>
      <w:r w:rsidR="00CA35AA">
        <w:rPr>
          <w:rFonts w:ascii="Trebuchet MS" w:hAnsi="Trebuchet MS"/>
          <w:lang w:val="en-US"/>
        </w:rPr>
        <w:t>the national</w:t>
      </w:r>
      <w:r w:rsidR="00CA35AA" w:rsidRPr="00CA35AA">
        <w:rPr>
          <w:rFonts w:ascii="Trebuchet MS" w:hAnsi="Trebuchet MS"/>
          <w:lang w:val="en-US"/>
        </w:rPr>
        <w:t xml:space="preserve"> health systems.</w:t>
      </w:r>
    </w:p>
    <w:p w14:paraId="2C8D3C04" w14:textId="5DEF8298" w:rsidR="00F45FAD" w:rsidRDefault="00F66BD4" w:rsidP="00795DE4">
      <w:pPr>
        <w:pStyle w:val="ListParagraph"/>
        <w:numPr>
          <w:ilvl w:val="0"/>
          <w:numId w:val="17"/>
        </w:numPr>
        <w:spacing w:after="0"/>
        <w:jc w:val="both"/>
        <w:rPr>
          <w:rFonts w:ascii="Trebuchet MS" w:hAnsi="Trebuchet MS"/>
          <w:lang w:val="en-US"/>
        </w:rPr>
      </w:pPr>
      <w:hyperlink r:id="rId39" w:history="1">
        <w:r w:rsidR="00F45FAD" w:rsidRPr="00F45FAD">
          <w:rPr>
            <w:rStyle w:val="Hyperlink"/>
            <w:rFonts w:ascii="Trebuchet MS" w:hAnsi="Trebuchet MS"/>
            <w:lang w:val="en-US"/>
          </w:rPr>
          <w:t>European Observatory on Health Systems and Policies</w:t>
        </w:r>
      </w:hyperlink>
      <w:r w:rsidR="00F45FAD">
        <w:rPr>
          <w:rFonts w:ascii="Trebuchet MS" w:hAnsi="Trebuchet MS"/>
          <w:lang w:val="en-US"/>
        </w:rPr>
        <w:t>.</w:t>
      </w:r>
    </w:p>
    <w:p w14:paraId="4AF81FE0" w14:textId="5DE4549B" w:rsidR="00A70CB7" w:rsidRDefault="00F66BD4" w:rsidP="00795DE4">
      <w:pPr>
        <w:pStyle w:val="ListParagraph"/>
        <w:numPr>
          <w:ilvl w:val="0"/>
          <w:numId w:val="17"/>
        </w:numPr>
        <w:spacing w:after="0"/>
        <w:jc w:val="both"/>
        <w:rPr>
          <w:rFonts w:ascii="Trebuchet MS" w:hAnsi="Trebuchet MS"/>
          <w:lang w:val="en-US"/>
        </w:rPr>
      </w:pPr>
      <w:hyperlink r:id="rId40" w:history="1">
        <w:r w:rsidR="00A70CB7" w:rsidRPr="00A70CB7">
          <w:rPr>
            <w:rStyle w:val="Hyperlink"/>
            <w:rFonts w:ascii="Trebuchet MS" w:hAnsi="Trebuchet MS"/>
            <w:lang w:val="en-US"/>
          </w:rPr>
          <w:t>Health inequalities portal</w:t>
        </w:r>
      </w:hyperlink>
      <w:r w:rsidR="00A70CB7">
        <w:rPr>
          <w:rFonts w:ascii="Trebuchet MS" w:hAnsi="Trebuchet MS"/>
          <w:lang w:val="en-US"/>
        </w:rPr>
        <w:t>.</w:t>
      </w:r>
    </w:p>
    <w:p w14:paraId="1B8EB200" w14:textId="178287BF" w:rsidR="00ED2380" w:rsidRDefault="00ED2380" w:rsidP="00ED2380">
      <w:pPr>
        <w:pStyle w:val="ListParagraph"/>
        <w:numPr>
          <w:ilvl w:val="0"/>
          <w:numId w:val="17"/>
        </w:numPr>
        <w:spacing w:after="0"/>
        <w:jc w:val="both"/>
        <w:rPr>
          <w:rFonts w:ascii="Trebuchet MS" w:hAnsi="Trebuchet MS"/>
          <w:lang w:val="en-US"/>
        </w:rPr>
      </w:pPr>
      <w:r>
        <w:rPr>
          <w:rFonts w:ascii="Trebuchet MS" w:hAnsi="Trebuchet MS"/>
          <w:lang w:val="en-US"/>
        </w:rPr>
        <w:t xml:space="preserve">CHAIN, </w:t>
      </w:r>
      <w:proofErr w:type="spellStart"/>
      <w:r>
        <w:rPr>
          <w:rFonts w:ascii="Trebuchet MS" w:hAnsi="Trebuchet MS"/>
          <w:lang w:val="en-US"/>
        </w:rPr>
        <w:t>EuroHealthNet</w:t>
      </w:r>
      <w:proofErr w:type="spellEnd"/>
      <w:r>
        <w:rPr>
          <w:rFonts w:ascii="Trebuchet MS" w:hAnsi="Trebuchet MS"/>
          <w:lang w:val="en-US"/>
        </w:rPr>
        <w:t xml:space="preserve">, </w:t>
      </w:r>
      <w:hyperlink r:id="rId41" w:history="1">
        <w:r w:rsidRPr="00ED2380">
          <w:rPr>
            <w:rStyle w:val="Hyperlink"/>
            <w:rFonts w:ascii="Trebuchet MS" w:hAnsi="Trebuchet MS"/>
            <w:lang w:val="en-US"/>
          </w:rPr>
          <w:t>the COVID-19 pandemic and health inequalities: we are not all in it together</w:t>
        </w:r>
      </w:hyperlink>
      <w:r>
        <w:rPr>
          <w:rFonts w:ascii="Trebuchet MS" w:hAnsi="Trebuchet MS"/>
          <w:lang w:val="en-US"/>
        </w:rPr>
        <w:t>.</w:t>
      </w:r>
    </w:p>
    <w:p w14:paraId="059E7312" w14:textId="3980C98A" w:rsidR="00122B2F" w:rsidRPr="00ED2380" w:rsidRDefault="00F66BD4" w:rsidP="00ED2380">
      <w:pPr>
        <w:pStyle w:val="ListParagraph"/>
        <w:numPr>
          <w:ilvl w:val="0"/>
          <w:numId w:val="17"/>
        </w:numPr>
        <w:spacing w:after="0"/>
        <w:jc w:val="both"/>
        <w:rPr>
          <w:rFonts w:ascii="Trebuchet MS" w:hAnsi="Trebuchet MS"/>
          <w:lang w:val="en-US"/>
        </w:rPr>
      </w:pPr>
      <w:hyperlink r:id="rId42" w:history="1">
        <w:r w:rsidR="00122B2F" w:rsidRPr="00122B2F">
          <w:rPr>
            <w:rStyle w:val="Hyperlink"/>
            <w:rFonts w:ascii="Trebuchet MS" w:hAnsi="Trebuchet MS"/>
            <w:lang w:val="en-US"/>
          </w:rPr>
          <w:t>Policy Paper: Empowering Citizens – The Key to a Successful Digital Health Transformation</w:t>
        </w:r>
      </w:hyperlink>
      <w:r w:rsidR="00122B2F">
        <w:rPr>
          <w:rFonts w:ascii="Trebuchet MS" w:hAnsi="Trebuchet MS"/>
          <w:lang w:val="en-US"/>
        </w:rPr>
        <w:t>.</w:t>
      </w:r>
    </w:p>
    <w:p w14:paraId="5E45D3D4" w14:textId="0A1CE5BB" w:rsidR="00AB2C7F" w:rsidRDefault="00F66BD4" w:rsidP="00795DE4">
      <w:pPr>
        <w:pStyle w:val="ListParagraph"/>
        <w:numPr>
          <w:ilvl w:val="0"/>
          <w:numId w:val="17"/>
        </w:numPr>
        <w:spacing w:after="0"/>
        <w:jc w:val="both"/>
        <w:rPr>
          <w:rFonts w:ascii="Trebuchet MS" w:hAnsi="Trebuchet MS"/>
          <w:lang w:val="en-US"/>
        </w:rPr>
      </w:pPr>
      <w:hyperlink r:id="rId43" w:history="1">
        <w:r w:rsidR="00AB2C7F" w:rsidRPr="00AB2C7F">
          <w:rPr>
            <w:rStyle w:val="Hyperlink"/>
            <w:rFonts w:ascii="Trebuchet MS" w:hAnsi="Trebuchet MS"/>
            <w:lang w:val="en-US"/>
          </w:rPr>
          <w:t>EU energy poverty observatory</w:t>
        </w:r>
      </w:hyperlink>
      <w:r w:rsidR="00AB2C7F">
        <w:rPr>
          <w:rFonts w:ascii="Trebuchet MS" w:hAnsi="Trebuchet MS"/>
          <w:lang w:val="en-US"/>
        </w:rPr>
        <w:t>.</w:t>
      </w:r>
    </w:p>
    <w:p w14:paraId="1EEE3BA3" w14:textId="4AB614C2" w:rsidR="00157DD8" w:rsidRDefault="00F66BD4" w:rsidP="00795DE4">
      <w:pPr>
        <w:pStyle w:val="ListParagraph"/>
        <w:numPr>
          <w:ilvl w:val="0"/>
          <w:numId w:val="17"/>
        </w:numPr>
        <w:spacing w:after="0"/>
        <w:jc w:val="both"/>
        <w:rPr>
          <w:rFonts w:ascii="Trebuchet MS" w:hAnsi="Trebuchet MS"/>
          <w:lang w:val="en-US"/>
        </w:rPr>
      </w:pPr>
      <w:hyperlink r:id="rId44" w:history="1">
        <w:r w:rsidR="00157DD8" w:rsidRPr="00493A48">
          <w:rPr>
            <w:rStyle w:val="Hyperlink"/>
            <w:rFonts w:ascii="Trebuchet MS" w:hAnsi="Trebuchet MS"/>
            <w:lang w:val="en-US"/>
          </w:rPr>
          <w:t>EU Alliance for Investing in Children welcomes the EPSCO Council adoption</w:t>
        </w:r>
      </w:hyperlink>
      <w:r w:rsidR="00157DD8" w:rsidRPr="00157DD8">
        <w:rPr>
          <w:rFonts w:ascii="Trebuchet MS" w:hAnsi="Trebuchet MS"/>
          <w:lang w:val="en-US"/>
        </w:rPr>
        <w:t xml:space="preserve"> of the Council Recommendation establishing the European Child Guarantee</w:t>
      </w:r>
      <w:r w:rsidR="00493A48">
        <w:rPr>
          <w:rFonts w:ascii="Trebuchet MS" w:hAnsi="Trebuchet MS"/>
          <w:lang w:val="en-US"/>
        </w:rPr>
        <w:t>.</w:t>
      </w:r>
    </w:p>
    <w:p w14:paraId="46472A06" w14:textId="17245312" w:rsidR="00174FC0" w:rsidRDefault="00F66BD4" w:rsidP="00795DE4">
      <w:pPr>
        <w:pStyle w:val="ListParagraph"/>
        <w:numPr>
          <w:ilvl w:val="0"/>
          <w:numId w:val="17"/>
        </w:numPr>
        <w:spacing w:after="0"/>
        <w:jc w:val="both"/>
        <w:rPr>
          <w:rFonts w:ascii="Trebuchet MS" w:hAnsi="Trebuchet MS"/>
          <w:lang w:val="en-US"/>
        </w:rPr>
      </w:pPr>
      <w:hyperlink r:id="rId45" w:history="1">
        <w:r w:rsidR="00174FC0" w:rsidRPr="00174FC0">
          <w:rPr>
            <w:rStyle w:val="Hyperlink"/>
            <w:rFonts w:ascii="Trebuchet MS" w:hAnsi="Trebuchet MS"/>
            <w:lang w:val="en-US"/>
          </w:rPr>
          <w:t>EU Alliance for Investing in Children statement to the European Pillar of Social Rights Action Plan</w:t>
        </w:r>
      </w:hyperlink>
      <w:r w:rsidR="00174FC0">
        <w:rPr>
          <w:rFonts w:ascii="Trebuchet MS" w:hAnsi="Trebuchet MS"/>
          <w:lang w:val="en-US"/>
        </w:rPr>
        <w:t>.</w:t>
      </w:r>
    </w:p>
    <w:p w14:paraId="67939C99" w14:textId="537663CE" w:rsidR="008D6B06" w:rsidRDefault="00F66BD4" w:rsidP="00795DE4">
      <w:pPr>
        <w:pStyle w:val="ListParagraph"/>
        <w:numPr>
          <w:ilvl w:val="0"/>
          <w:numId w:val="17"/>
        </w:numPr>
        <w:spacing w:after="0"/>
        <w:jc w:val="both"/>
        <w:rPr>
          <w:rFonts w:ascii="Trebuchet MS" w:hAnsi="Trebuchet MS"/>
          <w:lang w:val="en-US"/>
        </w:rPr>
      </w:pPr>
      <w:hyperlink r:id="rId46" w:history="1">
        <w:r w:rsidR="008D6B06" w:rsidRPr="008D6B06">
          <w:rPr>
            <w:rStyle w:val="Hyperlink"/>
            <w:rFonts w:ascii="Trebuchet MS" w:hAnsi="Trebuchet MS"/>
            <w:lang w:val="en-US"/>
          </w:rPr>
          <w:t>Social Platform, Open letter on an ambitious and comprehensive revision of the Social Scoreboard</w:t>
        </w:r>
      </w:hyperlink>
      <w:r w:rsidR="008D6B06">
        <w:rPr>
          <w:rFonts w:ascii="Trebuchet MS" w:hAnsi="Trebuchet MS"/>
          <w:lang w:val="en-US"/>
        </w:rPr>
        <w:t xml:space="preserve">. </w:t>
      </w:r>
    </w:p>
    <w:p w14:paraId="7FDFB01F" w14:textId="30976172" w:rsidR="00693C09" w:rsidRDefault="00693C09" w:rsidP="00795DE4">
      <w:pPr>
        <w:pStyle w:val="ListParagraph"/>
        <w:numPr>
          <w:ilvl w:val="0"/>
          <w:numId w:val="17"/>
        </w:numPr>
        <w:spacing w:after="0"/>
        <w:jc w:val="both"/>
        <w:rPr>
          <w:rFonts w:ascii="Trebuchet MS" w:hAnsi="Trebuchet MS"/>
          <w:lang w:val="en-US"/>
        </w:rPr>
      </w:pPr>
      <w:r w:rsidRPr="00693C09">
        <w:rPr>
          <w:rFonts w:ascii="Trebuchet MS" w:hAnsi="Trebuchet MS"/>
          <w:lang w:val="en-US"/>
        </w:rPr>
        <w:t>European handbook on equality data</w:t>
      </w:r>
      <w:r>
        <w:rPr>
          <w:rFonts w:ascii="Trebuchet MS" w:hAnsi="Trebuchet MS"/>
          <w:lang w:val="en-US"/>
        </w:rPr>
        <w:t>.</w:t>
      </w:r>
    </w:p>
    <w:p w14:paraId="3A82140D" w14:textId="425269FC" w:rsidR="003B7FAA" w:rsidRDefault="00F66BD4" w:rsidP="00795DE4">
      <w:pPr>
        <w:pStyle w:val="ListParagraph"/>
        <w:numPr>
          <w:ilvl w:val="0"/>
          <w:numId w:val="17"/>
        </w:numPr>
        <w:spacing w:after="0"/>
        <w:jc w:val="both"/>
        <w:rPr>
          <w:rFonts w:ascii="Trebuchet MS" w:hAnsi="Trebuchet MS"/>
          <w:lang w:val="en-US"/>
        </w:rPr>
      </w:pPr>
      <w:hyperlink r:id="rId47" w:history="1">
        <w:r w:rsidR="003B7FAA" w:rsidRPr="003B7FAA">
          <w:rPr>
            <w:rStyle w:val="Hyperlink"/>
            <w:rFonts w:ascii="Trebuchet MS" w:hAnsi="Trebuchet MS"/>
            <w:lang w:val="en-US"/>
          </w:rPr>
          <w:t>European Parliament, Bridging the digital divide in the EU</w:t>
        </w:r>
      </w:hyperlink>
      <w:r w:rsidR="003B7FAA">
        <w:rPr>
          <w:rFonts w:ascii="Trebuchet MS" w:hAnsi="Trebuchet MS"/>
          <w:lang w:val="en-US"/>
        </w:rPr>
        <w:t>.</w:t>
      </w:r>
    </w:p>
    <w:p w14:paraId="6EB8C947" w14:textId="387052F3" w:rsidR="00386E75" w:rsidRDefault="00F66BD4" w:rsidP="00795DE4">
      <w:pPr>
        <w:pStyle w:val="ListParagraph"/>
        <w:numPr>
          <w:ilvl w:val="0"/>
          <w:numId w:val="17"/>
        </w:numPr>
        <w:spacing w:after="0"/>
        <w:jc w:val="both"/>
        <w:rPr>
          <w:rFonts w:ascii="Trebuchet MS" w:hAnsi="Trebuchet MS"/>
          <w:lang w:val="en-US"/>
        </w:rPr>
      </w:pPr>
      <w:hyperlink r:id="rId48" w:history="1">
        <w:r w:rsidR="00386E75" w:rsidRPr="00386E75">
          <w:rPr>
            <w:rStyle w:val="Hyperlink"/>
            <w:rFonts w:ascii="Trebuchet MS" w:hAnsi="Trebuchet MS"/>
            <w:lang w:val="en-US"/>
          </w:rPr>
          <w:t>European Commission, Shaping Europe's digital future</w:t>
        </w:r>
      </w:hyperlink>
      <w:r w:rsidR="00386E75">
        <w:rPr>
          <w:rFonts w:ascii="Trebuchet MS" w:hAnsi="Trebuchet MS"/>
          <w:lang w:val="en-US"/>
        </w:rPr>
        <w:t>.</w:t>
      </w:r>
    </w:p>
    <w:p w14:paraId="482B0952" w14:textId="0F869C52" w:rsidR="00ED2549" w:rsidRDefault="00F66BD4" w:rsidP="00795DE4">
      <w:pPr>
        <w:pStyle w:val="ListParagraph"/>
        <w:numPr>
          <w:ilvl w:val="0"/>
          <w:numId w:val="17"/>
        </w:numPr>
        <w:spacing w:after="0"/>
        <w:jc w:val="both"/>
        <w:rPr>
          <w:rFonts w:ascii="Trebuchet MS" w:hAnsi="Trebuchet MS"/>
          <w:lang w:val="en-US"/>
        </w:rPr>
      </w:pPr>
      <w:hyperlink r:id="rId49" w:history="1">
        <w:r w:rsidR="00ED2549" w:rsidRPr="00ED2549">
          <w:rPr>
            <w:rStyle w:val="Hyperlink"/>
            <w:rFonts w:ascii="Trebuchet MS" w:hAnsi="Trebuchet MS"/>
            <w:lang w:val="en-US"/>
          </w:rPr>
          <w:t>European Parliament, COVID-19: MEPs call for measures to close the digital gap in education</w:t>
        </w:r>
      </w:hyperlink>
      <w:r w:rsidR="00ED2549">
        <w:rPr>
          <w:rFonts w:ascii="Trebuchet MS" w:hAnsi="Trebuchet MS"/>
          <w:lang w:val="en-US"/>
        </w:rPr>
        <w:t>.</w:t>
      </w:r>
    </w:p>
    <w:p w14:paraId="3A27AD3D" w14:textId="3FEAF5B1" w:rsidR="00C2512E" w:rsidRDefault="00F66BD4" w:rsidP="00795DE4">
      <w:pPr>
        <w:pStyle w:val="ListParagraph"/>
        <w:numPr>
          <w:ilvl w:val="0"/>
          <w:numId w:val="17"/>
        </w:numPr>
        <w:spacing w:after="0"/>
        <w:jc w:val="both"/>
        <w:rPr>
          <w:rFonts w:ascii="Trebuchet MS" w:hAnsi="Trebuchet MS"/>
          <w:lang w:val="en-US"/>
        </w:rPr>
      </w:pPr>
      <w:hyperlink r:id="rId50" w:history="1">
        <w:r w:rsidR="00C2512E" w:rsidRPr="00C2512E">
          <w:rPr>
            <w:rStyle w:val="Hyperlink"/>
            <w:rFonts w:ascii="Trebuchet MS" w:hAnsi="Trebuchet MS"/>
            <w:lang w:val="en-US"/>
          </w:rPr>
          <w:t>EU4Digital, Europe’s Digital Decade: setting the course towards a digitally empowered Europe by 2030</w:t>
        </w:r>
      </w:hyperlink>
      <w:r w:rsidR="00C2512E">
        <w:rPr>
          <w:rFonts w:ascii="Trebuchet MS" w:hAnsi="Trebuchet MS"/>
          <w:lang w:val="en-US"/>
        </w:rPr>
        <w:t xml:space="preserve">. </w:t>
      </w:r>
    </w:p>
    <w:p w14:paraId="33E05155" w14:textId="0FE06420" w:rsidR="00AB2C7F" w:rsidRDefault="00F66BD4" w:rsidP="00795DE4">
      <w:pPr>
        <w:pStyle w:val="ListParagraph"/>
        <w:numPr>
          <w:ilvl w:val="0"/>
          <w:numId w:val="17"/>
        </w:numPr>
        <w:spacing w:after="0"/>
        <w:jc w:val="both"/>
        <w:rPr>
          <w:rFonts w:ascii="Trebuchet MS" w:hAnsi="Trebuchet MS"/>
          <w:lang w:val="en-US"/>
        </w:rPr>
      </w:pPr>
      <w:hyperlink r:id="rId51" w:history="1">
        <w:r w:rsidR="00AB2C7F" w:rsidRPr="00AB2C7F">
          <w:rPr>
            <w:rStyle w:val="Hyperlink"/>
            <w:rFonts w:ascii="Trebuchet MS" w:hAnsi="Trebuchet MS"/>
            <w:lang w:val="en-US"/>
          </w:rPr>
          <w:t>EESC conference on Energy poverty at the crossroads of the European Pillar of Social Rights and the European Green Deal</w:t>
        </w:r>
      </w:hyperlink>
      <w:r w:rsidR="00AB2C7F">
        <w:rPr>
          <w:rFonts w:ascii="Trebuchet MS" w:hAnsi="Trebuchet MS"/>
          <w:lang w:val="en-US"/>
        </w:rPr>
        <w:t xml:space="preserve">. </w:t>
      </w:r>
    </w:p>
    <w:p w14:paraId="2E6DD68D" w14:textId="58EA740F" w:rsidR="00604AB4" w:rsidRDefault="00604AB4" w:rsidP="00795DE4">
      <w:pPr>
        <w:pStyle w:val="ListParagraph"/>
        <w:numPr>
          <w:ilvl w:val="0"/>
          <w:numId w:val="17"/>
        </w:numPr>
        <w:spacing w:after="0"/>
        <w:jc w:val="both"/>
        <w:rPr>
          <w:rFonts w:ascii="Trebuchet MS" w:hAnsi="Trebuchet MS"/>
          <w:lang w:val="en-US"/>
        </w:rPr>
      </w:pPr>
      <w:r>
        <w:rPr>
          <w:rFonts w:ascii="Trebuchet MS" w:hAnsi="Trebuchet MS"/>
          <w:lang w:val="en-US"/>
        </w:rPr>
        <w:t xml:space="preserve">Frans Timmermans, </w:t>
      </w:r>
      <w:hyperlink r:id="rId52" w:history="1">
        <w:r w:rsidRPr="00D31AEB">
          <w:rPr>
            <w:rStyle w:val="Hyperlink"/>
            <w:rFonts w:ascii="Trebuchet MS" w:hAnsi="Trebuchet MS"/>
            <w:lang w:val="en-US"/>
          </w:rPr>
          <w:t>Speech at European Economic and Social Committee plenary on social issues in the European Green Deal</w:t>
        </w:r>
      </w:hyperlink>
      <w:r>
        <w:rPr>
          <w:rFonts w:ascii="Trebuchet MS" w:hAnsi="Trebuchet MS"/>
          <w:lang w:val="en-US"/>
        </w:rPr>
        <w:t>.</w:t>
      </w:r>
    </w:p>
    <w:p w14:paraId="3573441C" w14:textId="44811C03" w:rsidR="00E92F32" w:rsidRDefault="00E92F32" w:rsidP="00795DE4">
      <w:pPr>
        <w:pStyle w:val="ListParagraph"/>
        <w:numPr>
          <w:ilvl w:val="0"/>
          <w:numId w:val="17"/>
        </w:numPr>
        <w:spacing w:after="0"/>
        <w:jc w:val="both"/>
        <w:rPr>
          <w:rFonts w:ascii="Trebuchet MS" w:hAnsi="Trebuchet MS"/>
          <w:lang w:val="en-US"/>
        </w:rPr>
      </w:pPr>
      <w:r>
        <w:rPr>
          <w:rFonts w:ascii="Trebuchet MS" w:hAnsi="Trebuchet MS"/>
          <w:lang w:val="en-US"/>
        </w:rPr>
        <w:t xml:space="preserve">Rights2Energy Coalition, </w:t>
      </w:r>
      <w:hyperlink r:id="rId53" w:history="1">
        <w:r w:rsidRPr="00E92F32">
          <w:rPr>
            <w:rStyle w:val="Hyperlink"/>
            <w:rFonts w:ascii="Trebuchet MS" w:hAnsi="Trebuchet MS"/>
            <w:lang w:val="en-US"/>
          </w:rPr>
          <w:t>FEANTSA calls for the Renovation Wave to deliver for energy poor</w:t>
        </w:r>
      </w:hyperlink>
      <w:r>
        <w:rPr>
          <w:rFonts w:ascii="Trebuchet MS" w:hAnsi="Trebuchet MS"/>
          <w:lang w:val="en-US"/>
        </w:rPr>
        <w:t>.</w:t>
      </w:r>
    </w:p>
    <w:p w14:paraId="281C6C45" w14:textId="7778C049" w:rsidR="00A67985" w:rsidRDefault="00A67985" w:rsidP="00795DE4">
      <w:pPr>
        <w:pStyle w:val="ListParagraph"/>
        <w:numPr>
          <w:ilvl w:val="0"/>
          <w:numId w:val="17"/>
        </w:numPr>
        <w:spacing w:after="0"/>
        <w:jc w:val="both"/>
        <w:rPr>
          <w:rFonts w:ascii="Trebuchet MS" w:hAnsi="Trebuchet MS"/>
          <w:lang w:val="en-US"/>
        </w:rPr>
      </w:pPr>
      <w:r w:rsidRPr="00A67985">
        <w:rPr>
          <w:rFonts w:ascii="Trebuchet MS" w:hAnsi="Trebuchet MS"/>
          <w:lang w:val="en-US"/>
        </w:rPr>
        <w:t>ETUI</w:t>
      </w:r>
      <w:r>
        <w:rPr>
          <w:rFonts w:ascii="Trebuchet MS" w:hAnsi="Trebuchet MS"/>
          <w:lang w:val="en-US"/>
        </w:rPr>
        <w:t xml:space="preserve">, </w:t>
      </w:r>
      <w:hyperlink r:id="rId54" w:history="1">
        <w:r w:rsidRPr="00A67985">
          <w:rPr>
            <w:rStyle w:val="Hyperlink"/>
            <w:rFonts w:ascii="Trebuchet MS" w:hAnsi="Trebuchet MS"/>
            <w:lang w:val="en-US"/>
          </w:rPr>
          <w:t>Climate change: the key challenge - A framework for an eco-social contract</w:t>
        </w:r>
      </w:hyperlink>
      <w:r>
        <w:rPr>
          <w:rFonts w:ascii="Trebuchet MS" w:hAnsi="Trebuchet MS"/>
          <w:lang w:val="en-US"/>
        </w:rPr>
        <w:t>.</w:t>
      </w:r>
    </w:p>
    <w:p w14:paraId="6E75985E" w14:textId="1B9703E5" w:rsidR="00A67985" w:rsidRDefault="00A67985" w:rsidP="00A67985">
      <w:pPr>
        <w:pStyle w:val="ListParagraph"/>
        <w:numPr>
          <w:ilvl w:val="0"/>
          <w:numId w:val="17"/>
        </w:numPr>
        <w:spacing w:after="0"/>
        <w:jc w:val="both"/>
        <w:rPr>
          <w:rFonts w:ascii="Trebuchet MS" w:hAnsi="Trebuchet MS"/>
          <w:lang w:val="en-US"/>
        </w:rPr>
      </w:pPr>
      <w:r>
        <w:rPr>
          <w:rFonts w:ascii="Trebuchet MS" w:hAnsi="Trebuchet MS"/>
          <w:lang w:val="en-US"/>
        </w:rPr>
        <w:t xml:space="preserve">Housing Europe, </w:t>
      </w:r>
      <w:hyperlink r:id="rId55" w:history="1">
        <w:r w:rsidRPr="00A67985">
          <w:rPr>
            <w:rStyle w:val="Hyperlink"/>
            <w:rFonts w:ascii="Trebuchet MS" w:hAnsi="Trebuchet MS"/>
            <w:lang w:val="en-US"/>
          </w:rPr>
          <w:t>Promoting the area-based approach to tackle Energy Poverty Highlights from our European Energy Poverty Observatory Workshop</w:t>
        </w:r>
      </w:hyperlink>
      <w:r>
        <w:rPr>
          <w:rFonts w:ascii="Trebuchet MS" w:hAnsi="Trebuchet MS"/>
          <w:lang w:val="en-US"/>
        </w:rPr>
        <w:t>.</w:t>
      </w:r>
    </w:p>
    <w:p w14:paraId="0B7D18F9" w14:textId="44D6C86F" w:rsidR="00593D52" w:rsidRDefault="00593D52" w:rsidP="00593D52">
      <w:pPr>
        <w:pStyle w:val="ListParagraph"/>
        <w:numPr>
          <w:ilvl w:val="0"/>
          <w:numId w:val="17"/>
        </w:numPr>
        <w:spacing w:after="0"/>
        <w:jc w:val="both"/>
        <w:rPr>
          <w:rFonts w:ascii="Trebuchet MS" w:hAnsi="Trebuchet MS"/>
          <w:lang w:val="en-US"/>
        </w:rPr>
      </w:pPr>
      <w:r>
        <w:rPr>
          <w:rFonts w:ascii="Trebuchet MS" w:hAnsi="Trebuchet MS"/>
          <w:lang w:val="en-US"/>
        </w:rPr>
        <w:t xml:space="preserve">EUROFOUND, </w:t>
      </w:r>
      <w:hyperlink r:id="rId56" w:history="1">
        <w:r w:rsidRPr="00593D52">
          <w:rPr>
            <w:rStyle w:val="Hyperlink"/>
            <w:rFonts w:ascii="Trebuchet MS" w:hAnsi="Trebuchet MS"/>
            <w:lang w:val="en-US"/>
          </w:rPr>
          <w:t>Education, healthcare and housing: How access changed for children and families in 2020</w:t>
        </w:r>
      </w:hyperlink>
      <w:r>
        <w:rPr>
          <w:rFonts w:ascii="Trebuchet MS" w:hAnsi="Trebuchet MS"/>
          <w:lang w:val="en-US"/>
        </w:rPr>
        <w:t>.</w:t>
      </w:r>
    </w:p>
    <w:p w14:paraId="7ED421FD" w14:textId="16A52B96" w:rsidR="00593D52" w:rsidRDefault="00593D52" w:rsidP="00593D52">
      <w:pPr>
        <w:pStyle w:val="ListParagraph"/>
        <w:numPr>
          <w:ilvl w:val="0"/>
          <w:numId w:val="17"/>
        </w:numPr>
        <w:spacing w:after="0"/>
        <w:jc w:val="both"/>
        <w:rPr>
          <w:rFonts w:ascii="Trebuchet MS" w:hAnsi="Trebuchet MS"/>
          <w:lang w:val="en-US"/>
        </w:rPr>
      </w:pPr>
      <w:r>
        <w:rPr>
          <w:rFonts w:ascii="Trebuchet MS" w:hAnsi="Trebuchet MS"/>
          <w:lang w:val="en-US"/>
        </w:rPr>
        <w:t xml:space="preserve">EUROFOUND, </w:t>
      </w:r>
      <w:hyperlink r:id="rId57" w:history="1">
        <w:r w:rsidRPr="00593D52">
          <w:rPr>
            <w:rStyle w:val="Hyperlink"/>
            <w:rFonts w:ascii="Trebuchet MS" w:hAnsi="Trebuchet MS"/>
            <w:lang w:val="en-US"/>
          </w:rPr>
          <w:t>Housing in Europe Statistics visualized : 2020 edition</w:t>
        </w:r>
      </w:hyperlink>
      <w:r>
        <w:rPr>
          <w:rFonts w:ascii="Trebuchet MS" w:hAnsi="Trebuchet MS"/>
          <w:lang w:val="en-US"/>
        </w:rPr>
        <w:t>.</w:t>
      </w:r>
    </w:p>
    <w:p w14:paraId="5985C65F" w14:textId="189F66A5" w:rsidR="00980FF6" w:rsidRDefault="00980FF6" w:rsidP="00593D52">
      <w:pPr>
        <w:pStyle w:val="ListParagraph"/>
        <w:numPr>
          <w:ilvl w:val="0"/>
          <w:numId w:val="17"/>
        </w:numPr>
        <w:spacing w:after="0"/>
        <w:jc w:val="both"/>
        <w:rPr>
          <w:rFonts w:ascii="Trebuchet MS" w:hAnsi="Trebuchet MS"/>
          <w:lang w:val="en-US"/>
        </w:rPr>
      </w:pPr>
      <w:r>
        <w:rPr>
          <w:rFonts w:ascii="Trebuchet MS" w:hAnsi="Trebuchet MS"/>
          <w:lang w:val="en-US"/>
        </w:rPr>
        <w:t xml:space="preserve">EUROFOUND, </w:t>
      </w:r>
      <w:hyperlink r:id="rId58" w:history="1">
        <w:r w:rsidRPr="00980FF6">
          <w:rPr>
            <w:rStyle w:val="Hyperlink"/>
            <w:rFonts w:ascii="Trebuchet MS" w:hAnsi="Trebuchet MS"/>
            <w:lang w:val="en-US"/>
          </w:rPr>
          <w:t>Policies to ensure access to affordable housing</w:t>
        </w:r>
      </w:hyperlink>
      <w:r>
        <w:rPr>
          <w:rFonts w:ascii="Trebuchet MS" w:hAnsi="Trebuchet MS"/>
          <w:lang w:val="en-US"/>
        </w:rPr>
        <w:t>.</w:t>
      </w:r>
    </w:p>
    <w:p w14:paraId="36318E4D" w14:textId="7F89C9CD" w:rsidR="00980FF6" w:rsidRDefault="00F66BD4" w:rsidP="00593D52">
      <w:pPr>
        <w:pStyle w:val="ListParagraph"/>
        <w:numPr>
          <w:ilvl w:val="0"/>
          <w:numId w:val="17"/>
        </w:numPr>
        <w:spacing w:after="0"/>
        <w:jc w:val="both"/>
        <w:rPr>
          <w:rFonts w:ascii="Trebuchet MS" w:hAnsi="Trebuchet MS"/>
          <w:lang w:val="en-US"/>
        </w:rPr>
      </w:pPr>
      <w:hyperlink r:id="rId59" w:history="1">
        <w:r w:rsidR="00980FF6" w:rsidRPr="00980FF6">
          <w:rPr>
            <w:rStyle w:val="Hyperlink"/>
            <w:rFonts w:ascii="Trebuchet MS" w:hAnsi="Trebuchet MS"/>
            <w:lang w:val="en-US"/>
          </w:rPr>
          <w:t>FEANTSA Report: Investment in Affordable &amp; Social Housing Solutions: Reaching the “Locked Out” in Europe</w:t>
        </w:r>
      </w:hyperlink>
      <w:r w:rsidR="00980FF6">
        <w:rPr>
          <w:rFonts w:ascii="Trebuchet MS" w:hAnsi="Trebuchet MS"/>
          <w:lang w:val="en-US"/>
        </w:rPr>
        <w:t xml:space="preserve">. </w:t>
      </w:r>
    </w:p>
    <w:p w14:paraId="640FC444" w14:textId="4BD8F964" w:rsidR="00ED2380" w:rsidRPr="00593D52" w:rsidRDefault="00ED2380" w:rsidP="00593D52">
      <w:pPr>
        <w:pStyle w:val="ListParagraph"/>
        <w:numPr>
          <w:ilvl w:val="0"/>
          <w:numId w:val="17"/>
        </w:numPr>
        <w:spacing w:after="0"/>
        <w:jc w:val="both"/>
        <w:rPr>
          <w:rFonts w:ascii="Trebuchet MS" w:hAnsi="Trebuchet MS"/>
          <w:lang w:val="en-US"/>
        </w:rPr>
      </w:pPr>
      <w:r>
        <w:rPr>
          <w:rFonts w:ascii="Trebuchet MS" w:hAnsi="Trebuchet MS"/>
          <w:lang w:val="en-US"/>
        </w:rPr>
        <w:t xml:space="preserve">FEANTSA, </w:t>
      </w:r>
      <w:hyperlink r:id="rId60" w:history="1">
        <w:r w:rsidRPr="00ED2380">
          <w:rPr>
            <w:rStyle w:val="Hyperlink"/>
            <w:rFonts w:ascii="Trebuchet MS" w:hAnsi="Trebuchet MS"/>
            <w:lang w:val="en-US"/>
          </w:rPr>
          <w:t>European Homelessness and COVID 19</w:t>
        </w:r>
      </w:hyperlink>
      <w:r>
        <w:rPr>
          <w:rFonts w:ascii="Trebuchet MS" w:hAnsi="Trebuchet MS"/>
          <w:lang w:val="en-US"/>
        </w:rPr>
        <w:t>.</w:t>
      </w:r>
    </w:p>
    <w:p w14:paraId="763280B9" w14:textId="77777777" w:rsidR="00475709" w:rsidRDefault="00475709" w:rsidP="003501BF">
      <w:pPr>
        <w:spacing w:after="0"/>
        <w:jc w:val="both"/>
        <w:rPr>
          <w:rFonts w:ascii="Trebuchet MS" w:hAnsi="Trebuchet MS"/>
          <w:b/>
          <w:bCs/>
          <w:u w:val="single"/>
          <w:lang w:val="en-US"/>
        </w:rPr>
      </w:pPr>
    </w:p>
    <w:p w14:paraId="53C7F429" w14:textId="77777777" w:rsidR="00B034A3" w:rsidRDefault="00B034A3" w:rsidP="003501BF">
      <w:pPr>
        <w:spacing w:after="0"/>
        <w:jc w:val="both"/>
        <w:rPr>
          <w:rFonts w:ascii="Trebuchet MS" w:hAnsi="Trebuchet MS"/>
          <w:b/>
          <w:bCs/>
          <w:u w:val="single"/>
          <w:lang w:val="en-US"/>
        </w:rPr>
      </w:pPr>
    </w:p>
    <w:p w14:paraId="3655F2ED" w14:textId="77777777" w:rsidR="00B034A3" w:rsidRDefault="00B034A3" w:rsidP="003501BF">
      <w:pPr>
        <w:spacing w:after="0"/>
        <w:jc w:val="both"/>
        <w:rPr>
          <w:rFonts w:ascii="Trebuchet MS" w:hAnsi="Trebuchet MS"/>
          <w:b/>
          <w:bCs/>
          <w:u w:val="single"/>
          <w:lang w:val="en-US"/>
        </w:rPr>
      </w:pPr>
    </w:p>
    <w:p w14:paraId="4ABC22DE" w14:textId="38EEA5A8" w:rsidR="00CF02DE" w:rsidRDefault="00207211" w:rsidP="003501BF">
      <w:pPr>
        <w:spacing w:after="0"/>
        <w:jc w:val="both"/>
        <w:rPr>
          <w:rFonts w:ascii="Trebuchet MS" w:hAnsi="Trebuchet MS"/>
          <w:b/>
          <w:bCs/>
          <w:u w:val="single"/>
          <w:lang w:val="en-US"/>
        </w:rPr>
      </w:pPr>
      <w:r w:rsidRPr="00207211">
        <w:rPr>
          <w:rFonts w:ascii="Trebuchet MS" w:hAnsi="Trebuchet MS"/>
          <w:b/>
          <w:bCs/>
          <w:u w:val="single"/>
          <w:lang w:val="en-US"/>
        </w:rPr>
        <w:t>Output</w:t>
      </w:r>
      <w:r>
        <w:rPr>
          <w:rFonts w:ascii="Trebuchet MS" w:hAnsi="Trebuchet MS"/>
          <w:b/>
          <w:bCs/>
          <w:u w:val="single"/>
          <w:lang w:val="en-US"/>
        </w:rPr>
        <w:t>:</w:t>
      </w:r>
    </w:p>
    <w:p w14:paraId="37C15670" w14:textId="0F1DCE19" w:rsidR="00207211" w:rsidRDefault="00207211" w:rsidP="003501BF">
      <w:pPr>
        <w:spacing w:after="0"/>
        <w:jc w:val="both"/>
        <w:rPr>
          <w:rFonts w:ascii="Trebuchet MS" w:hAnsi="Trebuchet MS"/>
          <w:b/>
          <w:bCs/>
          <w:u w:val="single"/>
          <w:lang w:val="en-US"/>
        </w:rPr>
      </w:pPr>
    </w:p>
    <w:p w14:paraId="23A75BCA" w14:textId="2AE6C57A" w:rsidR="00207211" w:rsidRDefault="00207211" w:rsidP="00207211">
      <w:pPr>
        <w:spacing w:after="0"/>
        <w:jc w:val="both"/>
        <w:rPr>
          <w:rFonts w:ascii="Trebuchet MS" w:hAnsi="Trebuchet MS"/>
          <w:lang w:val="en-US"/>
        </w:rPr>
      </w:pPr>
      <w:r w:rsidRPr="00207211">
        <w:rPr>
          <w:rFonts w:ascii="Trebuchet MS" w:hAnsi="Trebuchet MS"/>
          <w:lang w:val="en-US"/>
        </w:rPr>
        <w:t xml:space="preserve">Develop a report on access to essential services drawing from the experiences of members and focusing on </w:t>
      </w:r>
      <w:r>
        <w:rPr>
          <w:rFonts w:ascii="Trebuchet MS" w:hAnsi="Trebuchet MS"/>
          <w:lang w:val="en-US"/>
        </w:rPr>
        <w:t xml:space="preserve">challenges, good practices, national policy initiatives and concrete recommendations </w:t>
      </w:r>
      <w:r w:rsidR="00D66F68">
        <w:rPr>
          <w:rFonts w:ascii="Trebuchet MS" w:hAnsi="Trebuchet MS"/>
          <w:lang w:val="en-US"/>
        </w:rPr>
        <w:t>contributing to</w:t>
      </w:r>
      <w:r w:rsidR="00F06D04">
        <w:rPr>
          <w:rFonts w:ascii="Trebuchet MS" w:hAnsi="Trebuchet MS"/>
          <w:lang w:val="en-US"/>
        </w:rPr>
        <w:t xml:space="preserve"> equal access to essential services and eradicat</w:t>
      </w:r>
      <w:r w:rsidR="00D66F68">
        <w:rPr>
          <w:rFonts w:ascii="Trebuchet MS" w:hAnsi="Trebuchet MS"/>
          <w:lang w:val="en-US"/>
        </w:rPr>
        <w:t>ion of</w:t>
      </w:r>
      <w:r w:rsidR="00F06D04">
        <w:rPr>
          <w:rFonts w:ascii="Trebuchet MS" w:hAnsi="Trebuchet MS"/>
          <w:lang w:val="en-US"/>
        </w:rPr>
        <w:t xml:space="preserve"> social exclusion for people living in the EU.</w:t>
      </w:r>
    </w:p>
    <w:p w14:paraId="7C3F9FA7" w14:textId="2FDCD111" w:rsidR="00200F74" w:rsidRDefault="00200F74" w:rsidP="00207211">
      <w:pPr>
        <w:spacing w:after="0"/>
        <w:jc w:val="both"/>
        <w:rPr>
          <w:rFonts w:ascii="Trebuchet MS" w:hAnsi="Trebuchet MS"/>
          <w:lang w:val="en-US"/>
        </w:rPr>
      </w:pPr>
    </w:p>
    <w:p w14:paraId="44E4E250" w14:textId="044024DB" w:rsidR="00200F74" w:rsidRDefault="00200F74" w:rsidP="00200F74">
      <w:pPr>
        <w:spacing w:after="0"/>
        <w:jc w:val="both"/>
        <w:rPr>
          <w:rFonts w:ascii="Trebuchet MS" w:hAnsi="Trebuchet MS"/>
          <w:b/>
          <w:bCs/>
          <w:u w:val="single"/>
          <w:lang w:val="en-US"/>
        </w:rPr>
      </w:pPr>
      <w:r>
        <w:rPr>
          <w:rFonts w:ascii="Trebuchet MS" w:hAnsi="Trebuchet MS"/>
          <w:b/>
          <w:bCs/>
          <w:u w:val="single"/>
          <w:lang w:val="en-US"/>
        </w:rPr>
        <w:t>Target audience:</w:t>
      </w:r>
    </w:p>
    <w:p w14:paraId="2BD28661" w14:textId="467A0025" w:rsidR="00200F74" w:rsidRDefault="00200F74" w:rsidP="00200F74">
      <w:pPr>
        <w:spacing w:after="0"/>
        <w:jc w:val="both"/>
        <w:rPr>
          <w:rFonts w:ascii="Trebuchet MS" w:hAnsi="Trebuchet MS"/>
          <w:b/>
          <w:bCs/>
          <w:u w:val="single"/>
          <w:lang w:val="en-US"/>
        </w:rPr>
      </w:pPr>
    </w:p>
    <w:p w14:paraId="51645B2A" w14:textId="78952D40" w:rsidR="00200F74" w:rsidRPr="001E390A" w:rsidRDefault="00CD5490" w:rsidP="001E390A">
      <w:pPr>
        <w:pStyle w:val="ListParagraph"/>
        <w:numPr>
          <w:ilvl w:val="0"/>
          <w:numId w:val="18"/>
        </w:numPr>
        <w:spacing w:after="0"/>
        <w:jc w:val="both"/>
        <w:rPr>
          <w:rFonts w:ascii="Trebuchet MS" w:hAnsi="Trebuchet MS"/>
          <w:lang w:val="en-US"/>
        </w:rPr>
      </w:pPr>
      <w:r w:rsidRPr="001E390A">
        <w:rPr>
          <w:rFonts w:ascii="Trebuchet MS" w:hAnsi="Trebuchet MS"/>
          <w:lang w:val="en-US"/>
        </w:rPr>
        <w:t xml:space="preserve">Input: EAPN members led/coordinated by EUISG. 2 potential interviews </w:t>
      </w:r>
      <w:r w:rsidR="00A1753F">
        <w:rPr>
          <w:rFonts w:ascii="Trebuchet MS" w:hAnsi="Trebuchet MS"/>
          <w:lang w:val="en-US"/>
        </w:rPr>
        <w:t>with</w:t>
      </w:r>
      <w:r w:rsidRPr="001E390A">
        <w:rPr>
          <w:rFonts w:ascii="Trebuchet MS" w:hAnsi="Trebuchet MS"/>
          <w:lang w:val="en-US"/>
        </w:rPr>
        <w:t xml:space="preserve"> a PEP and</w:t>
      </w:r>
      <w:r w:rsidR="00A1753F">
        <w:rPr>
          <w:rFonts w:ascii="Trebuchet MS" w:hAnsi="Trebuchet MS"/>
          <w:lang w:val="en-US"/>
        </w:rPr>
        <w:t xml:space="preserve"> </w:t>
      </w:r>
      <w:r w:rsidRPr="001E390A">
        <w:rPr>
          <w:rFonts w:ascii="Trebuchet MS" w:hAnsi="Trebuchet MS"/>
          <w:lang w:val="en-US"/>
        </w:rPr>
        <w:t>one of the European organization</w:t>
      </w:r>
      <w:r w:rsidR="00D66F68">
        <w:rPr>
          <w:rFonts w:ascii="Trebuchet MS" w:hAnsi="Trebuchet MS"/>
          <w:lang w:val="en-US"/>
        </w:rPr>
        <w:t>s</w:t>
      </w:r>
      <w:r w:rsidRPr="001E390A">
        <w:rPr>
          <w:rFonts w:ascii="Trebuchet MS" w:hAnsi="Trebuchet MS"/>
          <w:lang w:val="en-US"/>
        </w:rPr>
        <w:t xml:space="preserve"> (e.g. </w:t>
      </w:r>
      <w:proofErr w:type="spellStart"/>
      <w:r w:rsidRPr="001E390A">
        <w:rPr>
          <w:rFonts w:ascii="Trebuchet MS" w:hAnsi="Trebuchet MS"/>
          <w:lang w:val="en-US"/>
        </w:rPr>
        <w:t>Eurochild</w:t>
      </w:r>
      <w:proofErr w:type="spellEnd"/>
      <w:r w:rsidRPr="001E390A">
        <w:rPr>
          <w:rFonts w:ascii="Trebuchet MS" w:hAnsi="Trebuchet MS"/>
          <w:lang w:val="en-US"/>
        </w:rPr>
        <w:t xml:space="preserve">, FEANTSA or PICUM) to collect first-hand experience with digital transition and access to healthcare/education and green/social transition </w:t>
      </w:r>
      <w:r w:rsidR="001E390A" w:rsidRPr="001E390A">
        <w:rPr>
          <w:rFonts w:ascii="Trebuchet MS" w:hAnsi="Trebuchet MS"/>
          <w:lang w:val="en-US"/>
        </w:rPr>
        <w:t xml:space="preserve">to reduce energy poverty within the context of delivering affordable housing to </w:t>
      </w:r>
      <w:r w:rsidR="00AB2C7F">
        <w:rPr>
          <w:rFonts w:ascii="Trebuchet MS" w:hAnsi="Trebuchet MS"/>
          <w:lang w:val="en-US"/>
        </w:rPr>
        <w:t>people</w:t>
      </w:r>
      <w:r w:rsidR="001E390A" w:rsidRPr="001E390A">
        <w:rPr>
          <w:rFonts w:ascii="Trebuchet MS" w:hAnsi="Trebuchet MS"/>
          <w:lang w:val="en-US"/>
        </w:rPr>
        <w:t xml:space="preserve"> with low income</w:t>
      </w:r>
      <w:r w:rsidR="00AB2C7F">
        <w:rPr>
          <w:rFonts w:ascii="Trebuchet MS" w:hAnsi="Trebuchet MS"/>
          <w:lang w:val="en-US"/>
        </w:rPr>
        <w:t xml:space="preserve"> and </w:t>
      </w:r>
      <w:r w:rsidR="00AB2C7F" w:rsidRPr="00AB2C7F">
        <w:rPr>
          <w:rFonts w:ascii="Trebuchet MS" w:hAnsi="Trebuchet MS"/>
          <w:lang w:val="en-GB"/>
        </w:rPr>
        <w:t>most vulnerable households</w:t>
      </w:r>
      <w:r w:rsidR="00AB2C7F">
        <w:rPr>
          <w:rFonts w:ascii="Trebuchet MS" w:hAnsi="Trebuchet MS"/>
          <w:lang w:val="en-GB"/>
        </w:rPr>
        <w:t xml:space="preserve">. </w:t>
      </w:r>
    </w:p>
    <w:p w14:paraId="58E5811D" w14:textId="05384709" w:rsidR="00CD5490" w:rsidRPr="006A1EF9" w:rsidRDefault="00CD5490" w:rsidP="001E390A">
      <w:pPr>
        <w:pStyle w:val="ListParagraph"/>
        <w:numPr>
          <w:ilvl w:val="0"/>
          <w:numId w:val="18"/>
        </w:numPr>
        <w:spacing w:after="0"/>
        <w:jc w:val="both"/>
        <w:rPr>
          <w:rFonts w:ascii="Trebuchet MS" w:hAnsi="Trebuchet MS"/>
          <w:lang w:val="en-GB"/>
        </w:rPr>
      </w:pPr>
      <w:r w:rsidRPr="006A1EF9">
        <w:rPr>
          <w:rFonts w:ascii="Trebuchet MS" w:hAnsi="Trebuchet MS"/>
          <w:lang w:val="en-GB"/>
        </w:rPr>
        <w:t xml:space="preserve">Final audience: </w:t>
      </w:r>
      <w:r w:rsidR="002A6AD5" w:rsidRPr="006A1EF9">
        <w:rPr>
          <w:rFonts w:ascii="Trebuchet MS" w:hAnsi="Trebuchet MS"/>
          <w:lang w:val="en-GB"/>
        </w:rPr>
        <w:t xml:space="preserve">EU Institutions (Commission, Parliament, </w:t>
      </w:r>
      <w:r w:rsidR="006A1EF9" w:rsidRPr="006A1EF9">
        <w:rPr>
          <w:rFonts w:ascii="Trebuchet MS" w:hAnsi="Trebuchet MS"/>
          <w:lang w:val="en-GB"/>
        </w:rPr>
        <w:t>European Council, European Economic and S</w:t>
      </w:r>
      <w:r w:rsidR="006A1EF9">
        <w:rPr>
          <w:rFonts w:ascii="Trebuchet MS" w:hAnsi="Trebuchet MS"/>
          <w:lang w:val="en-GB"/>
        </w:rPr>
        <w:t>ocial Committee), national EAPN networks, national ministries, cities.</w:t>
      </w:r>
    </w:p>
    <w:p w14:paraId="6D845DB0" w14:textId="77777777" w:rsidR="0097283D" w:rsidRDefault="0097283D" w:rsidP="00207211">
      <w:pPr>
        <w:spacing w:after="0"/>
        <w:jc w:val="both"/>
        <w:rPr>
          <w:rFonts w:ascii="Trebuchet MS" w:hAnsi="Trebuchet MS"/>
          <w:b/>
          <w:bCs/>
          <w:u w:val="single"/>
          <w:lang w:val="en-GB"/>
        </w:rPr>
      </w:pPr>
    </w:p>
    <w:p w14:paraId="6605C08D" w14:textId="77777777" w:rsidR="0097283D" w:rsidRDefault="0097283D" w:rsidP="00207211">
      <w:pPr>
        <w:spacing w:after="0"/>
        <w:jc w:val="both"/>
        <w:rPr>
          <w:rFonts w:ascii="Trebuchet MS" w:hAnsi="Trebuchet MS"/>
          <w:b/>
          <w:bCs/>
          <w:u w:val="single"/>
          <w:lang w:val="en-GB"/>
        </w:rPr>
      </w:pPr>
    </w:p>
    <w:p w14:paraId="504B6543" w14:textId="544DBD78" w:rsidR="00207211" w:rsidRDefault="00405816" w:rsidP="00207211">
      <w:pPr>
        <w:spacing w:after="0"/>
        <w:jc w:val="both"/>
        <w:rPr>
          <w:rFonts w:ascii="Trebuchet MS" w:hAnsi="Trebuchet MS"/>
          <w:b/>
          <w:bCs/>
          <w:u w:val="single"/>
          <w:lang w:val="en-GB"/>
        </w:rPr>
      </w:pPr>
      <w:r w:rsidRPr="00405816">
        <w:rPr>
          <w:rFonts w:ascii="Trebuchet MS" w:hAnsi="Trebuchet MS"/>
          <w:b/>
          <w:bCs/>
          <w:u w:val="single"/>
          <w:lang w:val="en-GB"/>
        </w:rPr>
        <w:t xml:space="preserve">Timeline: </w:t>
      </w:r>
    </w:p>
    <w:p w14:paraId="456A912A" w14:textId="244FD9AB" w:rsidR="00915536" w:rsidRDefault="00915536" w:rsidP="00207211">
      <w:pPr>
        <w:spacing w:after="0"/>
        <w:jc w:val="both"/>
        <w:rPr>
          <w:rFonts w:ascii="Trebuchet MS" w:hAnsi="Trebuchet MS"/>
          <w:b/>
          <w:bCs/>
          <w:u w:val="single"/>
          <w:lang w:val="en-GB"/>
        </w:rPr>
      </w:pPr>
    </w:p>
    <w:tbl>
      <w:tblPr>
        <w:tblStyle w:val="GridTable3-Accent5"/>
        <w:tblW w:w="0" w:type="auto"/>
        <w:tblInd w:w="5" w:type="dxa"/>
        <w:tblLook w:val="04A0" w:firstRow="1" w:lastRow="0" w:firstColumn="1" w:lastColumn="0" w:noHBand="0" w:noVBand="1"/>
      </w:tblPr>
      <w:tblGrid>
        <w:gridCol w:w="6658"/>
        <w:gridCol w:w="2404"/>
      </w:tblGrid>
      <w:tr w:rsidR="00915536" w14:paraId="73258085" w14:textId="77777777" w:rsidTr="009155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58" w:type="dxa"/>
          </w:tcPr>
          <w:p w14:paraId="6B3CB902" w14:textId="77777777" w:rsidR="00915536" w:rsidRDefault="00915536" w:rsidP="00207211">
            <w:pPr>
              <w:jc w:val="both"/>
              <w:rPr>
                <w:rFonts w:ascii="Trebuchet MS" w:hAnsi="Trebuchet MS"/>
                <w:b w:val="0"/>
                <w:bCs w:val="0"/>
                <w:u w:val="single"/>
                <w:lang w:val="en-GB"/>
              </w:rPr>
            </w:pPr>
          </w:p>
        </w:tc>
        <w:tc>
          <w:tcPr>
            <w:tcW w:w="2404" w:type="dxa"/>
          </w:tcPr>
          <w:p w14:paraId="13926B27" w14:textId="77777777" w:rsidR="00915536" w:rsidRDefault="00915536" w:rsidP="00207211">
            <w:pPr>
              <w:jc w:val="both"/>
              <w:cnfStyle w:val="100000000000" w:firstRow="1" w:lastRow="0" w:firstColumn="0" w:lastColumn="0" w:oddVBand="0" w:evenVBand="0" w:oddHBand="0" w:evenHBand="0" w:firstRowFirstColumn="0" w:firstRowLastColumn="0" w:lastRowFirstColumn="0" w:lastRowLastColumn="0"/>
              <w:rPr>
                <w:rFonts w:ascii="Trebuchet MS" w:hAnsi="Trebuchet MS"/>
                <w:b w:val="0"/>
                <w:bCs w:val="0"/>
                <w:u w:val="single"/>
                <w:lang w:val="en-GB"/>
              </w:rPr>
            </w:pPr>
          </w:p>
        </w:tc>
      </w:tr>
      <w:tr w:rsidR="00915536" w14:paraId="364973C6" w14:textId="77777777" w:rsidTr="0091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638A96F1" w14:textId="4B4B0F60" w:rsidR="00915536" w:rsidRDefault="00915536" w:rsidP="00207211">
            <w:pPr>
              <w:jc w:val="both"/>
              <w:rPr>
                <w:rFonts w:ascii="Trebuchet MS" w:hAnsi="Trebuchet MS"/>
                <w:lang w:val="en-GB"/>
              </w:rPr>
            </w:pPr>
            <w:r w:rsidRPr="00915536">
              <w:rPr>
                <w:rFonts w:ascii="Trebuchet MS" w:hAnsi="Trebuchet MS"/>
                <w:i w:val="0"/>
                <w:iCs w:val="0"/>
                <w:lang w:val="en-GB"/>
              </w:rPr>
              <w:t xml:space="preserve">EAPN EU sends the concept note to the </w:t>
            </w:r>
            <w:r w:rsidR="00472E33">
              <w:rPr>
                <w:rFonts w:ascii="Trebuchet MS" w:hAnsi="Trebuchet MS"/>
                <w:i w:val="0"/>
                <w:iCs w:val="0"/>
                <w:lang w:val="en-GB"/>
              </w:rPr>
              <w:t xml:space="preserve">steering group and </w:t>
            </w:r>
            <w:r w:rsidRPr="00915536">
              <w:rPr>
                <w:rFonts w:ascii="Trebuchet MS" w:hAnsi="Trebuchet MS"/>
                <w:i w:val="0"/>
                <w:iCs w:val="0"/>
                <w:lang w:val="en-GB"/>
              </w:rPr>
              <w:t xml:space="preserve">EUISG </w:t>
            </w:r>
          </w:p>
          <w:p w14:paraId="00C067DB" w14:textId="5B5B95B1" w:rsidR="00472E33" w:rsidRPr="00915536" w:rsidRDefault="00472E33" w:rsidP="00207211">
            <w:pPr>
              <w:jc w:val="both"/>
              <w:rPr>
                <w:rFonts w:ascii="Trebuchet MS" w:hAnsi="Trebuchet MS"/>
                <w:i w:val="0"/>
                <w:iCs w:val="0"/>
                <w:lang w:val="en-GB"/>
              </w:rPr>
            </w:pPr>
          </w:p>
        </w:tc>
        <w:tc>
          <w:tcPr>
            <w:tcW w:w="2404" w:type="dxa"/>
          </w:tcPr>
          <w:p w14:paraId="705CE1A5" w14:textId="45B717D7" w:rsidR="00915536" w:rsidRDefault="0078157F" w:rsidP="00207211">
            <w:pPr>
              <w:jc w:val="both"/>
              <w:cnfStyle w:val="000000100000" w:firstRow="0" w:lastRow="0" w:firstColumn="0" w:lastColumn="0" w:oddVBand="0" w:evenVBand="0" w:oddHBand="1" w:evenHBand="0" w:firstRowFirstColumn="0" w:firstRowLastColumn="0" w:lastRowFirstColumn="0" w:lastRowLastColumn="0"/>
              <w:rPr>
                <w:rFonts w:ascii="Trebuchet MS" w:hAnsi="Trebuchet MS"/>
                <w:b/>
                <w:bCs/>
                <w:u w:val="single"/>
                <w:lang w:val="en-GB"/>
              </w:rPr>
            </w:pPr>
            <w:r>
              <w:rPr>
                <w:rFonts w:ascii="Trebuchet MS" w:hAnsi="Trebuchet MS"/>
                <w:b/>
                <w:bCs/>
                <w:u w:val="single"/>
                <w:lang w:val="en-GB"/>
              </w:rPr>
              <w:t>5</w:t>
            </w:r>
            <w:r w:rsidR="00915536">
              <w:rPr>
                <w:rFonts w:ascii="Trebuchet MS" w:hAnsi="Trebuchet MS"/>
                <w:b/>
                <w:bCs/>
                <w:u w:val="single"/>
                <w:lang w:val="en-GB"/>
              </w:rPr>
              <w:t xml:space="preserve"> Ju</w:t>
            </w:r>
            <w:r>
              <w:rPr>
                <w:rFonts w:ascii="Trebuchet MS" w:hAnsi="Trebuchet MS"/>
                <w:b/>
                <w:bCs/>
                <w:u w:val="single"/>
                <w:lang w:val="en-GB"/>
              </w:rPr>
              <w:t>ly</w:t>
            </w:r>
            <w:r w:rsidR="00915536">
              <w:rPr>
                <w:rFonts w:ascii="Trebuchet MS" w:hAnsi="Trebuchet MS"/>
                <w:b/>
                <w:bCs/>
                <w:u w:val="single"/>
                <w:lang w:val="en-GB"/>
              </w:rPr>
              <w:t xml:space="preserve"> 2021</w:t>
            </w:r>
          </w:p>
        </w:tc>
      </w:tr>
      <w:tr w:rsidR="00472E33" w14:paraId="69AD069C" w14:textId="77777777" w:rsidTr="00915536">
        <w:tc>
          <w:tcPr>
            <w:cnfStyle w:val="001000000000" w:firstRow="0" w:lastRow="0" w:firstColumn="1" w:lastColumn="0" w:oddVBand="0" w:evenVBand="0" w:oddHBand="0" w:evenHBand="0" w:firstRowFirstColumn="0" w:firstRowLastColumn="0" w:lastRowFirstColumn="0" w:lastRowLastColumn="0"/>
            <w:tcW w:w="6658" w:type="dxa"/>
          </w:tcPr>
          <w:p w14:paraId="0AAE3E6D" w14:textId="58238AF1" w:rsidR="00472E33" w:rsidRPr="00472E33" w:rsidRDefault="00472E33" w:rsidP="00207211">
            <w:pPr>
              <w:jc w:val="both"/>
              <w:rPr>
                <w:rFonts w:ascii="Trebuchet MS" w:hAnsi="Trebuchet MS"/>
                <w:i w:val="0"/>
                <w:iCs w:val="0"/>
                <w:lang w:val="en-GB"/>
              </w:rPr>
            </w:pPr>
            <w:r>
              <w:rPr>
                <w:rFonts w:ascii="Trebuchet MS" w:hAnsi="Trebuchet MS"/>
                <w:i w:val="0"/>
                <w:iCs w:val="0"/>
                <w:lang w:val="en-GB"/>
              </w:rPr>
              <w:t xml:space="preserve">Preliminary comments from the steering group </w:t>
            </w:r>
          </w:p>
          <w:p w14:paraId="75A1BA70" w14:textId="2DE37939" w:rsidR="00472E33" w:rsidRDefault="00472E33" w:rsidP="00207211">
            <w:pPr>
              <w:jc w:val="both"/>
              <w:rPr>
                <w:rFonts w:ascii="Trebuchet MS" w:hAnsi="Trebuchet MS"/>
                <w:i w:val="0"/>
                <w:iCs w:val="0"/>
                <w:lang w:val="en-GB"/>
              </w:rPr>
            </w:pPr>
          </w:p>
        </w:tc>
        <w:tc>
          <w:tcPr>
            <w:tcW w:w="2404" w:type="dxa"/>
          </w:tcPr>
          <w:p w14:paraId="587A5F76" w14:textId="1FF30BE8" w:rsidR="00472E33" w:rsidRDefault="0078157F" w:rsidP="00207211">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u w:val="single"/>
                <w:lang w:val="en-GB"/>
              </w:rPr>
            </w:pPr>
            <w:r>
              <w:rPr>
                <w:rFonts w:ascii="Trebuchet MS" w:hAnsi="Trebuchet MS"/>
                <w:b/>
                <w:bCs/>
                <w:u w:val="single"/>
                <w:lang w:val="en-GB"/>
              </w:rPr>
              <w:t xml:space="preserve">9 </w:t>
            </w:r>
            <w:r w:rsidR="00472E33">
              <w:rPr>
                <w:rFonts w:ascii="Trebuchet MS" w:hAnsi="Trebuchet MS"/>
                <w:b/>
                <w:bCs/>
                <w:u w:val="single"/>
                <w:lang w:val="en-GB"/>
              </w:rPr>
              <w:t>July 2021</w:t>
            </w:r>
          </w:p>
        </w:tc>
      </w:tr>
      <w:tr w:rsidR="00915536" w14:paraId="7C22115B" w14:textId="77777777" w:rsidTr="0091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6D1E453" w14:textId="77777777" w:rsidR="00915536" w:rsidRDefault="00915536" w:rsidP="00207211">
            <w:pPr>
              <w:jc w:val="both"/>
              <w:rPr>
                <w:rFonts w:ascii="Trebuchet MS" w:hAnsi="Trebuchet MS"/>
                <w:lang w:val="en-GB"/>
              </w:rPr>
            </w:pPr>
            <w:r>
              <w:rPr>
                <w:rFonts w:ascii="Trebuchet MS" w:hAnsi="Trebuchet MS"/>
                <w:i w:val="0"/>
                <w:iCs w:val="0"/>
                <w:lang w:val="en-GB"/>
              </w:rPr>
              <w:t xml:space="preserve">First discussion in the EUISG meeting </w:t>
            </w:r>
          </w:p>
          <w:p w14:paraId="3AEB4979" w14:textId="56CD8E1D" w:rsidR="00472E33" w:rsidRPr="00915536" w:rsidRDefault="00472E33" w:rsidP="00207211">
            <w:pPr>
              <w:jc w:val="both"/>
              <w:rPr>
                <w:rFonts w:ascii="Trebuchet MS" w:hAnsi="Trebuchet MS"/>
                <w:i w:val="0"/>
                <w:iCs w:val="0"/>
                <w:lang w:val="en-GB"/>
              </w:rPr>
            </w:pPr>
          </w:p>
        </w:tc>
        <w:tc>
          <w:tcPr>
            <w:tcW w:w="2404" w:type="dxa"/>
          </w:tcPr>
          <w:p w14:paraId="6F6E78ED" w14:textId="2C99520D" w:rsidR="00915536" w:rsidRDefault="00915536" w:rsidP="00207211">
            <w:pPr>
              <w:jc w:val="both"/>
              <w:cnfStyle w:val="000000100000" w:firstRow="0" w:lastRow="0" w:firstColumn="0" w:lastColumn="0" w:oddVBand="0" w:evenVBand="0" w:oddHBand="1" w:evenHBand="0" w:firstRowFirstColumn="0" w:firstRowLastColumn="0" w:lastRowFirstColumn="0" w:lastRowLastColumn="0"/>
              <w:rPr>
                <w:rFonts w:ascii="Trebuchet MS" w:hAnsi="Trebuchet MS"/>
                <w:b/>
                <w:bCs/>
                <w:u w:val="single"/>
                <w:lang w:val="en-GB"/>
              </w:rPr>
            </w:pPr>
            <w:r>
              <w:rPr>
                <w:rFonts w:ascii="Trebuchet MS" w:hAnsi="Trebuchet MS"/>
                <w:b/>
                <w:bCs/>
                <w:u w:val="single"/>
                <w:lang w:val="en-GB"/>
              </w:rPr>
              <w:t>13 July 2021</w:t>
            </w:r>
          </w:p>
        </w:tc>
      </w:tr>
      <w:tr w:rsidR="00915536" w:rsidRPr="00915536" w14:paraId="652E7D42" w14:textId="77777777" w:rsidTr="00915536">
        <w:tc>
          <w:tcPr>
            <w:cnfStyle w:val="001000000000" w:firstRow="0" w:lastRow="0" w:firstColumn="1" w:lastColumn="0" w:oddVBand="0" w:evenVBand="0" w:oddHBand="0" w:evenHBand="0" w:firstRowFirstColumn="0" w:firstRowLastColumn="0" w:lastRowFirstColumn="0" w:lastRowLastColumn="0"/>
            <w:tcW w:w="6658" w:type="dxa"/>
          </w:tcPr>
          <w:p w14:paraId="3DB20977" w14:textId="77777777" w:rsidR="00915536" w:rsidRDefault="00915536" w:rsidP="00207211">
            <w:pPr>
              <w:jc w:val="both"/>
              <w:rPr>
                <w:rFonts w:ascii="Trebuchet MS" w:hAnsi="Trebuchet MS"/>
                <w:lang w:val="en-GB"/>
              </w:rPr>
            </w:pPr>
            <w:r w:rsidRPr="00472E33">
              <w:rPr>
                <w:rFonts w:ascii="Trebuchet MS" w:hAnsi="Trebuchet MS"/>
                <w:i w:val="0"/>
                <w:iCs w:val="0"/>
                <w:lang w:val="en-GB"/>
              </w:rPr>
              <w:t xml:space="preserve">EAPN EU circulates the revised concept note/questionnaire </w:t>
            </w:r>
            <w:r w:rsidR="00472E33" w:rsidRPr="00472E33">
              <w:rPr>
                <w:rFonts w:ascii="Trebuchet MS" w:hAnsi="Trebuchet MS"/>
                <w:i w:val="0"/>
                <w:iCs w:val="0"/>
                <w:lang w:val="en-GB"/>
              </w:rPr>
              <w:t>and sends invitations for i</w:t>
            </w:r>
            <w:r w:rsidR="00472E33">
              <w:rPr>
                <w:rFonts w:ascii="Trebuchet MS" w:hAnsi="Trebuchet MS"/>
                <w:i w:val="0"/>
                <w:iCs w:val="0"/>
                <w:lang w:val="en-GB"/>
              </w:rPr>
              <w:t xml:space="preserve">nterviews </w:t>
            </w:r>
          </w:p>
          <w:p w14:paraId="4200DA9A" w14:textId="5D310C4F" w:rsidR="00472E33" w:rsidRPr="00472E33" w:rsidRDefault="00472E33" w:rsidP="00207211">
            <w:pPr>
              <w:jc w:val="both"/>
              <w:rPr>
                <w:rFonts w:ascii="Trebuchet MS" w:hAnsi="Trebuchet MS"/>
                <w:i w:val="0"/>
                <w:iCs w:val="0"/>
                <w:lang w:val="en-GB"/>
              </w:rPr>
            </w:pPr>
          </w:p>
        </w:tc>
        <w:tc>
          <w:tcPr>
            <w:tcW w:w="2404" w:type="dxa"/>
          </w:tcPr>
          <w:p w14:paraId="35CF1A3E" w14:textId="5974D12C" w:rsidR="00915536" w:rsidRPr="00915536" w:rsidRDefault="00915536" w:rsidP="00207211">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u w:val="single"/>
              </w:rPr>
            </w:pPr>
            <w:r>
              <w:rPr>
                <w:rFonts w:ascii="Trebuchet MS" w:hAnsi="Trebuchet MS"/>
                <w:b/>
                <w:bCs/>
                <w:u w:val="single"/>
              </w:rPr>
              <w:t>1</w:t>
            </w:r>
            <w:r w:rsidR="00472E33">
              <w:rPr>
                <w:rFonts w:ascii="Trebuchet MS" w:hAnsi="Trebuchet MS"/>
                <w:b/>
                <w:bCs/>
                <w:u w:val="single"/>
              </w:rPr>
              <w:t>6</w:t>
            </w:r>
            <w:r>
              <w:rPr>
                <w:rFonts w:ascii="Trebuchet MS" w:hAnsi="Trebuchet MS"/>
                <w:b/>
                <w:bCs/>
                <w:u w:val="single"/>
              </w:rPr>
              <w:t xml:space="preserve"> July 2021</w:t>
            </w:r>
          </w:p>
        </w:tc>
      </w:tr>
      <w:tr w:rsidR="00915536" w:rsidRPr="00472E33" w14:paraId="2F58DF7E" w14:textId="77777777" w:rsidTr="0091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1D9151B6" w14:textId="5B70A7F3" w:rsidR="00915536" w:rsidRPr="00472E33" w:rsidRDefault="00472E33" w:rsidP="00207211">
            <w:pPr>
              <w:jc w:val="both"/>
              <w:rPr>
                <w:rFonts w:ascii="Trebuchet MS" w:hAnsi="Trebuchet MS"/>
                <w:i w:val="0"/>
                <w:iCs w:val="0"/>
                <w:lang w:val="en-GB"/>
              </w:rPr>
            </w:pPr>
            <w:r>
              <w:rPr>
                <w:rFonts w:ascii="Trebuchet MS" w:hAnsi="Trebuchet MS"/>
                <w:i w:val="0"/>
                <w:iCs w:val="0"/>
                <w:lang w:val="en-GB"/>
              </w:rPr>
              <w:t xml:space="preserve">Deadline for input from members </w:t>
            </w:r>
          </w:p>
          <w:p w14:paraId="43884AC8" w14:textId="7222011B" w:rsidR="00472E33" w:rsidRPr="00472E33" w:rsidRDefault="00472E33" w:rsidP="00207211">
            <w:pPr>
              <w:jc w:val="both"/>
              <w:rPr>
                <w:rFonts w:ascii="Trebuchet MS" w:hAnsi="Trebuchet MS"/>
                <w:i w:val="0"/>
                <w:iCs w:val="0"/>
                <w:lang w:val="en-GB"/>
              </w:rPr>
            </w:pPr>
          </w:p>
        </w:tc>
        <w:tc>
          <w:tcPr>
            <w:tcW w:w="2404" w:type="dxa"/>
          </w:tcPr>
          <w:p w14:paraId="5EA9B385" w14:textId="0894B7C5" w:rsidR="00915536" w:rsidRPr="00472E33" w:rsidRDefault="00472E33" w:rsidP="00207211">
            <w:pPr>
              <w:jc w:val="both"/>
              <w:cnfStyle w:val="000000100000" w:firstRow="0" w:lastRow="0" w:firstColumn="0" w:lastColumn="0" w:oddVBand="0" w:evenVBand="0" w:oddHBand="1" w:evenHBand="0" w:firstRowFirstColumn="0" w:firstRowLastColumn="0" w:lastRowFirstColumn="0" w:lastRowLastColumn="0"/>
              <w:rPr>
                <w:rFonts w:ascii="Trebuchet MS" w:hAnsi="Trebuchet MS"/>
                <w:b/>
                <w:bCs/>
                <w:u w:val="single"/>
                <w:lang w:val="en-GB"/>
              </w:rPr>
            </w:pPr>
            <w:r>
              <w:rPr>
                <w:rFonts w:ascii="Trebuchet MS" w:hAnsi="Trebuchet MS"/>
                <w:b/>
                <w:bCs/>
                <w:u w:val="single"/>
                <w:lang w:val="en-GB"/>
              </w:rPr>
              <w:t>11 August 2021</w:t>
            </w:r>
          </w:p>
        </w:tc>
      </w:tr>
      <w:tr w:rsidR="00915536" w:rsidRPr="00472E33" w14:paraId="11B4D3AA" w14:textId="77777777" w:rsidTr="00915536">
        <w:tc>
          <w:tcPr>
            <w:cnfStyle w:val="001000000000" w:firstRow="0" w:lastRow="0" w:firstColumn="1" w:lastColumn="0" w:oddVBand="0" w:evenVBand="0" w:oddHBand="0" w:evenHBand="0" w:firstRowFirstColumn="0" w:firstRowLastColumn="0" w:lastRowFirstColumn="0" w:lastRowLastColumn="0"/>
            <w:tcW w:w="6658" w:type="dxa"/>
          </w:tcPr>
          <w:p w14:paraId="7F82A702" w14:textId="3623F0FA" w:rsidR="00915536" w:rsidRPr="00472E33" w:rsidRDefault="00472E33" w:rsidP="00207211">
            <w:pPr>
              <w:jc w:val="both"/>
              <w:rPr>
                <w:rFonts w:ascii="Trebuchet MS" w:hAnsi="Trebuchet MS"/>
                <w:i w:val="0"/>
                <w:iCs w:val="0"/>
                <w:lang w:val="en-GB"/>
              </w:rPr>
            </w:pPr>
            <w:r>
              <w:rPr>
                <w:rFonts w:ascii="Trebuchet MS" w:hAnsi="Trebuchet MS"/>
                <w:i w:val="0"/>
                <w:iCs w:val="0"/>
                <w:lang w:val="en-GB"/>
              </w:rPr>
              <w:t>EAPN sends the first final drat paper to the EUISG</w:t>
            </w:r>
          </w:p>
        </w:tc>
        <w:tc>
          <w:tcPr>
            <w:tcW w:w="2404" w:type="dxa"/>
          </w:tcPr>
          <w:p w14:paraId="1BC47932" w14:textId="77777777" w:rsidR="00915536" w:rsidRDefault="00472E33" w:rsidP="00207211">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u w:val="single"/>
                <w:lang w:val="en-GB"/>
              </w:rPr>
            </w:pPr>
            <w:r>
              <w:rPr>
                <w:rFonts w:ascii="Trebuchet MS" w:hAnsi="Trebuchet MS"/>
                <w:b/>
                <w:bCs/>
                <w:u w:val="single"/>
                <w:lang w:val="en-GB"/>
              </w:rPr>
              <w:t>3 September 2021</w:t>
            </w:r>
          </w:p>
          <w:p w14:paraId="524DE772" w14:textId="77448C3A" w:rsidR="008859A3" w:rsidRPr="00472E33" w:rsidRDefault="008859A3" w:rsidP="00207211">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u w:val="single"/>
                <w:lang w:val="en-GB"/>
              </w:rPr>
            </w:pPr>
          </w:p>
        </w:tc>
      </w:tr>
      <w:tr w:rsidR="008859A3" w:rsidRPr="00472E33" w14:paraId="1ECC3778" w14:textId="77777777" w:rsidTr="0091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66B61BB4" w14:textId="0FE71A3E" w:rsidR="008859A3" w:rsidRDefault="008859A3" w:rsidP="00207211">
            <w:pPr>
              <w:jc w:val="both"/>
              <w:rPr>
                <w:rFonts w:ascii="Trebuchet MS" w:hAnsi="Trebuchet MS"/>
                <w:i w:val="0"/>
                <w:iCs w:val="0"/>
                <w:lang w:val="en-GB"/>
              </w:rPr>
            </w:pPr>
            <w:r>
              <w:rPr>
                <w:rFonts w:ascii="Trebuchet MS" w:hAnsi="Trebuchet MS"/>
                <w:i w:val="0"/>
                <w:iCs w:val="0"/>
                <w:lang w:val="en-GB"/>
              </w:rPr>
              <w:t xml:space="preserve">Second discussion in the EUISG meetings </w:t>
            </w:r>
          </w:p>
        </w:tc>
        <w:tc>
          <w:tcPr>
            <w:tcW w:w="2404" w:type="dxa"/>
          </w:tcPr>
          <w:p w14:paraId="12FA2C03" w14:textId="60E91585" w:rsidR="008859A3" w:rsidRDefault="0078157F" w:rsidP="00207211">
            <w:pPr>
              <w:jc w:val="both"/>
              <w:cnfStyle w:val="000000100000" w:firstRow="0" w:lastRow="0" w:firstColumn="0" w:lastColumn="0" w:oddVBand="0" w:evenVBand="0" w:oddHBand="1" w:evenHBand="0" w:firstRowFirstColumn="0" w:firstRowLastColumn="0" w:lastRowFirstColumn="0" w:lastRowLastColumn="0"/>
              <w:rPr>
                <w:rFonts w:ascii="Trebuchet MS" w:hAnsi="Trebuchet MS"/>
                <w:b/>
                <w:bCs/>
                <w:u w:val="single"/>
                <w:lang w:val="en-GB"/>
              </w:rPr>
            </w:pPr>
            <w:r>
              <w:rPr>
                <w:rFonts w:ascii="Trebuchet MS" w:hAnsi="Trebuchet MS"/>
                <w:b/>
                <w:bCs/>
                <w:u w:val="single"/>
                <w:lang w:val="en-GB"/>
              </w:rPr>
              <w:t>9 September 2021</w:t>
            </w:r>
          </w:p>
          <w:p w14:paraId="7351A8F8" w14:textId="5B6A2AD6" w:rsidR="008859A3" w:rsidRDefault="008859A3" w:rsidP="00207211">
            <w:pPr>
              <w:jc w:val="both"/>
              <w:cnfStyle w:val="000000100000" w:firstRow="0" w:lastRow="0" w:firstColumn="0" w:lastColumn="0" w:oddVBand="0" w:evenVBand="0" w:oddHBand="1" w:evenHBand="0" w:firstRowFirstColumn="0" w:firstRowLastColumn="0" w:lastRowFirstColumn="0" w:lastRowLastColumn="0"/>
              <w:rPr>
                <w:rFonts w:ascii="Trebuchet MS" w:hAnsi="Trebuchet MS"/>
                <w:b/>
                <w:bCs/>
                <w:u w:val="single"/>
                <w:lang w:val="en-GB"/>
              </w:rPr>
            </w:pPr>
          </w:p>
        </w:tc>
      </w:tr>
      <w:tr w:rsidR="008859A3" w:rsidRPr="00472E33" w14:paraId="548E695F" w14:textId="77777777" w:rsidTr="00915536">
        <w:tc>
          <w:tcPr>
            <w:cnfStyle w:val="001000000000" w:firstRow="0" w:lastRow="0" w:firstColumn="1" w:lastColumn="0" w:oddVBand="0" w:evenVBand="0" w:oddHBand="0" w:evenHBand="0" w:firstRowFirstColumn="0" w:firstRowLastColumn="0" w:lastRowFirstColumn="0" w:lastRowLastColumn="0"/>
            <w:tcW w:w="6658" w:type="dxa"/>
          </w:tcPr>
          <w:p w14:paraId="645897C9" w14:textId="5008777B" w:rsidR="008859A3" w:rsidRPr="008859A3" w:rsidRDefault="008859A3" w:rsidP="00207211">
            <w:pPr>
              <w:jc w:val="both"/>
              <w:rPr>
                <w:rFonts w:ascii="Trebuchet MS" w:hAnsi="Trebuchet MS"/>
                <w:i w:val="0"/>
                <w:iCs w:val="0"/>
                <w:lang w:val="en-GB"/>
              </w:rPr>
            </w:pPr>
            <w:r>
              <w:rPr>
                <w:rFonts w:ascii="Trebuchet MS" w:hAnsi="Trebuchet MS"/>
                <w:i w:val="0"/>
                <w:iCs w:val="0"/>
                <w:lang w:val="en-GB"/>
              </w:rPr>
              <w:t xml:space="preserve">Second draft </w:t>
            </w:r>
          </w:p>
          <w:p w14:paraId="5FAB3513" w14:textId="50F86572" w:rsidR="008859A3" w:rsidRDefault="008859A3" w:rsidP="00207211">
            <w:pPr>
              <w:jc w:val="both"/>
              <w:rPr>
                <w:rFonts w:ascii="Trebuchet MS" w:hAnsi="Trebuchet MS"/>
                <w:i w:val="0"/>
                <w:iCs w:val="0"/>
                <w:lang w:val="en-GB"/>
              </w:rPr>
            </w:pPr>
          </w:p>
        </w:tc>
        <w:tc>
          <w:tcPr>
            <w:tcW w:w="2404" w:type="dxa"/>
          </w:tcPr>
          <w:p w14:paraId="461FFF35" w14:textId="08425FD7" w:rsidR="008859A3" w:rsidRDefault="00430F62" w:rsidP="00207211">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u w:val="single"/>
                <w:lang w:val="en-GB"/>
              </w:rPr>
            </w:pPr>
            <w:r>
              <w:rPr>
                <w:rFonts w:ascii="Trebuchet MS" w:hAnsi="Trebuchet MS"/>
                <w:b/>
                <w:bCs/>
                <w:u w:val="single"/>
                <w:lang w:val="en-GB"/>
              </w:rPr>
              <w:t>12</w:t>
            </w:r>
            <w:r w:rsidR="008859A3">
              <w:rPr>
                <w:rFonts w:ascii="Trebuchet MS" w:hAnsi="Trebuchet MS"/>
                <w:b/>
                <w:bCs/>
                <w:u w:val="single"/>
                <w:lang w:val="en-GB"/>
              </w:rPr>
              <w:t xml:space="preserve"> October 2021</w:t>
            </w:r>
          </w:p>
        </w:tc>
      </w:tr>
      <w:tr w:rsidR="008859A3" w:rsidRPr="00472E33" w14:paraId="4CAB3E71" w14:textId="77777777" w:rsidTr="0091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5C938E4" w14:textId="0B8FA8D5" w:rsidR="008859A3" w:rsidRDefault="008859A3" w:rsidP="00207211">
            <w:pPr>
              <w:jc w:val="both"/>
              <w:rPr>
                <w:rFonts w:ascii="Trebuchet MS" w:hAnsi="Trebuchet MS"/>
                <w:i w:val="0"/>
                <w:iCs w:val="0"/>
                <w:lang w:val="en-GB"/>
              </w:rPr>
            </w:pPr>
            <w:r>
              <w:rPr>
                <w:rFonts w:ascii="Trebuchet MS" w:hAnsi="Trebuchet MS"/>
                <w:i w:val="0"/>
                <w:iCs w:val="0"/>
                <w:lang w:val="en-GB"/>
              </w:rPr>
              <w:t xml:space="preserve">Discussion in the EUISG meeting </w:t>
            </w:r>
          </w:p>
        </w:tc>
        <w:tc>
          <w:tcPr>
            <w:tcW w:w="2404" w:type="dxa"/>
          </w:tcPr>
          <w:p w14:paraId="45684A48" w14:textId="7F8EE60B" w:rsidR="008859A3" w:rsidRDefault="0078157F" w:rsidP="00207211">
            <w:pPr>
              <w:jc w:val="both"/>
              <w:cnfStyle w:val="000000100000" w:firstRow="0" w:lastRow="0" w:firstColumn="0" w:lastColumn="0" w:oddVBand="0" w:evenVBand="0" w:oddHBand="1" w:evenHBand="0" w:firstRowFirstColumn="0" w:firstRowLastColumn="0" w:lastRowFirstColumn="0" w:lastRowLastColumn="0"/>
              <w:rPr>
                <w:rFonts w:ascii="Trebuchet MS" w:hAnsi="Trebuchet MS"/>
                <w:b/>
                <w:bCs/>
                <w:u w:val="single"/>
                <w:lang w:val="en-GB"/>
              </w:rPr>
            </w:pPr>
            <w:r w:rsidRPr="0078157F">
              <w:rPr>
                <w:rFonts w:ascii="Trebuchet MS" w:hAnsi="Trebuchet MS"/>
                <w:b/>
                <w:bCs/>
                <w:u w:val="single"/>
                <w:lang w:val="en-GB"/>
              </w:rPr>
              <w:t xml:space="preserve">16 </w:t>
            </w:r>
            <w:r>
              <w:rPr>
                <w:rFonts w:ascii="Trebuchet MS" w:hAnsi="Trebuchet MS"/>
                <w:b/>
                <w:bCs/>
                <w:u w:val="single"/>
                <w:lang w:val="en-GB"/>
              </w:rPr>
              <w:t xml:space="preserve">November 2021 </w:t>
            </w:r>
          </w:p>
          <w:p w14:paraId="43988175" w14:textId="3B55F243" w:rsidR="008859A3" w:rsidRDefault="008859A3" w:rsidP="00207211">
            <w:pPr>
              <w:jc w:val="both"/>
              <w:cnfStyle w:val="000000100000" w:firstRow="0" w:lastRow="0" w:firstColumn="0" w:lastColumn="0" w:oddVBand="0" w:evenVBand="0" w:oddHBand="1" w:evenHBand="0" w:firstRowFirstColumn="0" w:firstRowLastColumn="0" w:lastRowFirstColumn="0" w:lastRowLastColumn="0"/>
              <w:rPr>
                <w:rFonts w:ascii="Trebuchet MS" w:hAnsi="Trebuchet MS"/>
                <w:b/>
                <w:bCs/>
                <w:u w:val="single"/>
                <w:lang w:val="en-GB"/>
              </w:rPr>
            </w:pPr>
          </w:p>
        </w:tc>
      </w:tr>
      <w:tr w:rsidR="008859A3" w:rsidRPr="00472E33" w14:paraId="5A4A6B9F" w14:textId="77777777" w:rsidTr="00915536">
        <w:tc>
          <w:tcPr>
            <w:cnfStyle w:val="001000000000" w:firstRow="0" w:lastRow="0" w:firstColumn="1" w:lastColumn="0" w:oddVBand="0" w:evenVBand="0" w:oddHBand="0" w:evenHBand="0" w:firstRowFirstColumn="0" w:firstRowLastColumn="0" w:lastRowFirstColumn="0" w:lastRowLastColumn="0"/>
            <w:tcW w:w="6658" w:type="dxa"/>
          </w:tcPr>
          <w:p w14:paraId="52578317" w14:textId="2A494635" w:rsidR="008859A3" w:rsidRDefault="008859A3" w:rsidP="00207211">
            <w:pPr>
              <w:jc w:val="both"/>
              <w:rPr>
                <w:rFonts w:ascii="Trebuchet MS" w:hAnsi="Trebuchet MS"/>
                <w:i w:val="0"/>
                <w:iCs w:val="0"/>
                <w:lang w:val="en-GB"/>
              </w:rPr>
            </w:pPr>
            <w:r>
              <w:rPr>
                <w:rFonts w:ascii="Trebuchet MS" w:hAnsi="Trebuchet MS"/>
                <w:i w:val="0"/>
                <w:iCs w:val="0"/>
                <w:lang w:val="en-GB"/>
              </w:rPr>
              <w:t xml:space="preserve">Finalization/Dissemination </w:t>
            </w:r>
          </w:p>
        </w:tc>
        <w:tc>
          <w:tcPr>
            <w:tcW w:w="2404" w:type="dxa"/>
          </w:tcPr>
          <w:p w14:paraId="024CE06D" w14:textId="4F8EF41C" w:rsidR="008859A3" w:rsidRDefault="008859A3" w:rsidP="00207211">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u w:val="single"/>
                <w:lang w:val="en-GB"/>
              </w:rPr>
            </w:pPr>
            <w:r>
              <w:rPr>
                <w:rFonts w:ascii="Trebuchet MS" w:hAnsi="Trebuchet MS"/>
                <w:b/>
                <w:bCs/>
                <w:u w:val="single"/>
                <w:lang w:val="en-GB"/>
              </w:rPr>
              <w:t>December/January 2022</w:t>
            </w:r>
          </w:p>
        </w:tc>
      </w:tr>
    </w:tbl>
    <w:p w14:paraId="265E2DB2" w14:textId="77777777" w:rsidR="00915536" w:rsidRPr="00472E33" w:rsidRDefault="00915536" w:rsidP="00207211">
      <w:pPr>
        <w:spacing w:after="0"/>
        <w:jc w:val="both"/>
        <w:rPr>
          <w:rFonts w:ascii="Trebuchet MS" w:hAnsi="Trebuchet MS"/>
          <w:b/>
          <w:bCs/>
          <w:u w:val="single"/>
          <w:lang w:val="en-GB"/>
        </w:rPr>
      </w:pPr>
    </w:p>
    <w:p w14:paraId="38CF7F9C" w14:textId="0B5F4B4F" w:rsidR="00A56638" w:rsidRPr="00472E33" w:rsidRDefault="00A56638" w:rsidP="00207211">
      <w:pPr>
        <w:spacing w:after="0"/>
        <w:jc w:val="both"/>
        <w:rPr>
          <w:rFonts w:ascii="Trebuchet MS" w:hAnsi="Trebuchet MS"/>
          <w:b/>
          <w:bCs/>
          <w:u w:val="single"/>
          <w:lang w:val="en-GB"/>
        </w:rPr>
      </w:pPr>
    </w:p>
    <w:p w14:paraId="0A7E06C8" w14:textId="292009FB" w:rsidR="00AD0FCA" w:rsidRPr="00045C39" w:rsidRDefault="00AD0FCA" w:rsidP="000E3522">
      <w:pPr>
        <w:spacing w:after="0" w:line="240" w:lineRule="auto"/>
        <w:jc w:val="center"/>
        <w:rPr>
          <w:b/>
          <w:sz w:val="28"/>
          <w:szCs w:val="28"/>
          <w:lang w:val="en-US"/>
        </w:rPr>
      </w:pPr>
      <w:r w:rsidRPr="00045C39">
        <w:rPr>
          <w:b/>
          <w:sz w:val="28"/>
          <w:szCs w:val="28"/>
          <w:lang w:val="en-US"/>
        </w:rPr>
        <w:lastRenderedPageBreak/>
        <w:t>EAPN</w:t>
      </w:r>
      <w:r w:rsidR="002E5597">
        <w:rPr>
          <w:b/>
          <w:sz w:val="28"/>
          <w:szCs w:val="28"/>
          <w:lang w:val="en-US"/>
        </w:rPr>
        <w:t xml:space="preserve"> position</w:t>
      </w:r>
      <w:r w:rsidRPr="00045C39">
        <w:rPr>
          <w:b/>
          <w:sz w:val="28"/>
          <w:szCs w:val="28"/>
          <w:lang w:val="en-US"/>
        </w:rPr>
        <w:t xml:space="preserve"> paper on the Access to</w:t>
      </w:r>
      <w:r w:rsidR="000E3522">
        <w:rPr>
          <w:b/>
          <w:sz w:val="28"/>
          <w:szCs w:val="28"/>
          <w:lang w:val="en-US"/>
        </w:rPr>
        <w:t xml:space="preserve"> </w:t>
      </w:r>
      <w:r w:rsidR="005B5EF6">
        <w:rPr>
          <w:b/>
          <w:sz w:val="28"/>
          <w:szCs w:val="28"/>
          <w:lang w:val="en-US"/>
        </w:rPr>
        <w:t xml:space="preserve">Essential </w:t>
      </w:r>
      <w:r w:rsidR="006421E0">
        <w:rPr>
          <w:b/>
          <w:sz w:val="28"/>
          <w:szCs w:val="28"/>
          <w:lang w:val="en-US"/>
        </w:rPr>
        <w:t>Services</w:t>
      </w:r>
    </w:p>
    <w:p w14:paraId="1FD6CF92" w14:textId="77777777" w:rsidR="00AD0FCA" w:rsidRPr="00045C39" w:rsidRDefault="00AD0FCA" w:rsidP="000E3522">
      <w:pPr>
        <w:spacing w:after="0" w:line="240" w:lineRule="auto"/>
        <w:jc w:val="center"/>
        <w:rPr>
          <w:b/>
          <w:i/>
          <w:sz w:val="28"/>
          <w:szCs w:val="28"/>
          <w:lang w:val="en-US"/>
        </w:rPr>
      </w:pPr>
      <w:r w:rsidRPr="00045C39">
        <w:rPr>
          <w:b/>
          <w:i/>
          <w:sz w:val="28"/>
          <w:szCs w:val="28"/>
          <w:lang w:val="en-US"/>
        </w:rPr>
        <w:t>Template fiche for mapping national realities</w:t>
      </w:r>
    </w:p>
    <w:p w14:paraId="0EE5CE43" w14:textId="77777777" w:rsidR="00AD0FCA" w:rsidRPr="00045C39" w:rsidRDefault="00AD0FCA" w:rsidP="00AD0FCA">
      <w:pPr>
        <w:rPr>
          <w:lang w:val="en-US"/>
        </w:rPr>
      </w:pPr>
    </w:p>
    <w:p w14:paraId="212698FD" w14:textId="77777777" w:rsidR="00AD0FCA" w:rsidRPr="00045C39" w:rsidRDefault="00AD0FCA" w:rsidP="00AD0FCA">
      <w:pPr>
        <w:pBdr>
          <w:top w:val="single" w:sz="4" w:space="1" w:color="auto"/>
          <w:left w:val="single" w:sz="4" w:space="4" w:color="auto"/>
          <w:bottom w:val="single" w:sz="4" w:space="1" w:color="auto"/>
          <w:right w:val="single" w:sz="4" w:space="4" w:color="auto"/>
        </w:pBdr>
        <w:spacing w:after="0" w:line="240" w:lineRule="auto"/>
        <w:jc w:val="both"/>
        <w:rPr>
          <w:b/>
          <w:sz w:val="28"/>
          <w:szCs w:val="28"/>
          <w:lang w:val="en-US"/>
        </w:rPr>
      </w:pPr>
      <w:r w:rsidRPr="00045C39">
        <w:rPr>
          <w:b/>
          <w:sz w:val="28"/>
          <w:szCs w:val="28"/>
          <w:lang w:val="en-US"/>
        </w:rPr>
        <w:t xml:space="preserve">Name of the person filling in the fiche: </w:t>
      </w:r>
    </w:p>
    <w:p w14:paraId="60C7E1AC" w14:textId="55CD8FFD" w:rsidR="00AD0FCA" w:rsidRPr="00A546F9" w:rsidRDefault="00AD0FCA" w:rsidP="00AD0FCA">
      <w:pPr>
        <w:pBdr>
          <w:top w:val="single" w:sz="4" w:space="1" w:color="auto"/>
          <w:left w:val="single" w:sz="4" w:space="4" w:color="auto"/>
          <w:bottom w:val="single" w:sz="4" w:space="1" w:color="auto"/>
          <w:right w:val="single" w:sz="4" w:space="4" w:color="auto"/>
        </w:pBdr>
        <w:spacing w:after="0" w:line="240" w:lineRule="auto"/>
        <w:jc w:val="both"/>
        <w:rPr>
          <w:b/>
          <w:sz w:val="28"/>
          <w:szCs w:val="28"/>
        </w:rPr>
      </w:pPr>
      <w:r w:rsidRPr="00A546F9">
        <w:rPr>
          <w:b/>
          <w:sz w:val="28"/>
          <w:szCs w:val="28"/>
        </w:rPr>
        <w:t xml:space="preserve">National Network / </w:t>
      </w:r>
      <w:proofErr w:type="spellStart"/>
      <w:r w:rsidRPr="00A546F9">
        <w:rPr>
          <w:b/>
          <w:sz w:val="28"/>
          <w:szCs w:val="28"/>
        </w:rPr>
        <w:t>European</w:t>
      </w:r>
      <w:proofErr w:type="spellEnd"/>
      <w:r w:rsidRPr="00A546F9">
        <w:rPr>
          <w:b/>
          <w:sz w:val="28"/>
          <w:szCs w:val="28"/>
        </w:rPr>
        <w:t xml:space="preserve"> Organi</w:t>
      </w:r>
      <w:r w:rsidR="002E323F">
        <w:rPr>
          <w:b/>
          <w:sz w:val="28"/>
          <w:szCs w:val="28"/>
        </w:rPr>
        <w:t>s</w:t>
      </w:r>
      <w:r w:rsidRPr="00A546F9">
        <w:rPr>
          <w:b/>
          <w:sz w:val="28"/>
          <w:szCs w:val="28"/>
        </w:rPr>
        <w:t>ation:</w:t>
      </w:r>
    </w:p>
    <w:p w14:paraId="6F29736D" w14:textId="77777777" w:rsidR="00AD0FCA" w:rsidRDefault="00AD0FCA" w:rsidP="00AD0FCA">
      <w:r>
        <w:t xml:space="preserve"> </w:t>
      </w:r>
    </w:p>
    <w:p w14:paraId="243E04AD" w14:textId="1ABBF018" w:rsidR="00AD0FCA" w:rsidRPr="00DE70ED" w:rsidRDefault="00DB3BC4" w:rsidP="00DE70ED">
      <w:pPr>
        <w:pStyle w:val="ListParagraph"/>
        <w:numPr>
          <w:ilvl w:val="0"/>
          <w:numId w:val="1"/>
        </w:numPr>
        <w:jc w:val="both"/>
        <w:rPr>
          <w:i/>
          <w:sz w:val="28"/>
          <w:szCs w:val="28"/>
          <w:lang w:val="en-US"/>
        </w:rPr>
      </w:pPr>
      <w:r>
        <w:rPr>
          <w:b/>
          <w:i/>
          <w:sz w:val="28"/>
          <w:szCs w:val="28"/>
          <w:lang w:val="en-US"/>
        </w:rPr>
        <w:t xml:space="preserve">What </w:t>
      </w:r>
      <w:r w:rsidR="0054635A">
        <w:rPr>
          <w:b/>
          <w:i/>
          <w:sz w:val="28"/>
          <w:szCs w:val="28"/>
          <w:lang w:val="en-US"/>
        </w:rPr>
        <w:t xml:space="preserve">are the main </w:t>
      </w:r>
      <w:r w:rsidR="00363CC3">
        <w:rPr>
          <w:b/>
          <w:i/>
          <w:sz w:val="28"/>
          <w:szCs w:val="28"/>
          <w:lang w:val="en-US"/>
        </w:rPr>
        <w:t>barriers</w:t>
      </w:r>
      <w:r w:rsidR="0054635A">
        <w:rPr>
          <w:b/>
          <w:i/>
          <w:sz w:val="28"/>
          <w:szCs w:val="28"/>
          <w:lang w:val="en-US"/>
        </w:rPr>
        <w:t xml:space="preserve"> facing</w:t>
      </w:r>
      <w:r>
        <w:rPr>
          <w:b/>
          <w:i/>
          <w:sz w:val="28"/>
          <w:szCs w:val="28"/>
          <w:lang w:val="en-US"/>
        </w:rPr>
        <w:t xml:space="preserve"> </w:t>
      </w:r>
      <w:r w:rsidR="00AD0FCA" w:rsidRPr="00045C39">
        <w:rPr>
          <w:b/>
          <w:i/>
          <w:sz w:val="28"/>
          <w:szCs w:val="28"/>
          <w:lang w:val="en-US"/>
        </w:rPr>
        <w:t>people experiencing poverty and social exclusion</w:t>
      </w:r>
      <w:r w:rsidR="000E3522">
        <w:rPr>
          <w:b/>
          <w:i/>
          <w:sz w:val="28"/>
          <w:szCs w:val="28"/>
          <w:lang w:val="en-US"/>
        </w:rPr>
        <w:t xml:space="preserve"> </w:t>
      </w:r>
      <w:r w:rsidR="00AD0FCA" w:rsidRPr="00045C39">
        <w:rPr>
          <w:b/>
          <w:i/>
          <w:sz w:val="28"/>
          <w:szCs w:val="28"/>
          <w:lang w:val="en-US"/>
        </w:rPr>
        <w:t>in getting</w:t>
      </w:r>
      <w:r w:rsidR="00E54285">
        <w:rPr>
          <w:b/>
          <w:i/>
          <w:sz w:val="28"/>
          <w:szCs w:val="28"/>
          <w:lang w:val="en-US"/>
        </w:rPr>
        <w:t xml:space="preserve"> </w:t>
      </w:r>
      <w:r w:rsidR="00AD0FCA" w:rsidRPr="00045C39">
        <w:rPr>
          <w:b/>
          <w:i/>
          <w:sz w:val="28"/>
          <w:szCs w:val="28"/>
          <w:lang w:val="en-US"/>
        </w:rPr>
        <w:t xml:space="preserve">access to </w:t>
      </w:r>
      <w:r w:rsidR="00363CC3">
        <w:rPr>
          <w:b/>
          <w:i/>
          <w:sz w:val="28"/>
          <w:szCs w:val="28"/>
          <w:lang w:val="en-US"/>
        </w:rPr>
        <w:t xml:space="preserve">essential services </w:t>
      </w:r>
      <w:r w:rsidR="005322F8" w:rsidRPr="00045C39">
        <w:rPr>
          <w:b/>
          <w:i/>
          <w:sz w:val="28"/>
          <w:szCs w:val="28"/>
          <w:lang w:val="en-US"/>
        </w:rPr>
        <w:t>in your country?</w:t>
      </w:r>
      <w:r w:rsidR="002647F4" w:rsidRPr="00045C39">
        <w:rPr>
          <w:b/>
          <w:i/>
          <w:sz w:val="28"/>
          <w:szCs w:val="28"/>
          <w:lang w:val="en-US"/>
        </w:rPr>
        <w:t xml:space="preserve"> </w:t>
      </w:r>
      <w:r w:rsidR="00363CC3">
        <w:rPr>
          <w:b/>
          <w:i/>
          <w:sz w:val="28"/>
          <w:szCs w:val="28"/>
          <w:lang w:val="en-US"/>
        </w:rPr>
        <w:t xml:space="preserve">What was the impact of COVID-19 on barriers and/or good practices? </w:t>
      </w:r>
      <w:r w:rsidR="00AD0FCA" w:rsidRPr="00045C39">
        <w:rPr>
          <w:i/>
          <w:sz w:val="28"/>
          <w:szCs w:val="28"/>
          <w:lang w:val="en-US"/>
        </w:rPr>
        <w:t>(</w:t>
      </w:r>
      <w:r w:rsidR="00363CC3">
        <w:rPr>
          <w:i/>
          <w:sz w:val="28"/>
          <w:szCs w:val="28"/>
          <w:lang w:val="en-US"/>
        </w:rPr>
        <w:t xml:space="preserve">Please take into account </w:t>
      </w:r>
      <w:r w:rsidR="009A64F3" w:rsidRPr="00045C39">
        <w:rPr>
          <w:i/>
          <w:sz w:val="28"/>
          <w:szCs w:val="28"/>
          <w:lang w:val="en-US"/>
        </w:rPr>
        <w:t>different aspects of accessibility</w:t>
      </w:r>
      <w:r w:rsidR="00DE70ED">
        <w:rPr>
          <w:i/>
          <w:sz w:val="28"/>
          <w:szCs w:val="28"/>
          <w:lang w:val="en-US"/>
        </w:rPr>
        <w:t xml:space="preserve"> for one/more of the identified services - </w:t>
      </w:r>
      <w:r w:rsidR="00DE70ED" w:rsidRPr="00DE70ED">
        <w:rPr>
          <w:i/>
          <w:sz w:val="28"/>
          <w:szCs w:val="28"/>
          <w:lang w:val="en-US"/>
        </w:rPr>
        <w:t>Social housing including energy efficiency initiatives</w:t>
      </w:r>
      <w:r w:rsidR="00DE70ED">
        <w:rPr>
          <w:i/>
          <w:sz w:val="28"/>
          <w:szCs w:val="28"/>
          <w:lang w:val="en-US"/>
        </w:rPr>
        <w:t>;</w:t>
      </w:r>
      <w:r w:rsidR="00DE70ED" w:rsidRPr="00DE70ED">
        <w:rPr>
          <w:i/>
          <w:sz w:val="28"/>
          <w:szCs w:val="28"/>
          <w:lang w:val="en-US"/>
        </w:rPr>
        <w:t xml:space="preserve"> Health and social care</w:t>
      </w:r>
      <w:r w:rsidR="008C450D">
        <w:rPr>
          <w:i/>
          <w:sz w:val="28"/>
          <w:szCs w:val="28"/>
          <w:lang w:val="en-US"/>
        </w:rPr>
        <w:t>;</w:t>
      </w:r>
      <w:r w:rsidR="00DE70ED">
        <w:rPr>
          <w:i/>
          <w:sz w:val="28"/>
          <w:szCs w:val="28"/>
          <w:lang w:val="en-US"/>
        </w:rPr>
        <w:t xml:space="preserve"> </w:t>
      </w:r>
      <w:r w:rsidR="00DE70ED" w:rsidRPr="00DE70ED">
        <w:rPr>
          <w:i/>
          <w:sz w:val="28"/>
          <w:szCs w:val="28"/>
          <w:lang w:val="en-US"/>
        </w:rPr>
        <w:t>Digital Communications</w:t>
      </w:r>
      <w:r w:rsidR="008C450D">
        <w:rPr>
          <w:i/>
          <w:sz w:val="28"/>
          <w:szCs w:val="28"/>
          <w:lang w:val="en-US"/>
        </w:rPr>
        <w:t xml:space="preserve">. E.g.: </w:t>
      </w:r>
      <w:r w:rsidR="00AD0FCA" w:rsidRPr="00DE70ED">
        <w:rPr>
          <w:i/>
          <w:sz w:val="28"/>
          <w:szCs w:val="28"/>
          <w:lang w:val="en-US"/>
        </w:rPr>
        <w:t xml:space="preserve">affordability, </w:t>
      </w:r>
      <w:r w:rsidR="009A64F3" w:rsidRPr="00DE70ED">
        <w:rPr>
          <w:i/>
          <w:sz w:val="28"/>
          <w:szCs w:val="28"/>
          <w:lang w:val="en-US"/>
        </w:rPr>
        <w:t xml:space="preserve">geographical </w:t>
      </w:r>
      <w:r w:rsidR="00AD0FCA" w:rsidRPr="00DE70ED">
        <w:rPr>
          <w:i/>
          <w:sz w:val="28"/>
          <w:szCs w:val="28"/>
          <w:lang w:val="en-US"/>
        </w:rPr>
        <w:t>coverage</w:t>
      </w:r>
      <w:r w:rsidR="00E54285" w:rsidRPr="00DE70ED">
        <w:rPr>
          <w:i/>
          <w:sz w:val="28"/>
          <w:szCs w:val="28"/>
          <w:lang w:val="en-US"/>
        </w:rPr>
        <w:t>,</w:t>
      </w:r>
      <w:r w:rsidR="00363CC3" w:rsidRPr="00DE70ED">
        <w:rPr>
          <w:i/>
          <w:sz w:val="28"/>
          <w:szCs w:val="28"/>
          <w:lang w:val="en-US"/>
        </w:rPr>
        <w:t xml:space="preserve"> discrimination, equal opportunities, quality of services</w:t>
      </w:r>
      <w:r w:rsidR="00E54285" w:rsidRPr="00DE70ED">
        <w:rPr>
          <w:i/>
          <w:sz w:val="28"/>
          <w:szCs w:val="28"/>
          <w:lang w:val="en-US"/>
        </w:rPr>
        <w:t>).</w:t>
      </w:r>
    </w:p>
    <w:p w14:paraId="3407EB8D" w14:textId="77777777" w:rsidR="00E54285" w:rsidRPr="00045C39" w:rsidRDefault="00E54285" w:rsidP="00E54285">
      <w:pPr>
        <w:pStyle w:val="ListParagraph"/>
        <w:ind w:left="360"/>
        <w:jc w:val="both"/>
        <w:rPr>
          <w:i/>
          <w:sz w:val="28"/>
          <w:szCs w:val="28"/>
          <w:lang w:val="en-US"/>
        </w:rPr>
      </w:pPr>
    </w:p>
    <w:p w14:paraId="7A461FDC" w14:textId="29B1574D" w:rsidR="002647F4" w:rsidRDefault="00C50DC7" w:rsidP="00AD0FCA">
      <w:pPr>
        <w:pStyle w:val="ListParagraph"/>
        <w:numPr>
          <w:ilvl w:val="1"/>
          <w:numId w:val="1"/>
        </w:numPr>
        <w:jc w:val="both"/>
        <w:rPr>
          <w:b/>
          <w:i/>
          <w:sz w:val="28"/>
          <w:szCs w:val="28"/>
        </w:rPr>
      </w:pPr>
      <w:r>
        <w:rPr>
          <w:b/>
          <w:i/>
          <w:sz w:val="28"/>
          <w:szCs w:val="28"/>
        </w:rPr>
        <w:t xml:space="preserve">Challenges </w:t>
      </w:r>
    </w:p>
    <w:p w14:paraId="6F4131E8" w14:textId="77777777" w:rsidR="002647F4" w:rsidRDefault="002647F4" w:rsidP="003E789B">
      <w:pPr>
        <w:pStyle w:val="ListParagraph"/>
        <w:pBdr>
          <w:top w:val="single" w:sz="4" w:space="1" w:color="auto"/>
          <w:left w:val="single" w:sz="4" w:space="4" w:color="auto"/>
          <w:bottom w:val="single" w:sz="4" w:space="0" w:color="auto"/>
          <w:right w:val="single" w:sz="4" w:space="4" w:color="auto"/>
        </w:pBdr>
        <w:ind w:left="708"/>
        <w:jc w:val="both"/>
        <w:rPr>
          <w:b/>
          <w:i/>
          <w:sz w:val="28"/>
          <w:szCs w:val="28"/>
        </w:rPr>
      </w:pPr>
    </w:p>
    <w:p w14:paraId="1B91725C" w14:textId="77777777" w:rsidR="0054635A" w:rsidRDefault="0054635A" w:rsidP="003E789B">
      <w:pPr>
        <w:pStyle w:val="ListParagraph"/>
        <w:pBdr>
          <w:top w:val="single" w:sz="4" w:space="1" w:color="auto"/>
          <w:left w:val="single" w:sz="4" w:space="4" w:color="auto"/>
          <w:bottom w:val="single" w:sz="4" w:space="0" w:color="auto"/>
          <w:right w:val="single" w:sz="4" w:space="4" w:color="auto"/>
        </w:pBdr>
        <w:ind w:left="708"/>
        <w:jc w:val="both"/>
        <w:rPr>
          <w:b/>
          <w:i/>
          <w:sz w:val="28"/>
          <w:szCs w:val="28"/>
        </w:rPr>
      </w:pPr>
    </w:p>
    <w:p w14:paraId="02AC203F" w14:textId="77777777" w:rsidR="00CA1457" w:rsidRDefault="00CA1457" w:rsidP="003E789B">
      <w:pPr>
        <w:pStyle w:val="ListParagraph"/>
        <w:pBdr>
          <w:top w:val="single" w:sz="4" w:space="1" w:color="auto"/>
          <w:left w:val="single" w:sz="4" w:space="4" w:color="auto"/>
          <w:bottom w:val="single" w:sz="4" w:space="0" w:color="auto"/>
          <w:right w:val="single" w:sz="4" w:space="4" w:color="auto"/>
        </w:pBdr>
        <w:ind w:left="708"/>
        <w:jc w:val="both"/>
        <w:rPr>
          <w:b/>
          <w:i/>
          <w:sz w:val="28"/>
          <w:szCs w:val="28"/>
        </w:rPr>
      </w:pPr>
    </w:p>
    <w:p w14:paraId="205DC916" w14:textId="77777777" w:rsidR="00CA1457" w:rsidRDefault="00CA1457" w:rsidP="003E789B">
      <w:pPr>
        <w:pStyle w:val="ListParagraph"/>
        <w:pBdr>
          <w:top w:val="single" w:sz="4" w:space="1" w:color="auto"/>
          <w:left w:val="single" w:sz="4" w:space="4" w:color="auto"/>
          <w:bottom w:val="single" w:sz="4" w:space="0" w:color="auto"/>
          <w:right w:val="single" w:sz="4" w:space="4" w:color="auto"/>
        </w:pBdr>
        <w:ind w:left="708"/>
        <w:jc w:val="both"/>
        <w:rPr>
          <w:b/>
          <w:i/>
          <w:sz w:val="28"/>
          <w:szCs w:val="28"/>
        </w:rPr>
      </w:pPr>
    </w:p>
    <w:p w14:paraId="35DD03D2" w14:textId="77777777" w:rsidR="0054635A" w:rsidRDefault="0054635A" w:rsidP="003E789B">
      <w:pPr>
        <w:pStyle w:val="ListParagraph"/>
        <w:pBdr>
          <w:top w:val="single" w:sz="4" w:space="1" w:color="auto"/>
          <w:left w:val="single" w:sz="4" w:space="4" w:color="auto"/>
          <w:bottom w:val="single" w:sz="4" w:space="0" w:color="auto"/>
          <w:right w:val="single" w:sz="4" w:space="4" w:color="auto"/>
        </w:pBdr>
        <w:ind w:left="708"/>
        <w:jc w:val="both"/>
        <w:rPr>
          <w:b/>
          <w:i/>
          <w:sz w:val="28"/>
          <w:szCs w:val="28"/>
        </w:rPr>
      </w:pPr>
    </w:p>
    <w:p w14:paraId="7AE8654E" w14:textId="77777777" w:rsidR="0054635A" w:rsidRDefault="0054635A" w:rsidP="003E789B">
      <w:pPr>
        <w:pStyle w:val="ListParagraph"/>
        <w:pBdr>
          <w:top w:val="single" w:sz="4" w:space="1" w:color="auto"/>
          <w:left w:val="single" w:sz="4" w:space="4" w:color="auto"/>
          <w:bottom w:val="single" w:sz="4" w:space="0" w:color="auto"/>
          <w:right w:val="single" w:sz="4" w:space="4" w:color="auto"/>
        </w:pBdr>
        <w:ind w:left="708"/>
        <w:jc w:val="both"/>
        <w:rPr>
          <w:b/>
          <w:i/>
          <w:sz w:val="28"/>
          <w:szCs w:val="28"/>
        </w:rPr>
      </w:pPr>
    </w:p>
    <w:p w14:paraId="6F238901" w14:textId="77777777" w:rsidR="00CA1457" w:rsidRDefault="00CA1457" w:rsidP="00CA1457">
      <w:pPr>
        <w:pStyle w:val="ListParagraph"/>
        <w:ind w:left="1080"/>
        <w:jc w:val="both"/>
        <w:rPr>
          <w:b/>
          <w:i/>
          <w:sz w:val="28"/>
          <w:szCs w:val="28"/>
        </w:rPr>
      </w:pPr>
    </w:p>
    <w:p w14:paraId="19BDB886" w14:textId="2E3A4944" w:rsidR="002647F4" w:rsidRDefault="00DE70ED" w:rsidP="00AD0FCA">
      <w:pPr>
        <w:pStyle w:val="ListParagraph"/>
        <w:numPr>
          <w:ilvl w:val="1"/>
          <w:numId w:val="1"/>
        </w:numPr>
        <w:jc w:val="both"/>
        <w:rPr>
          <w:b/>
          <w:i/>
          <w:sz w:val="28"/>
          <w:szCs w:val="28"/>
        </w:rPr>
      </w:pPr>
      <w:r>
        <w:rPr>
          <w:b/>
          <w:i/>
          <w:sz w:val="28"/>
          <w:szCs w:val="28"/>
        </w:rPr>
        <w:t xml:space="preserve">Good practices </w:t>
      </w:r>
    </w:p>
    <w:p w14:paraId="1E5CBA28" w14:textId="77777777" w:rsidR="002647F4" w:rsidRDefault="002647F4" w:rsidP="002647F4">
      <w:pPr>
        <w:pStyle w:val="ListParagraph"/>
        <w:pBdr>
          <w:top w:val="single" w:sz="4" w:space="1" w:color="auto"/>
          <w:left w:val="single" w:sz="4" w:space="4" w:color="auto"/>
          <w:bottom w:val="single" w:sz="4" w:space="1" w:color="auto"/>
          <w:right w:val="single" w:sz="4" w:space="4" w:color="auto"/>
        </w:pBdr>
        <w:jc w:val="both"/>
        <w:rPr>
          <w:b/>
          <w:i/>
          <w:sz w:val="28"/>
          <w:szCs w:val="28"/>
        </w:rPr>
      </w:pPr>
    </w:p>
    <w:p w14:paraId="0C7BF236" w14:textId="77777777" w:rsidR="0054635A" w:rsidRDefault="0054635A" w:rsidP="002647F4">
      <w:pPr>
        <w:pStyle w:val="ListParagraph"/>
        <w:pBdr>
          <w:top w:val="single" w:sz="4" w:space="1" w:color="auto"/>
          <w:left w:val="single" w:sz="4" w:space="4" w:color="auto"/>
          <w:bottom w:val="single" w:sz="4" w:space="1" w:color="auto"/>
          <w:right w:val="single" w:sz="4" w:space="4" w:color="auto"/>
        </w:pBdr>
        <w:jc w:val="both"/>
        <w:rPr>
          <w:b/>
          <w:i/>
          <w:sz w:val="28"/>
          <w:szCs w:val="28"/>
        </w:rPr>
      </w:pPr>
    </w:p>
    <w:p w14:paraId="0A07BACB" w14:textId="77777777" w:rsidR="0054635A" w:rsidRDefault="0054635A" w:rsidP="002647F4">
      <w:pPr>
        <w:pStyle w:val="ListParagraph"/>
        <w:pBdr>
          <w:top w:val="single" w:sz="4" w:space="1" w:color="auto"/>
          <w:left w:val="single" w:sz="4" w:space="4" w:color="auto"/>
          <w:bottom w:val="single" w:sz="4" w:space="1" w:color="auto"/>
          <w:right w:val="single" w:sz="4" w:space="4" w:color="auto"/>
        </w:pBdr>
        <w:jc w:val="both"/>
        <w:rPr>
          <w:b/>
          <w:i/>
          <w:sz w:val="28"/>
          <w:szCs w:val="28"/>
        </w:rPr>
      </w:pPr>
    </w:p>
    <w:p w14:paraId="6595A18F" w14:textId="77777777" w:rsidR="0054635A" w:rsidRDefault="0054635A" w:rsidP="002647F4">
      <w:pPr>
        <w:pStyle w:val="ListParagraph"/>
        <w:pBdr>
          <w:top w:val="single" w:sz="4" w:space="1" w:color="auto"/>
          <w:left w:val="single" w:sz="4" w:space="4" w:color="auto"/>
          <w:bottom w:val="single" w:sz="4" w:space="1" w:color="auto"/>
          <w:right w:val="single" w:sz="4" w:space="4" w:color="auto"/>
        </w:pBdr>
        <w:jc w:val="both"/>
        <w:rPr>
          <w:b/>
          <w:i/>
          <w:sz w:val="28"/>
          <w:szCs w:val="28"/>
        </w:rPr>
      </w:pPr>
    </w:p>
    <w:p w14:paraId="3863E469" w14:textId="77777777" w:rsidR="0054635A" w:rsidRDefault="0054635A" w:rsidP="002647F4">
      <w:pPr>
        <w:pStyle w:val="ListParagraph"/>
        <w:pBdr>
          <w:top w:val="single" w:sz="4" w:space="1" w:color="auto"/>
          <w:left w:val="single" w:sz="4" w:space="4" w:color="auto"/>
          <w:bottom w:val="single" w:sz="4" w:space="1" w:color="auto"/>
          <w:right w:val="single" w:sz="4" w:space="4" w:color="auto"/>
        </w:pBdr>
        <w:jc w:val="both"/>
        <w:rPr>
          <w:b/>
          <w:i/>
          <w:sz w:val="28"/>
          <w:szCs w:val="28"/>
        </w:rPr>
      </w:pPr>
    </w:p>
    <w:p w14:paraId="6B3E547A" w14:textId="77777777" w:rsidR="0054635A" w:rsidRDefault="0054635A" w:rsidP="002647F4">
      <w:pPr>
        <w:pStyle w:val="ListParagraph"/>
        <w:pBdr>
          <w:top w:val="single" w:sz="4" w:space="1" w:color="auto"/>
          <w:left w:val="single" w:sz="4" w:space="4" w:color="auto"/>
          <w:bottom w:val="single" w:sz="4" w:space="1" w:color="auto"/>
          <w:right w:val="single" w:sz="4" w:space="4" w:color="auto"/>
        </w:pBdr>
        <w:jc w:val="both"/>
        <w:rPr>
          <w:b/>
          <w:i/>
          <w:sz w:val="28"/>
          <w:szCs w:val="28"/>
        </w:rPr>
      </w:pPr>
    </w:p>
    <w:p w14:paraId="513BBF56" w14:textId="77777777" w:rsidR="0054635A" w:rsidRDefault="0054635A" w:rsidP="002647F4">
      <w:pPr>
        <w:pStyle w:val="ListParagraph"/>
        <w:pBdr>
          <w:top w:val="single" w:sz="4" w:space="1" w:color="auto"/>
          <w:left w:val="single" w:sz="4" w:space="4" w:color="auto"/>
          <w:bottom w:val="single" w:sz="4" w:space="1" w:color="auto"/>
          <w:right w:val="single" w:sz="4" w:space="4" w:color="auto"/>
        </w:pBdr>
        <w:jc w:val="both"/>
        <w:rPr>
          <w:b/>
          <w:i/>
          <w:sz w:val="28"/>
          <w:szCs w:val="28"/>
        </w:rPr>
      </w:pPr>
    </w:p>
    <w:p w14:paraId="771015CD" w14:textId="3E0048EF" w:rsidR="009A64F3" w:rsidRDefault="009A64F3" w:rsidP="00821631">
      <w:pPr>
        <w:pStyle w:val="ListParagraph"/>
        <w:ind w:left="360"/>
        <w:jc w:val="both"/>
        <w:rPr>
          <w:b/>
          <w:i/>
          <w:sz w:val="28"/>
          <w:szCs w:val="28"/>
        </w:rPr>
      </w:pPr>
    </w:p>
    <w:p w14:paraId="0A21765B" w14:textId="77777777" w:rsidR="00A923AB" w:rsidRDefault="00A923AB" w:rsidP="00821631">
      <w:pPr>
        <w:pStyle w:val="ListParagraph"/>
        <w:ind w:left="360"/>
        <w:jc w:val="both"/>
        <w:rPr>
          <w:b/>
          <w:i/>
          <w:sz w:val="28"/>
          <w:szCs w:val="28"/>
        </w:rPr>
      </w:pPr>
    </w:p>
    <w:p w14:paraId="27066A3C" w14:textId="656959F4" w:rsidR="00D61D24" w:rsidRDefault="00AD0FCA" w:rsidP="00821631">
      <w:pPr>
        <w:pStyle w:val="ListParagraph"/>
        <w:numPr>
          <w:ilvl w:val="0"/>
          <w:numId w:val="1"/>
        </w:numPr>
        <w:jc w:val="both"/>
        <w:rPr>
          <w:b/>
          <w:i/>
          <w:sz w:val="28"/>
          <w:szCs w:val="28"/>
          <w:lang w:val="en-US"/>
        </w:rPr>
      </w:pPr>
      <w:r w:rsidRPr="00D61D24">
        <w:rPr>
          <w:b/>
          <w:i/>
          <w:sz w:val="28"/>
          <w:szCs w:val="28"/>
          <w:lang w:val="en-US"/>
        </w:rPr>
        <w:t>What</w:t>
      </w:r>
      <w:r w:rsidR="00D61D24">
        <w:rPr>
          <w:b/>
          <w:i/>
          <w:sz w:val="28"/>
          <w:szCs w:val="28"/>
          <w:lang w:val="en-US"/>
        </w:rPr>
        <w:t xml:space="preserve"> </w:t>
      </w:r>
      <w:r w:rsidR="00CF765B">
        <w:rPr>
          <w:b/>
          <w:i/>
          <w:sz w:val="28"/>
          <w:szCs w:val="28"/>
          <w:lang w:val="en-US"/>
        </w:rPr>
        <w:t xml:space="preserve">is the </w:t>
      </w:r>
      <w:r w:rsidR="00D61D24" w:rsidRPr="00D61D24">
        <w:rPr>
          <w:b/>
          <w:i/>
          <w:sz w:val="28"/>
          <w:szCs w:val="28"/>
          <w:lang w:val="en-US"/>
        </w:rPr>
        <w:t>space for the social dimension</w:t>
      </w:r>
      <w:r w:rsidR="00D61D24">
        <w:rPr>
          <w:b/>
          <w:i/>
          <w:sz w:val="28"/>
          <w:szCs w:val="28"/>
          <w:lang w:val="en-US"/>
        </w:rPr>
        <w:t xml:space="preserve"> </w:t>
      </w:r>
      <w:r w:rsidR="00D61D24" w:rsidRPr="00D61D24">
        <w:rPr>
          <w:b/>
          <w:i/>
          <w:sz w:val="28"/>
          <w:szCs w:val="28"/>
          <w:lang w:val="en-US"/>
        </w:rPr>
        <w:t xml:space="preserve">in </w:t>
      </w:r>
      <w:r w:rsidR="00CF765B">
        <w:rPr>
          <w:b/>
          <w:i/>
          <w:sz w:val="28"/>
          <w:szCs w:val="28"/>
          <w:lang w:val="en-US"/>
        </w:rPr>
        <w:t xml:space="preserve">RRPs </w:t>
      </w:r>
      <w:r w:rsidR="00D61D24" w:rsidRPr="00D61D24">
        <w:rPr>
          <w:b/>
          <w:i/>
          <w:sz w:val="28"/>
          <w:szCs w:val="28"/>
          <w:lang w:val="en-US"/>
        </w:rPr>
        <w:t>and green and digital transitions</w:t>
      </w:r>
      <w:r w:rsidR="00CF765B">
        <w:rPr>
          <w:b/>
          <w:i/>
          <w:sz w:val="28"/>
          <w:szCs w:val="28"/>
          <w:lang w:val="en-US"/>
        </w:rPr>
        <w:t>,</w:t>
      </w:r>
      <w:r w:rsidR="00D61D24">
        <w:rPr>
          <w:b/>
          <w:i/>
          <w:sz w:val="28"/>
          <w:szCs w:val="28"/>
          <w:lang w:val="en-US"/>
        </w:rPr>
        <w:t xml:space="preserve"> in the national policies in your countries? Any recommendation </w:t>
      </w:r>
      <w:r w:rsidR="00D61D24">
        <w:rPr>
          <w:b/>
          <w:i/>
          <w:sz w:val="28"/>
          <w:szCs w:val="28"/>
          <w:lang w:val="en-US"/>
        </w:rPr>
        <w:lastRenderedPageBreak/>
        <w:t xml:space="preserve">to improve </w:t>
      </w:r>
      <w:r w:rsidR="00D61D24" w:rsidRPr="00D61D24">
        <w:rPr>
          <w:b/>
          <w:i/>
          <w:sz w:val="28"/>
          <w:szCs w:val="28"/>
          <w:lang w:val="en-US"/>
        </w:rPr>
        <w:t xml:space="preserve">equal access to affordable and quality </w:t>
      </w:r>
      <w:r w:rsidR="00D61D24">
        <w:rPr>
          <w:b/>
          <w:i/>
          <w:sz w:val="28"/>
          <w:szCs w:val="28"/>
          <w:lang w:val="en-US"/>
        </w:rPr>
        <w:t>essential services</w:t>
      </w:r>
      <w:r w:rsidR="00C32B58">
        <w:rPr>
          <w:b/>
          <w:i/>
          <w:sz w:val="28"/>
          <w:szCs w:val="28"/>
          <w:lang w:val="en-US"/>
        </w:rPr>
        <w:t xml:space="preserve"> through a socially-just </w:t>
      </w:r>
      <w:r w:rsidR="00C32B58" w:rsidRPr="00C32B58">
        <w:rPr>
          <w:b/>
          <w:i/>
          <w:sz w:val="28"/>
          <w:szCs w:val="28"/>
          <w:lang w:val="en-US"/>
        </w:rPr>
        <w:t>recovery, green and digital transition</w:t>
      </w:r>
      <w:r w:rsidR="00D61D24">
        <w:rPr>
          <w:b/>
          <w:i/>
          <w:sz w:val="28"/>
          <w:szCs w:val="28"/>
          <w:lang w:val="en-US"/>
        </w:rPr>
        <w:t>?</w:t>
      </w:r>
    </w:p>
    <w:p w14:paraId="0DAABF29" w14:textId="77777777" w:rsidR="00C32B58" w:rsidRDefault="00C32B58" w:rsidP="00C32B58">
      <w:pPr>
        <w:pStyle w:val="ListParagraph"/>
        <w:ind w:left="1080"/>
        <w:jc w:val="both"/>
        <w:rPr>
          <w:b/>
          <w:i/>
          <w:sz w:val="28"/>
          <w:szCs w:val="28"/>
          <w:lang w:val="en-US"/>
        </w:rPr>
      </w:pPr>
    </w:p>
    <w:p w14:paraId="647441AA" w14:textId="12B39012" w:rsidR="00A90969" w:rsidRPr="00C32B58" w:rsidRDefault="00C32B58" w:rsidP="00C32B58">
      <w:pPr>
        <w:pStyle w:val="ListParagraph"/>
        <w:numPr>
          <w:ilvl w:val="1"/>
          <w:numId w:val="1"/>
        </w:numPr>
        <w:jc w:val="both"/>
        <w:rPr>
          <w:b/>
          <w:i/>
          <w:sz w:val="28"/>
          <w:szCs w:val="28"/>
          <w:lang w:val="en-US"/>
        </w:rPr>
      </w:pPr>
      <w:r w:rsidRPr="00C32B58">
        <w:rPr>
          <w:b/>
          <w:i/>
          <w:sz w:val="28"/>
          <w:szCs w:val="28"/>
          <w:lang w:val="en-US"/>
        </w:rPr>
        <w:t>National Policy Initiatives:</w:t>
      </w:r>
    </w:p>
    <w:p w14:paraId="4187DB6B" w14:textId="77777777" w:rsidR="00010F86" w:rsidRDefault="00010F86"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2F731BF2" w14:textId="77777777" w:rsidR="000E3522" w:rsidRDefault="000E3522"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13F96C05" w14:textId="77777777" w:rsidR="00010F86" w:rsidRPr="00045C39" w:rsidRDefault="00010F86"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0D4EBB8F" w14:textId="1294C05B" w:rsidR="002647F4" w:rsidRDefault="002647F4" w:rsidP="00010F86">
      <w:pPr>
        <w:pStyle w:val="ListParagraph"/>
        <w:ind w:left="360"/>
        <w:jc w:val="both"/>
        <w:rPr>
          <w:b/>
          <w:i/>
          <w:sz w:val="28"/>
          <w:szCs w:val="28"/>
          <w:lang w:val="en-US"/>
        </w:rPr>
      </w:pPr>
    </w:p>
    <w:p w14:paraId="1B7275D3" w14:textId="5FFDD1D9" w:rsidR="00C32B58" w:rsidRPr="00C32B58" w:rsidRDefault="00C32B58" w:rsidP="00C32B58">
      <w:pPr>
        <w:pStyle w:val="ListParagraph"/>
        <w:numPr>
          <w:ilvl w:val="1"/>
          <w:numId w:val="1"/>
        </w:numPr>
        <w:jc w:val="both"/>
        <w:rPr>
          <w:b/>
          <w:i/>
          <w:sz w:val="28"/>
          <w:szCs w:val="28"/>
          <w:lang w:val="en-US"/>
        </w:rPr>
      </w:pPr>
      <w:r>
        <w:rPr>
          <w:b/>
          <w:i/>
          <w:sz w:val="28"/>
          <w:szCs w:val="28"/>
          <w:lang w:val="en-US"/>
        </w:rPr>
        <w:t>Recommendations</w:t>
      </w:r>
      <w:r w:rsidRPr="00C32B58">
        <w:rPr>
          <w:b/>
          <w:i/>
          <w:sz w:val="28"/>
          <w:szCs w:val="28"/>
          <w:lang w:val="en-US"/>
        </w:rPr>
        <w:t>:</w:t>
      </w:r>
    </w:p>
    <w:p w14:paraId="111ED3F5" w14:textId="77777777" w:rsidR="00C32B58" w:rsidRDefault="00C32B58" w:rsidP="00C32B58">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66B6093C" w14:textId="4280A4CC" w:rsidR="00C32B58" w:rsidRDefault="00C32B58" w:rsidP="00C32B58">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5C3F0950" w14:textId="77777777" w:rsidR="003E789B" w:rsidRDefault="003E789B" w:rsidP="00C32B58">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7E9EADF3" w14:textId="77777777" w:rsidR="00C32B58" w:rsidRPr="001A5CBF" w:rsidRDefault="00C32B58" w:rsidP="001A5CBF">
      <w:pPr>
        <w:jc w:val="both"/>
        <w:rPr>
          <w:b/>
          <w:i/>
          <w:sz w:val="28"/>
          <w:szCs w:val="28"/>
          <w:lang w:val="en-US"/>
        </w:rPr>
      </w:pPr>
    </w:p>
    <w:p w14:paraId="207E27BB" w14:textId="79552EC8" w:rsidR="00AD0FCA" w:rsidRDefault="00AD0FCA" w:rsidP="00AD0FCA">
      <w:pPr>
        <w:pStyle w:val="ListParagraph"/>
        <w:numPr>
          <w:ilvl w:val="0"/>
          <w:numId w:val="1"/>
        </w:numPr>
        <w:jc w:val="both"/>
        <w:rPr>
          <w:b/>
          <w:i/>
          <w:sz w:val="28"/>
          <w:szCs w:val="28"/>
          <w:lang w:val="en-US"/>
        </w:rPr>
      </w:pPr>
      <w:r w:rsidRPr="00045C39">
        <w:rPr>
          <w:b/>
          <w:i/>
          <w:sz w:val="28"/>
          <w:szCs w:val="28"/>
          <w:lang w:val="en-US"/>
        </w:rPr>
        <w:t>How do changes in accessibility</w:t>
      </w:r>
      <w:r w:rsidR="00E54285">
        <w:rPr>
          <w:b/>
          <w:i/>
          <w:sz w:val="28"/>
          <w:szCs w:val="28"/>
          <w:lang w:val="en-US"/>
        </w:rPr>
        <w:t xml:space="preserve"> and exclusion from</w:t>
      </w:r>
      <w:r w:rsidR="00DB3BC4">
        <w:rPr>
          <w:b/>
          <w:i/>
          <w:sz w:val="28"/>
          <w:szCs w:val="28"/>
          <w:lang w:val="en-US"/>
        </w:rPr>
        <w:t xml:space="preserve"> </w:t>
      </w:r>
      <w:r w:rsidR="00B7303E">
        <w:rPr>
          <w:b/>
          <w:i/>
          <w:sz w:val="28"/>
          <w:szCs w:val="28"/>
          <w:lang w:val="en-US"/>
        </w:rPr>
        <w:t xml:space="preserve">essential services </w:t>
      </w:r>
      <w:r w:rsidRPr="00045C39">
        <w:rPr>
          <w:b/>
          <w:i/>
          <w:sz w:val="28"/>
          <w:szCs w:val="28"/>
          <w:lang w:val="en-US"/>
        </w:rPr>
        <w:t>affect the situation of poverty and social exclusion in your country?</w:t>
      </w:r>
    </w:p>
    <w:p w14:paraId="53F09E00" w14:textId="77777777" w:rsidR="003E789B" w:rsidRPr="00045C39" w:rsidRDefault="003E789B" w:rsidP="003E789B">
      <w:pPr>
        <w:pStyle w:val="ListParagraph"/>
        <w:ind w:left="360"/>
        <w:jc w:val="both"/>
        <w:rPr>
          <w:b/>
          <w:i/>
          <w:sz w:val="28"/>
          <w:szCs w:val="28"/>
          <w:lang w:val="en-US"/>
        </w:rPr>
      </w:pPr>
    </w:p>
    <w:p w14:paraId="2FD6552E" w14:textId="77777777" w:rsidR="00010F86" w:rsidRDefault="00010F86"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4C8E9F40" w14:textId="77777777" w:rsidR="00010F86" w:rsidRDefault="00010F86"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1680366A" w14:textId="77777777" w:rsidR="00010F86" w:rsidRDefault="00010F86"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6E03E854" w14:textId="77777777" w:rsidR="000E3522" w:rsidRPr="00045C39" w:rsidRDefault="000E3522"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1B7885F0" w14:textId="77777777" w:rsidR="000E3522" w:rsidRPr="00B7303E" w:rsidRDefault="000E3522" w:rsidP="00B7303E">
      <w:pPr>
        <w:jc w:val="both"/>
        <w:rPr>
          <w:b/>
          <w:i/>
          <w:sz w:val="28"/>
          <w:szCs w:val="28"/>
          <w:lang w:val="en-US"/>
        </w:rPr>
      </w:pPr>
    </w:p>
    <w:p w14:paraId="69613671" w14:textId="54A21615" w:rsidR="00AD0FCA" w:rsidRPr="00B7303E" w:rsidRDefault="00B7303E" w:rsidP="00AD0FCA">
      <w:pPr>
        <w:pStyle w:val="ListParagraph"/>
        <w:numPr>
          <w:ilvl w:val="0"/>
          <w:numId w:val="1"/>
        </w:numPr>
        <w:jc w:val="both"/>
        <w:rPr>
          <w:bCs/>
          <w:i/>
          <w:sz w:val="28"/>
          <w:szCs w:val="28"/>
          <w:lang w:val="en-US"/>
        </w:rPr>
      </w:pPr>
      <w:r>
        <w:rPr>
          <w:b/>
          <w:i/>
          <w:sz w:val="28"/>
          <w:szCs w:val="28"/>
          <w:lang w:val="en-US"/>
        </w:rPr>
        <w:t>T</w:t>
      </w:r>
      <w:r w:rsidRPr="00B7303E">
        <w:rPr>
          <w:b/>
          <w:i/>
          <w:sz w:val="28"/>
          <w:szCs w:val="28"/>
          <w:lang w:val="en-US"/>
        </w:rPr>
        <w:t>o what extent</w:t>
      </w:r>
      <w:r>
        <w:rPr>
          <w:b/>
          <w:i/>
          <w:sz w:val="28"/>
          <w:szCs w:val="28"/>
          <w:lang w:val="en-US"/>
        </w:rPr>
        <w:t xml:space="preserve"> digital divide restrict access to health and social care services and education</w:t>
      </w:r>
      <w:r w:rsidR="00CF765B">
        <w:rPr>
          <w:b/>
          <w:i/>
          <w:sz w:val="28"/>
          <w:szCs w:val="28"/>
          <w:lang w:val="en-US"/>
        </w:rPr>
        <w:t xml:space="preserve"> in your country/community</w:t>
      </w:r>
      <w:r>
        <w:rPr>
          <w:b/>
          <w:i/>
          <w:sz w:val="28"/>
          <w:szCs w:val="28"/>
          <w:lang w:val="en-US"/>
        </w:rPr>
        <w:t>? How could digitalization be used to reduce discrimination in access to these</w:t>
      </w:r>
      <w:r w:rsidR="00821631">
        <w:rPr>
          <w:b/>
          <w:i/>
          <w:sz w:val="28"/>
          <w:szCs w:val="28"/>
          <w:lang w:val="en-US"/>
        </w:rPr>
        <w:t>/other essential</w:t>
      </w:r>
      <w:r>
        <w:rPr>
          <w:b/>
          <w:i/>
          <w:sz w:val="28"/>
          <w:szCs w:val="28"/>
          <w:lang w:val="en-US"/>
        </w:rPr>
        <w:t xml:space="preserve"> services and social exclusion? </w:t>
      </w:r>
      <w:r w:rsidRPr="00B7303E">
        <w:rPr>
          <w:bCs/>
          <w:i/>
          <w:sz w:val="28"/>
          <w:szCs w:val="28"/>
          <w:lang w:val="en-US"/>
        </w:rPr>
        <w:t>(Please take into account challenges of specific vulnerable communities)</w:t>
      </w:r>
    </w:p>
    <w:p w14:paraId="202BA28E" w14:textId="2DF22430" w:rsidR="00B7303E" w:rsidRDefault="00B7303E" w:rsidP="00B7303E">
      <w:pPr>
        <w:pStyle w:val="ListParagraph"/>
        <w:ind w:left="360"/>
        <w:jc w:val="both"/>
        <w:rPr>
          <w:b/>
          <w:i/>
          <w:sz w:val="28"/>
          <w:szCs w:val="28"/>
          <w:lang w:val="en-US"/>
        </w:rPr>
      </w:pPr>
    </w:p>
    <w:p w14:paraId="51727DD1" w14:textId="2FFD92B6" w:rsidR="002647F4" w:rsidRDefault="002647F4"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5B512C65" w14:textId="77777777" w:rsidR="00010F86" w:rsidRDefault="00010F86"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54211347" w14:textId="77777777" w:rsidR="00010F86" w:rsidRDefault="00010F86"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79B70746" w14:textId="77777777" w:rsidR="000E3522" w:rsidRDefault="000E3522"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13ED7CE9" w14:textId="77777777" w:rsidR="00010F86" w:rsidRPr="00010F86" w:rsidRDefault="00010F86"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3051A2ED" w14:textId="77777777" w:rsidR="002647F4" w:rsidRPr="00010F86" w:rsidRDefault="002647F4" w:rsidP="00010F86">
      <w:pPr>
        <w:pStyle w:val="ListParagraph"/>
        <w:ind w:left="360"/>
        <w:jc w:val="both"/>
        <w:rPr>
          <w:b/>
          <w:i/>
          <w:sz w:val="28"/>
          <w:szCs w:val="28"/>
          <w:lang w:val="en-US"/>
        </w:rPr>
      </w:pPr>
    </w:p>
    <w:p w14:paraId="332494CE" w14:textId="77777777" w:rsidR="00010F86" w:rsidRDefault="00010F86" w:rsidP="00010F86">
      <w:pPr>
        <w:pStyle w:val="ListParagraph"/>
        <w:ind w:left="360"/>
        <w:jc w:val="both"/>
        <w:rPr>
          <w:b/>
          <w:i/>
          <w:sz w:val="28"/>
          <w:szCs w:val="28"/>
          <w:lang w:val="en-US"/>
        </w:rPr>
      </w:pPr>
    </w:p>
    <w:p w14:paraId="3CEF3C1A" w14:textId="4AA58671" w:rsidR="00AD0FCA" w:rsidRDefault="000272CA" w:rsidP="00AD0FCA">
      <w:pPr>
        <w:pStyle w:val="ListParagraph"/>
        <w:numPr>
          <w:ilvl w:val="0"/>
          <w:numId w:val="1"/>
        </w:numPr>
        <w:jc w:val="both"/>
        <w:rPr>
          <w:b/>
          <w:i/>
          <w:sz w:val="28"/>
          <w:szCs w:val="28"/>
          <w:lang w:val="en-US"/>
        </w:rPr>
      </w:pPr>
      <w:r>
        <w:rPr>
          <w:b/>
          <w:i/>
          <w:sz w:val="28"/>
          <w:szCs w:val="28"/>
          <w:lang w:val="en-US"/>
        </w:rPr>
        <w:t xml:space="preserve">Could you mention any exceptional measures for housing and energy efficiency, adopted during the Covid pandemic, which you would like to </w:t>
      </w:r>
      <w:r w:rsidR="00E01D77">
        <w:rPr>
          <w:b/>
          <w:i/>
          <w:sz w:val="28"/>
          <w:szCs w:val="28"/>
          <w:lang w:val="en-US"/>
        </w:rPr>
        <w:t xml:space="preserve">be </w:t>
      </w:r>
      <w:r>
        <w:rPr>
          <w:b/>
          <w:i/>
          <w:sz w:val="28"/>
          <w:szCs w:val="28"/>
          <w:lang w:val="en-US"/>
        </w:rPr>
        <w:t>maintain</w:t>
      </w:r>
      <w:r w:rsidR="00E01D77">
        <w:rPr>
          <w:b/>
          <w:i/>
          <w:sz w:val="28"/>
          <w:szCs w:val="28"/>
          <w:lang w:val="en-US"/>
        </w:rPr>
        <w:t>ed</w:t>
      </w:r>
      <w:r>
        <w:rPr>
          <w:b/>
          <w:i/>
          <w:sz w:val="28"/>
          <w:szCs w:val="28"/>
          <w:lang w:val="en-US"/>
        </w:rPr>
        <w:t xml:space="preserve"> at the end of the health crisis? Why?</w:t>
      </w:r>
    </w:p>
    <w:p w14:paraId="2632AE1D" w14:textId="77777777" w:rsidR="00010F86" w:rsidRPr="00045C39" w:rsidRDefault="00010F86" w:rsidP="000E3522">
      <w:pPr>
        <w:pStyle w:val="ListParagraph"/>
        <w:ind w:left="360"/>
        <w:jc w:val="both"/>
        <w:rPr>
          <w:b/>
          <w:i/>
          <w:sz w:val="28"/>
          <w:szCs w:val="28"/>
          <w:lang w:val="en-US"/>
        </w:rPr>
      </w:pPr>
    </w:p>
    <w:p w14:paraId="61713882" w14:textId="77777777" w:rsidR="00010F86" w:rsidRDefault="00010F86"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58C4C47A" w14:textId="77777777" w:rsidR="000E3522" w:rsidRDefault="000E3522"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0FB2654C" w14:textId="77777777" w:rsidR="000E3522" w:rsidRDefault="000E3522"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4F91C4AB" w14:textId="77777777" w:rsidR="00010F86" w:rsidRDefault="00010F86" w:rsidP="00010F86">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56DA03C6" w14:textId="77777777" w:rsidR="002647F4" w:rsidRPr="000272CA" w:rsidRDefault="002647F4" w:rsidP="000272CA">
      <w:pPr>
        <w:jc w:val="both"/>
        <w:rPr>
          <w:b/>
          <w:i/>
          <w:sz w:val="28"/>
          <w:szCs w:val="28"/>
          <w:lang w:val="en-US"/>
        </w:rPr>
      </w:pPr>
    </w:p>
    <w:p w14:paraId="2E1C87F4" w14:textId="3EEABB10" w:rsidR="005322F8" w:rsidRPr="00416658" w:rsidRDefault="00416658" w:rsidP="005F70D6">
      <w:pPr>
        <w:pStyle w:val="ListParagraph"/>
        <w:numPr>
          <w:ilvl w:val="0"/>
          <w:numId w:val="1"/>
        </w:numPr>
        <w:jc w:val="both"/>
        <w:rPr>
          <w:b/>
          <w:i/>
          <w:sz w:val="28"/>
          <w:szCs w:val="28"/>
          <w:lang w:val="en-US"/>
        </w:rPr>
      </w:pPr>
      <w:r w:rsidRPr="00416658">
        <w:rPr>
          <w:b/>
          <w:i/>
          <w:sz w:val="28"/>
          <w:szCs w:val="28"/>
          <w:lang w:val="en-US"/>
        </w:rPr>
        <w:t>What is your members/community experience with funding programs and/or practical assistance to low-income or marginalized people on affordable energy efficiency in social housing? What could be improved at EU, national and local level?</w:t>
      </w:r>
    </w:p>
    <w:p w14:paraId="72B1219A" w14:textId="77777777" w:rsidR="00D41417" w:rsidRDefault="00D41417" w:rsidP="00D41417">
      <w:pPr>
        <w:pStyle w:val="ListParagraph"/>
        <w:ind w:left="360"/>
        <w:jc w:val="both"/>
        <w:rPr>
          <w:b/>
          <w:i/>
          <w:sz w:val="28"/>
          <w:szCs w:val="28"/>
          <w:lang w:val="en-US"/>
        </w:rPr>
      </w:pPr>
    </w:p>
    <w:p w14:paraId="10630490" w14:textId="4D9A08C4" w:rsidR="00D41417" w:rsidRDefault="00416658" w:rsidP="00416658">
      <w:pPr>
        <w:pStyle w:val="ListParagraph"/>
        <w:numPr>
          <w:ilvl w:val="1"/>
          <w:numId w:val="1"/>
        </w:numPr>
        <w:jc w:val="both"/>
        <w:rPr>
          <w:b/>
          <w:i/>
          <w:sz w:val="28"/>
          <w:szCs w:val="28"/>
          <w:lang w:val="en-US"/>
        </w:rPr>
      </w:pPr>
      <w:r>
        <w:rPr>
          <w:b/>
          <w:i/>
          <w:sz w:val="28"/>
          <w:szCs w:val="28"/>
          <w:lang w:val="en-US"/>
        </w:rPr>
        <w:t>Current experience</w:t>
      </w:r>
    </w:p>
    <w:p w14:paraId="39324416" w14:textId="77777777" w:rsidR="003E789B" w:rsidRDefault="003E789B" w:rsidP="003E789B">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586ACCF1" w14:textId="01DEBBA2" w:rsidR="003E789B" w:rsidRDefault="003E789B" w:rsidP="003E789B">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58D0FA1C" w14:textId="77777777" w:rsidR="0067010F" w:rsidRDefault="0067010F" w:rsidP="003E789B">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7102DD08" w14:textId="77777777" w:rsidR="0067010F" w:rsidRDefault="0067010F" w:rsidP="0067010F">
      <w:pPr>
        <w:pStyle w:val="ListParagraph"/>
        <w:ind w:left="1080"/>
        <w:jc w:val="both"/>
        <w:rPr>
          <w:b/>
          <w:i/>
          <w:sz w:val="28"/>
          <w:szCs w:val="28"/>
          <w:lang w:val="en-US"/>
        </w:rPr>
      </w:pPr>
    </w:p>
    <w:p w14:paraId="22533EDC" w14:textId="699AC19F" w:rsidR="00416658" w:rsidRPr="00010F86" w:rsidRDefault="00416658" w:rsidP="003E789B">
      <w:pPr>
        <w:pStyle w:val="ListParagraph"/>
        <w:numPr>
          <w:ilvl w:val="1"/>
          <w:numId w:val="1"/>
        </w:numPr>
        <w:jc w:val="both"/>
        <w:rPr>
          <w:b/>
          <w:i/>
          <w:sz w:val="28"/>
          <w:szCs w:val="28"/>
          <w:lang w:val="en-US"/>
        </w:rPr>
      </w:pPr>
      <w:r>
        <w:rPr>
          <w:b/>
          <w:i/>
          <w:sz w:val="28"/>
          <w:szCs w:val="28"/>
          <w:lang w:val="en-US"/>
        </w:rPr>
        <w:t>Recommendations</w:t>
      </w:r>
    </w:p>
    <w:p w14:paraId="6E9F4DA5" w14:textId="77777777" w:rsidR="00416658" w:rsidRDefault="00416658" w:rsidP="00416658">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bookmarkStart w:id="0" w:name="_Hlk75424736"/>
    </w:p>
    <w:p w14:paraId="707296F8" w14:textId="04ABEDD7" w:rsidR="00416658" w:rsidRDefault="00416658" w:rsidP="00416658">
      <w:pPr>
        <w:pStyle w:val="ListParagraph"/>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3857DEFB" w14:textId="77777777" w:rsidR="00416658" w:rsidRPr="003E789B" w:rsidRDefault="00416658" w:rsidP="00416658">
      <w:pPr>
        <w:pStyle w:val="ListParagraph"/>
        <w:pBdr>
          <w:top w:val="single" w:sz="4" w:space="1" w:color="auto"/>
          <w:left w:val="single" w:sz="4" w:space="4" w:color="auto"/>
          <w:bottom w:val="single" w:sz="4" w:space="1" w:color="auto"/>
          <w:right w:val="single" w:sz="4" w:space="4" w:color="auto"/>
        </w:pBdr>
        <w:ind w:left="360"/>
        <w:jc w:val="both"/>
        <w:rPr>
          <w:bCs/>
          <w:iCs/>
          <w:sz w:val="28"/>
          <w:szCs w:val="28"/>
          <w:lang w:val="en-US"/>
        </w:rPr>
      </w:pPr>
    </w:p>
    <w:p w14:paraId="120EA799" w14:textId="5219FC3D" w:rsidR="00D41417" w:rsidRDefault="00D41417" w:rsidP="00D41417">
      <w:pPr>
        <w:pStyle w:val="ListParagraph"/>
        <w:ind w:left="360"/>
        <w:jc w:val="both"/>
        <w:rPr>
          <w:b/>
          <w:i/>
          <w:sz w:val="28"/>
          <w:szCs w:val="28"/>
          <w:lang w:val="en-US"/>
        </w:rPr>
      </w:pPr>
    </w:p>
    <w:bookmarkEnd w:id="0"/>
    <w:p w14:paraId="49EE844E" w14:textId="77777777" w:rsidR="00AC57F3" w:rsidRDefault="00AC57F3" w:rsidP="00D41417">
      <w:pPr>
        <w:pStyle w:val="ListParagraph"/>
        <w:ind w:left="360"/>
        <w:jc w:val="both"/>
        <w:rPr>
          <w:b/>
          <w:i/>
          <w:sz w:val="28"/>
          <w:szCs w:val="28"/>
          <w:lang w:val="en-US"/>
        </w:rPr>
      </w:pPr>
    </w:p>
    <w:p w14:paraId="34F046B2" w14:textId="08B6B9C5" w:rsidR="00010F86" w:rsidRPr="0067010F" w:rsidRDefault="00010F86" w:rsidP="0067010F">
      <w:pPr>
        <w:pStyle w:val="ListParagraph"/>
        <w:numPr>
          <w:ilvl w:val="0"/>
          <w:numId w:val="1"/>
        </w:numPr>
        <w:jc w:val="both"/>
        <w:rPr>
          <w:b/>
          <w:i/>
          <w:sz w:val="28"/>
          <w:szCs w:val="28"/>
          <w:lang w:val="en-US"/>
        </w:rPr>
      </w:pPr>
      <w:r w:rsidRPr="003E2389">
        <w:rPr>
          <w:b/>
          <w:i/>
          <w:sz w:val="28"/>
          <w:szCs w:val="28"/>
          <w:lang w:val="en-US"/>
        </w:rPr>
        <w:t>What</w:t>
      </w:r>
      <w:r w:rsidR="003E2389" w:rsidRPr="003E2389">
        <w:rPr>
          <w:b/>
          <w:i/>
          <w:sz w:val="28"/>
          <w:szCs w:val="28"/>
          <w:lang w:val="en-US"/>
        </w:rPr>
        <w:t xml:space="preserve"> actions national NGOs and policy makers took/may take to </w:t>
      </w:r>
      <w:r w:rsidR="003E2389">
        <w:rPr>
          <w:b/>
          <w:i/>
          <w:sz w:val="28"/>
          <w:szCs w:val="28"/>
          <w:lang w:val="en-US"/>
        </w:rPr>
        <w:t xml:space="preserve">foster the </w:t>
      </w:r>
      <w:r w:rsidR="003E2389" w:rsidRPr="003E2389">
        <w:rPr>
          <w:b/>
          <w:i/>
          <w:sz w:val="28"/>
          <w:szCs w:val="28"/>
          <w:lang w:val="en-US"/>
        </w:rPr>
        <w:t>i</w:t>
      </w:r>
      <w:r w:rsidR="003E2389">
        <w:rPr>
          <w:b/>
          <w:i/>
          <w:sz w:val="28"/>
          <w:szCs w:val="28"/>
          <w:lang w:val="en-US"/>
        </w:rPr>
        <w:t xml:space="preserve">ntegration of </w:t>
      </w:r>
      <w:r w:rsidR="003E2389" w:rsidRPr="003E2389">
        <w:rPr>
          <w:b/>
          <w:i/>
          <w:sz w:val="28"/>
          <w:szCs w:val="28"/>
          <w:lang w:val="en-US"/>
        </w:rPr>
        <w:t xml:space="preserve">a social impact assessment into the Recovery Package, Green Deal and Digital </w:t>
      </w:r>
      <w:r w:rsidR="003E2389">
        <w:rPr>
          <w:b/>
          <w:i/>
          <w:sz w:val="28"/>
          <w:szCs w:val="28"/>
          <w:lang w:val="en-US"/>
        </w:rPr>
        <w:t xml:space="preserve">future </w:t>
      </w:r>
      <w:r w:rsidR="003E2389" w:rsidRPr="003E2389">
        <w:rPr>
          <w:b/>
          <w:i/>
          <w:sz w:val="28"/>
          <w:szCs w:val="28"/>
          <w:lang w:val="en-US"/>
        </w:rPr>
        <w:t>at EU level?</w:t>
      </w:r>
    </w:p>
    <w:p w14:paraId="00D4FCAD" w14:textId="01E0EA42" w:rsidR="00010F86" w:rsidRDefault="00010F86" w:rsidP="00010F86">
      <w:pPr>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05EE1C71" w14:textId="77777777" w:rsidR="00010F86" w:rsidRDefault="00010F86" w:rsidP="00010F86">
      <w:pPr>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6D500E2C" w14:textId="77777777" w:rsidR="000E3522" w:rsidRDefault="000E3522" w:rsidP="00010F86">
      <w:pPr>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1AC5D93F" w14:textId="77777777" w:rsidR="00010F86" w:rsidRDefault="00010F86" w:rsidP="00010F86">
      <w:pPr>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4195C548" w14:textId="77777777" w:rsidR="00010F86" w:rsidRPr="00AC57F3" w:rsidRDefault="00010F86" w:rsidP="000E3522">
      <w:pPr>
        <w:pStyle w:val="ListParagraph"/>
        <w:ind w:left="360"/>
        <w:jc w:val="both"/>
        <w:rPr>
          <w:b/>
          <w:sz w:val="24"/>
          <w:szCs w:val="24"/>
          <w:lang w:val="en-GB"/>
        </w:rPr>
      </w:pPr>
    </w:p>
    <w:p w14:paraId="5AE61628" w14:textId="5098A2D8" w:rsidR="00F33B2C" w:rsidRPr="001F58AD" w:rsidRDefault="00AD0FCA" w:rsidP="00010F86">
      <w:pPr>
        <w:pStyle w:val="ListParagraph"/>
        <w:numPr>
          <w:ilvl w:val="0"/>
          <w:numId w:val="1"/>
        </w:numPr>
        <w:jc w:val="both"/>
        <w:rPr>
          <w:b/>
          <w:sz w:val="24"/>
          <w:szCs w:val="24"/>
          <w:lang w:val="en-US"/>
        </w:rPr>
      </w:pPr>
      <w:r w:rsidRPr="001F58AD">
        <w:rPr>
          <w:b/>
          <w:i/>
          <w:sz w:val="28"/>
          <w:szCs w:val="28"/>
          <w:lang w:val="en-US"/>
        </w:rPr>
        <w:t>Wh</w:t>
      </w:r>
      <w:r w:rsidR="00F33B2C" w:rsidRPr="001F58AD">
        <w:rPr>
          <w:b/>
          <w:i/>
          <w:sz w:val="28"/>
          <w:szCs w:val="28"/>
          <w:lang w:val="en-US"/>
        </w:rPr>
        <w:t xml:space="preserve">ich groups of people face the biggest problems in accessing health care services? </w:t>
      </w:r>
      <w:r w:rsidR="00F33B2C" w:rsidRPr="001F58AD">
        <w:rPr>
          <w:bCs/>
          <w:i/>
          <w:sz w:val="28"/>
          <w:szCs w:val="28"/>
          <w:lang w:val="en-US"/>
        </w:rPr>
        <w:t>(please mention what problems, health care services and group of people)</w:t>
      </w:r>
    </w:p>
    <w:p w14:paraId="11177A12" w14:textId="3CA49F50" w:rsidR="00F33B2C" w:rsidRPr="001F58AD" w:rsidRDefault="00F33B2C" w:rsidP="00F33B2C">
      <w:pPr>
        <w:pStyle w:val="ListParagraph"/>
        <w:ind w:left="360"/>
        <w:jc w:val="both"/>
        <w:rPr>
          <w:b/>
          <w:i/>
          <w:sz w:val="28"/>
          <w:szCs w:val="28"/>
          <w:lang w:val="en-US"/>
        </w:rPr>
      </w:pPr>
      <w:r w:rsidRPr="001F58AD">
        <w:rPr>
          <w:b/>
          <w:i/>
          <w:sz w:val="28"/>
          <w:szCs w:val="28"/>
          <w:lang w:val="en-US"/>
        </w:rPr>
        <w:t xml:space="preserve">Can you highlight any good practices </w:t>
      </w:r>
      <w:r w:rsidR="001F58AD">
        <w:rPr>
          <w:b/>
          <w:i/>
          <w:sz w:val="28"/>
          <w:szCs w:val="28"/>
          <w:lang w:val="en-US"/>
        </w:rPr>
        <w:t xml:space="preserve">in your organization/community/country </w:t>
      </w:r>
      <w:r w:rsidRPr="001F58AD">
        <w:rPr>
          <w:b/>
          <w:i/>
          <w:sz w:val="28"/>
          <w:szCs w:val="28"/>
          <w:lang w:val="en-US"/>
        </w:rPr>
        <w:t xml:space="preserve">to reduce the impact of poverty/social exclusion on health outcomes </w:t>
      </w:r>
      <w:r w:rsidR="00CF765B">
        <w:rPr>
          <w:b/>
          <w:i/>
          <w:sz w:val="28"/>
          <w:szCs w:val="28"/>
          <w:lang w:val="en-US"/>
        </w:rPr>
        <w:t xml:space="preserve">and/or the impact of health </w:t>
      </w:r>
      <w:r w:rsidRPr="001F58AD">
        <w:rPr>
          <w:b/>
          <w:i/>
          <w:sz w:val="28"/>
          <w:szCs w:val="28"/>
          <w:lang w:val="en-US"/>
        </w:rPr>
        <w:t>inequalit</w:t>
      </w:r>
      <w:r w:rsidR="001F58AD">
        <w:rPr>
          <w:b/>
          <w:i/>
          <w:sz w:val="28"/>
          <w:szCs w:val="28"/>
          <w:lang w:val="en-US"/>
        </w:rPr>
        <w:t>ies</w:t>
      </w:r>
      <w:r w:rsidR="00CF765B">
        <w:rPr>
          <w:b/>
          <w:i/>
          <w:sz w:val="28"/>
          <w:szCs w:val="28"/>
          <w:lang w:val="en-US"/>
        </w:rPr>
        <w:t xml:space="preserve"> on people experiencing poverty</w:t>
      </w:r>
      <w:r w:rsidRPr="001F58AD">
        <w:rPr>
          <w:b/>
          <w:i/>
          <w:sz w:val="28"/>
          <w:szCs w:val="28"/>
          <w:lang w:val="en-US"/>
        </w:rPr>
        <w:t>?</w:t>
      </w:r>
    </w:p>
    <w:p w14:paraId="45DA3AFA" w14:textId="77777777" w:rsidR="00F33B2C" w:rsidRPr="00F33B2C" w:rsidRDefault="00F33B2C" w:rsidP="00F33B2C">
      <w:pPr>
        <w:pStyle w:val="ListParagraph"/>
        <w:ind w:left="360"/>
        <w:jc w:val="both"/>
        <w:rPr>
          <w:b/>
          <w:color w:val="FF0000"/>
          <w:sz w:val="24"/>
          <w:szCs w:val="24"/>
          <w:lang w:val="en-US"/>
        </w:rPr>
      </w:pPr>
    </w:p>
    <w:p w14:paraId="19863AAE" w14:textId="3B7CC46A" w:rsidR="00010F86" w:rsidRPr="00F33B2C" w:rsidRDefault="00F33B2C" w:rsidP="00F33B2C">
      <w:pPr>
        <w:pStyle w:val="ListParagraph"/>
        <w:numPr>
          <w:ilvl w:val="1"/>
          <w:numId w:val="1"/>
        </w:numPr>
        <w:jc w:val="both"/>
        <w:rPr>
          <w:b/>
          <w:sz w:val="28"/>
          <w:szCs w:val="28"/>
          <w:lang w:val="en-US"/>
        </w:rPr>
      </w:pPr>
      <w:r>
        <w:rPr>
          <w:b/>
          <w:sz w:val="28"/>
          <w:szCs w:val="28"/>
          <w:lang w:val="en-US"/>
        </w:rPr>
        <w:t xml:space="preserve">Challenges </w:t>
      </w:r>
    </w:p>
    <w:p w14:paraId="4D85F370" w14:textId="77777777" w:rsidR="00010F86" w:rsidRDefault="00010F86" w:rsidP="00010F86">
      <w:pPr>
        <w:pStyle w:val="ListParagraph"/>
        <w:pBdr>
          <w:top w:val="single" w:sz="4" w:space="1" w:color="auto"/>
          <w:left w:val="single" w:sz="4" w:space="4" w:color="auto"/>
          <w:bottom w:val="single" w:sz="4" w:space="1" w:color="auto"/>
          <w:right w:val="single" w:sz="4" w:space="4" w:color="auto"/>
        </w:pBdr>
        <w:ind w:left="360"/>
        <w:jc w:val="both"/>
        <w:rPr>
          <w:b/>
          <w:sz w:val="28"/>
          <w:szCs w:val="28"/>
        </w:rPr>
      </w:pPr>
    </w:p>
    <w:p w14:paraId="26D8DB71" w14:textId="77777777" w:rsidR="00010F86" w:rsidRDefault="00010F86" w:rsidP="00010F86">
      <w:pPr>
        <w:pStyle w:val="ListParagraph"/>
        <w:pBdr>
          <w:top w:val="single" w:sz="4" w:space="1" w:color="auto"/>
          <w:left w:val="single" w:sz="4" w:space="4" w:color="auto"/>
          <w:bottom w:val="single" w:sz="4" w:space="1" w:color="auto"/>
          <w:right w:val="single" w:sz="4" w:space="4" w:color="auto"/>
        </w:pBdr>
        <w:ind w:left="360"/>
        <w:jc w:val="both"/>
        <w:rPr>
          <w:b/>
          <w:sz w:val="28"/>
          <w:szCs w:val="28"/>
        </w:rPr>
      </w:pPr>
    </w:p>
    <w:p w14:paraId="68674A07" w14:textId="77777777" w:rsidR="00010F86" w:rsidRPr="00010F86" w:rsidRDefault="00010F86" w:rsidP="00010F86">
      <w:pPr>
        <w:pStyle w:val="ListParagraph"/>
        <w:pBdr>
          <w:top w:val="single" w:sz="4" w:space="1" w:color="auto"/>
          <w:left w:val="single" w:sz="4" w:space="4" w:color="auto"/>
          <w:bottom w:val="single" w:sz="4" w:space="1" w:color="auto"/>
          <w:right w:val="single" w:sz="4" w:space="4" w:color="auto"/>
        </w:pBdr>
        <w:ind w:left="360"/>
        <w:jc w:val="both"/>
        <w:rPr>
          <w:b/>
          <w:sz w:val="28"/>
          <w:szCs w:val="28"/>
        </w:rPr>
      </w:pPr>
    </w:p>
    <w:p w14:paraId="51199E9B" w14:textId="342FFCDF" w:rsidR="00A90969" w:rsidRDefault="00A90969" w:rsidP="00010F86">
      <w:pPr>
        <w:pStyle w:val="ListParagraph"/>
        <w:ind w:left="360"/>
        <w:jc w:val="both"/>
        <w:rPr>
          <w:b/>
          <w:sz w:val="28"/>
          <w:szCs w:val="28"/>
        </w:rPr>
      </w:pPr>
    </w:p>
    <w:p w14:paraId="3004D08D" w14:textId="385C3BB6" w:rsidR="00F33B2C" w:rsidRPr="00010F86" w:rsidRDefault="00F33B2C" w:rsidP="00F33B2C">
      <w:pPr>
        <w:pStyle w:val="ListParagraph"/>
        <w:numPr>
          <w:ilvl w:val="1"/>
          <w:numId w:val="1"/>
        </w:numPr>
        <w:jc w:val="both"/>
        <w:rPr>
          <w:b/>
          <w:sz w:val="28"/>
          <w:szCs w:val="28"/>
        </w:rPr>
      </w:pPr>
      <w:r>
        <w:rPr>
          <w:b/>
          <w:sz w:val="28"/>
          <w:szCs w:val="28"/>
        </w:rPr>
        <w:t>Good practices/</w:t>
      </w:r>
      <w:proofErr w:type="spellStart"/>
      <w:r>
        <w:rPr>
          <w:b/>
          <w:sz w:val="28"/>
          <w:szCs w:val="28"/>
        </w:rPr>
        <w:t>opportunities</w:t>
      </w:r>
      <w:proofErr w:type="spellEnd"/>
      <w:r>
        <w:rPr>
          <w:b/>
          <w:sz w:val="28"/>
          <w:szCs w:val="28"/>
        </w:rPr>
        <w:t xml:space="preserve"> </w:t>
      </w:r>
    </w:p>
    <w:p w14:paraId="5EE688D5" w14:textId="321A40AD" w:rsidR="00A90969" w:rsidRDefault="00A90969" w:rsidP="0067010F">
      <w:pPr>
        <w:pStyle w:val="ListParagraph"/>
        <w:pBdr>
          <w:top w:val="single" w:sz="4" w:space="0" w:color="auto"/>
          <w:left w:val="single" w:sz="4" w:space="4" w:color="auto"/>
          <w:bottom w:val="single" w:sz="4" w:space="0" w:color="auto"/>
          <w:right w:val="single" w:sz="4" w:space="4" w:color="auto"/>
        </w:pBdr>
        <w:ind w:left="360"/>
        <w:jc w:val="both"/>
        <w:rPr>
          <w:b/>
          <w:sz w:val="28"/>
          <w:szCs w:val="28"/>
        </w:rPr>
      </w:pPr>
    </w:p>
    <w:p w14:paraId="5D8FCF6C" w14:textId="77777777" w:rsidR="00010F86" w:rsidRDefault="00010F86" w:rsidP="0067010F">
      <w:pPr>
        <w:pStyle w:val="ListParagraph"/>
        <w:pBdr>
          <w:top w:val="single" w:sz="4" w:space="0" w:color="auto"/>
          <w:left w:val="single" w:sz="4" w:space="4" w:color="auto"/>
          <w:bottom w:val="single" w:sz="4" w:space="0" w:color="auto"/>
          <w:right w:val="single" w:sz="4" w:space="4" w:color="auto"/>
        </w:pBdr>
        <w:ind w:left="360"/>
        <w:jc w:val="both"/>
        <w:rPr>
          <w:b/>
          <w:sz w:val="28"/>
          <w:szCs w:val="28"/>
        </w:rPr>
      </w:pPr>
    </w:p>
    <w:p w14:paraId="66D53DD7" w14:textId="77777777" w:rsidR="0067010F" w:rsidRDefault="0067010F" w:rsidP="0067010F">
      <w:pPr>
        <w:pStyle w:val="ListParagraph"/>
        <w:pBdr>
          <w:top w:val="single" w:sz="4" w:space="0" w:color="auto"/>
          <w:left w:val="single" w:sz="4" w:space="4" w:color="auto"/>
          <w:bottom w:val="single" w:sz="4" w:space="0" w:color="auto"/>
          <w:right w:val="single" w:sz="4" w:space="4" w:color="auto"/>
        </w:pBdr>
        <w:ind w:left="360"/>
        <w:jc w:val="both"/>
        <w:rPr>
          <w:b/>
          <w:sz w:val="28"/>
          <w:szCs w:val="28"/>
        </w:rPr>
      </w:pPr>
    </w:p>
    <w:p w14:paraId="31E63FA5" w14:textId="77777777" w:rsidR="00A56638" w:rsidRDefault="00A56638" w:rsidP="000E3522">
      <w:pPr>
        <w:jc w:val="both"/>
        <w:rPr>
          <w:b/>
          <w:sz w:val="24"/>
          <w:szCs w:val="24"/>
        </w:rPr>
      </w:pPr>
    </w:p>
    <w:p w14:paraId="24BF2A18" w14:textId="2EED976D" w:rsidR="00AD0FCA" w:rsidRPr="00821631" w:rsidRDefault="000E3522" w:rsidP="00821631">
      <w:pPr>
        <w:pStyle w:val="ListParagraph"/>
        <w:numPr>
          <w:ilvl w:val="0"/>
          <w:numId w:val="1"/>
        </w:numPr>
        <w:jc w:val="both"/>
        <w:rPr>
          <w:b/>
          <w:i/>
          <w:sz w:val="28"/>
          <w:szCs w:val="28"/>
          <w:lang w:val="en-US"/>
        </w:rPr>
      </w:pPr>
      <w:r w:rsidRPr="00821631">
        <w:rPr>
          <w:b/>
          <w:sz w:val="28"/>
          <w:szCs w:val="28"/>
          <w:lang w:val="en-US"/>
        </w:rPr>
        <w:t xml:space="preserve"> </w:t>
      </w:r>
      <w:r w:rsidR="0054635A" w:rsidRPr="00821631">
        <w:rPr>
          <w:b/>
          <w:i/>
          <w:sz w:val="28"/>
          <w:szCs w:val="28"/>
          <w:lang w:val="en-US"/>
        </w:rPr>
        <w:t>What actions do your network/organization play in supporting greater access</w:t>
      </w:r>
      <w:r w:rsidR="00E54285" w:rsidRPr="00821631">
        <w:rPr>
          <w:b/>
          <w:i/>
          <w:sz w:val="28"/>
          <w:szCs w:val="28"/>
          <w:lang w:val="en-US"/>
        </w:rPr>
        <w:t xml:space="preserve"> and fighting exclusion from</w:t>
      </w:r>
      <w:r w:rsidR="0054635A" w:rsidRPr="00821631">
        <w:rPr>
          <w:b/>
          <w:i/>
          <w:sz w:val="28"/>
          <w:szCs w:val="28"/>
          <w:lang w:val="en-US"/>
        </w:rPr>
        <w:t xml:space="preserve"> </w:t>
      </w:r>
      <w:r w:rsidR="00821631" w:rsidRPr="00821631">
        <w:rPr>
          <w:b/>
          <w:i/>
          <w:sz w:val="28"/>
          <w:szCs w:val="28"/>
          <w:lang w:val="en-US"/>
        </w:rPr>
        <w:t>the aforementioned essential</w:t>
      </w:r>
      <w:r w:rsidR="0054635A" w:rsidRPr="00821631">
        <w:rPr>
          <w:b/>
          <w:i/>
          <w:sz w:val="28"/>
          <w:szCs w:val="28"/>
          <w:lang w:val="en-US"/>
        </w:rPr>
        <w:t xml:space="preserve"> services? </w:t>
      </w:r>
      <w:r w:rsidR="00821631" w:rsidRPr="003E789B">
        <w:rPr>
          <w:bCs/>
          <w:iCs/>
          <w:sz w:val="28"/>
          <w:szCs w:val="28"/>
          <w:lang w:val="en-US"/>
        </w:rPr>
        <w:t>(assistance and counseling services, advocacy actions, direct involvement of users, for example)</w:t>
      </w:r>
      <w:r w:rsidR="003E789B" w:rsidRPr="003E789B">
        <w:rPr>
          <w:bCs/>
          <w:iCs/>
          <w:sz w:val="28"/>
          <w:szCs w:val="28"/>
          <w:lang w:val="en-US"/>
        </w:rPr>
        <w:t>.</w:t>
      </w:r>
    </w:p>
    <w:p w14:paraId="53C82474" w14:textId="77777777" w:rsidR="00E54285" w:rsidRPr="00821631" w:rsidRDefault="00E54285" w:rsidP="00010F86">
      <w:pPr>
        <w:pStyle w:val="ListParagraph"/>
        <w:ind w:left="360"/>
        <w:jc w:val="both"/>
        <w:rPr>
          <w:b/>
          <w:i/>
          <w:sz w:val="28"/>
          <w:szCs w:val="28"/>
          <w:lang w:val="en-US"/>
        </w:rPr>
      </w:pPr>
    </w:p>
    <w:p w14:paraId="76FD7FD9" w14:textId="3E29745B" w:rsidR="000E3522" w:rsidRDefault="0054635A" w:rsidP="00821631">
      <w:pPr>
        <w:pStyle w:val="ListParagraph"/>
        <w:ind w:left="360"/>
        <w:jc w:val="both"/>
        <w:rPr>
          <w:b/>
          <w:i/>
          <w:sz w:val="28"/>
          <w:szCs w:val="28"/>
          <w:lang w:val="en-US"/>
        </w:rPr>
      </w:pPr>
      <w:r w:rsidRPr="00821631">
        <w:rPr>
          <w:b/>
          <w:i/>
          <w:sz w:val="28"/>
          <w:szCs w:val="28"/>
          <w:lang w:val="en-US"/>
        </w:rPr>
        <w:t>Please give examples/</w:t>
      </w:r>
      <w:r w:rsidR="00821631" w:rsidRPr="00821631">
        <w:rPr>
          <w:b/>
          <w:i/>
          <w:sz w:val="28"/>
          <w:szCs w:val="28"/>
          <w:lang w:val="en-US"/>
        </w:rPr>
        <w:t xml:space="preserve">data </w:t>
      </w:r>
      <w:r w:rsidRPr="00821631">
        <w:rPr>
          <w:b/>
          <w:i/>
          <w:sz w:val="28"/>
          <w:szCs w:val="28"/>
          <w:lang w:val="en-US"/>
        </w:rPr>
        <w:t xml:space="preserve">with links </w:t>
      </w:r>
      <w:r w:rsidR="00E54285" w:rsidRPr="00821631">
        <w:rPr>
          <w:b/>
          <w:i/>
          <w:sz w:val="28"/>
          <w:szCs w:val="28"/>
          <w:lang w:val="en-US"/>
        </w:rPr>
        <w:t>if possible</w:t>
      </w:r>
      <w:r w:rsidR="00CA1457" w:rsidRPr="00821631">
        <w:rPr>
          <w:b/>
          <w:i/>
          <w:sz w:val="28"/>
          <w:szCs w:val="28"/>
          <w:lang w:val="en-US"/>
        </w:rPr>
        <w:t>:</w:t>
      </w:r>
    </w:p>
    <w:p w14:paraId="126EA405" w14:textId="77777777" w:rsidR="000E3522" w:rsidRDefault="000E3522" w:rsidP="000E3522">
      <w:pPr>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3996FC34" w14:textId="77777777" w:rsidR="000E3522" w:rsidRDefault="000E3522" w:rsidP="000E3522">
      <w:pPr>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14102306" w14:textId="77777777" w:rsidR="00D41417" w:rsidRDefault="00D41417" w:rsidP="000E3522">
      <w:pPr>
        <w:pBdr>
          <w:top w:val="single" w:sz="4" w:space="1" w:color="auto"/>
          <w:left w:val="single" w:sz="4" w:space="4" w:color="auto"/>
          <w:bottom w:val="single" w:sz="4" w:space="1" w:color="auto"/>
          <w:right w:val="single" w:sz="4" w:space="4" w:color="auto"/>
        </w:pBdr>
        <w:ind w:left="360"/>
        <w:jc w:val="both"/>
        <w:rPr>
          <w:b/>
          <w:i/>
          <w:sz w:val="28"/>
          <w:szCs w:val="28"/>
          <w:lang w:val="en-US"/>
        </w:rPr>
      </w:pPr>
    </w:p>
    <w:p w14:paraId="614B8247" w14:textId="77777777" w:rsidR="00F3083F" w:rsidRPr="00A56638" w:rsidRDefault="00F3083F" w:rsidP="00A56638">
      <w:pPr>
        <w:jc w:val="both"/>
        <w:rPr>
          <w:b/>
          <w:sz w:val="28"/>
          <w:szCs w:val="28"/>
          <w:lang w:val="en-US"/>
        </w:rPr>
      </w:pPr>
    </w:p>
    <w:p w14:paraId="38740278" w14:textId="58826AE7" w:rsidR="00A56638" w:rsidRDefault="00A56638" w:rsidP="00D41417">
      <w:pPr>
        <w:pStyle w:val="ListParagraph"/>
        <w:numPr>
          <w:ilvl w:val="0"/>
          <w:numId w:val="1"/>
        </w:numPr>
        <w:jc w:val="both"/>
        <w:rPr>
          <w:b/>
          <w:sz w:val="28"/>
          <w:szCs w:val="28"/>
          <w:lang w:val="en-US"/>
        </w:rPr>
      </w:pPr>
      <w:r>
        <w:rPr>
          <w:b/>
          <w:sz w:val="28"/>
          <w:szCs w:val="28"/>
          <w:lang w:val="en-US"/>
        </w:rPr>
        <w:lastRenderedPageBreak/>
        <w:t xml:space="preserve"> How national action plans under the EU Child Guarantee could improve access to essential services and reduce child poverty and social exclusion?</w:t>
      </w:r>
    </w:p>
    <w:p w14:paraId="1E4C164F" w14:textId="77777777" w:rsidR="00A56638" w:rsidRDefault="00A56638" w:rsidP="00A56638">
      <w:pPr>
        <w:pStyle w:val="ListParagraph"/>
        <w:ind w:left="360"/>
        <w:jc w:val="both"/>
        <w:rPr>
          <w:b/>
          <w:sz w:val="28"/>
          <w:szCs w:val="28"/>
          <w:lang w:val="en-US"/>
        </w:rPr>
      </w:pPr>
      <w:bookmarkStart w:id="1" w:name="_Hlk75424841"/>
    </w:p>
    <w:p w14:paraId="4274D79C" w14:textId="680087E0" w:rsidR="00A56638" w:rsidRDefault="00A56638" w:rsidP="00A56638">
      <w:pPr>
        <w:pStyle w:val="ListParagraph"/>
        <w:pBdr>
          <w:top w:val="single" w:sz="4" w:space="1" w:color="auto"/>
          <w:left w:val="single" w:sz="4" w:space="4" w:color="auto"/>
          <w:bottom w:val="single" w:sz="4" w:space="1" w:color="auto"/>
          <w:right w:val="single" w:sz="4" w:space="4" w:color="auto"/>
        </w:pBdr>
        <w:ind w:left="360"/>
        <w:jc w:val="both"/>
        <w:rPr>
          <w:b/>
          <w:sz w:val="28"/>
          <w:szCs w:val="28"/>
          <w:lang w:val="en-US"/>
        </w:rPr>
      </w:pPr>
    </w:p>
    <w:p w14:paraId="77697889" w14:textId="244209A5" w:rsidR="00A56638" w:rsidRDefault="00A56638" w:rsidP="00A56638">
      <w:pPr>
        <w:pStyle w:val="ListParagraph"/>
        <w:pBdr>
          <w:top w:val="single" w:sz="4" w:space="1" w:color="auto"/>
          <w:left w:val="single" w:sz="4" w:space="4" w:color="auto"/>
          <w:bottom w:val="single" w:sz="4" w:space="1" w:color="auto"/>
          <w:right w:val="single" w:sz="4" w:space="4" w:color="auto"/>
        </w:pBdr>
        <w:ind w:left="360"/>
        <w:jc w:val="both"/>
        <w:rPr>
          <w:b/>
          <w:sz w:val="28"/>
          <w:szCs w:val="28"/>
          <w:lang w:val="en-US"/>
        </w:rPr>
      </w:pPr>
    </w:p>
    <w:p w14:paraId="1478CBBF" w14:textId="792D18D4" w:rsidR="00A56638" w:rsidRDefault="00A56638" w:rsidP="00A56638">
      <w:pPr>
        <w:pStyle w:val="ListParagraph"/>
        <w:pBdr>
          <w:top w:val="single" w:sz="4" w:space="1" w:color="auto"/>
          <w:left w:val="single" w:sz="4" w:space="4" w:color="auto"/>
          <w:bottom w:val="single" w:sz="4" w:space="1" w:color="auto"/>
          <w:right w:val="single" w:sz="4" w:space="4" w:color="auto"/>
        </w:pBdr>
        <w:ind w:left="360"/>
        <w:jc w:val="both"/>
        <w:rPr>
          <w:b/>
          <w:sz w:val="28"/>
          <w:szCs w:val="28"/>
          <w:lang w:val="en-US"/>
        </w:rPr>
      </w:pPr>
    </w:p>
    <w:p w14:paraId="521E70EE" w14:textId="77777777" w:rsidR="00A56638" w:rsidRPr="00A56638" w:rsidRDefault="00A56638" w:rsidP="00A56638">
      <w:pPr>
        <w:pStyle w:val="ListParagraph"/>
        <w:pBdr>
          <w:top w:val="single" w:sz="4" w:space="1" w:color="auto"/>
          <w:left w:val="single" w:sz="4" w:space="4" w:color="auto"/>
          <w:bottom w:val="single" w:sz="4" w:space="1" w:color="auto"/>
          <w:right w:val="single" w:sz="4" w:space="4" w:color="auto"/>
        </w:pBdr>
        <w:ind w:left="360"/>
        <w:jc w:val="both"/>
        <w:rPr>
          <w:b/>
          <w:sz w:val="28"/>
          <w:szCs w:val="28"/>
          <w:lang w:val="en-US"/>
        </w:rPr>
      </w:pPr>
    </w:p>
    <w:p w14:paraId="7EA3F0D2" w14:textId="77777777" w:rsidR="00A56638" w:rsidRDefault="00A56638" w:rsidP="00A56638">
      <w:pPr>
        <w:pStyle w:val="ListParagraph"/>
        <w:ind w:left="360"/>
        <w:jc w:val="both"/>
        <w:rPr>
          <w:b/>
          <w:sz w:val="28"/>
          <w:szCs w:val="28"/>
          <w:lang w:val="en-US"/>
        </w:rPr>
      </w:pPr>
    </w:p>
    <w:bookmarkEnd w:id="1"/>
    <w:p w14:paraId="1BDEF16F" w14:textId="77777777" w:rsidR="00A56638" w:rsidRDefault="00A56638" w:rsidP="00A56638">
      <w:pPr>
        <w:pStyle w:val="ListParagraph"/>
        <w:ind w:left="360"/>
        <w:jc w:val="both"/>
        <w:rPr>
          <w:b/>
          <w:sz w:val="28"/>
          <w:szCs w:val="28"/>
          <w:lang w:val="en-US"/>
        </w:rPr>
      </w:pPr>
    </w:p>
    <w:p w14:paraId="1F54C9F3" w14:textId="5EE6564B" w:rsidR="0067010F" w:rsidRDefault="00F3083F" w:rsidP="0067010F">
      <w:pPr>
        <w:pStyle w:val="ListParagraph"/>
        <w:numPr>
          <w:ilvl w:val="0"/>
          <w:numId w:val="1"/>
        </w:numPr>
        <w:jc w:val="both"/>
        <w:rPr>
          <w:b/>
          <w:sz w:val="28"/>
          <w:szCs w:val="28"/>
          <w:lang w:val="en-US"/>
        </w:rPr>
      </w:pPr>
      <w:r>
        <w:rPr>
          <w:b/>
          <w:sz w:val="28"/>
          <w:szCs w:val="28"/>
          <w:lang w:val="en-US"/>
        </w:rPr>
        <w:t xml:space="preserve"> Do you have any </w:t>
      </w:r>
      <w:r w:rsidR="003E2389">
        <w:rPr>
          <w:b/>
          <w:sz w:val="28"/>
          <w:szCs w:val="28"/>
          <w:lang w:val="en-US"/>
        </w:rPr>
        <w:t>further consideration</w:t>
      </w:r>
      <w:r w:rsidR="00A56638">
        <w:rPr>
          <w:b/>
          <w:sz w:val="28"/>
          <w:szCs w:val="28"/>
          <w:lang w:val="en-US"/>
        </w:rPr>
        <w:t>/data</w:t>
      </w:r>
      <w:r>
        <w:rPr>
          <w:b/>
          <w:sz w:val="28"/>
          <w:szCs w:val="28"/>
          <w:lang w:val="en-US"/>
        </w:rPr>
        <w:t xml:space="preserve"> on the situation </w:t>
      </w:r>
      <w:r w:rsidR="003E2389">
        <w:rPr>
          <w:b/>
          <w:sz w:val="28"/>
          <w:szCs w:val="28"/>
          <w:lang w:val="en-US"/>
        </w:rPr>
        <w:t xml:space="preserve">of </w:t>
      </w:r>
      <w:r w:rsidR="003E2389" w:rsidRPr="003E2389">
        <w:rPr>
          <w:b/>
          <w:sz w:val="28"/>
          <w:szCs w:val="28"/>
          <w:lang w:val="en-US"/>
        </w:rPr>
        <w:t xml:space="preserve">social services of general interest </w:t>
      </w:r>
      <w:r>
        <w:rPr>
          <w:b/>
          <w:sz w:val="28"/>
          <w:szCs w:val="28"/>
          <w:lang w:val="en-US"/>
        </w:rPr>
        <w:t>or of other public social services besides housing</w:t>
      </w:r>
      <w:r w:rsidR="003E2389">
        <w:rPr>
          <w:b/>
          <w:sz w:val="28"/>
          <w:szCs w:val="28"/>
          <w:lang w:val="en-US"/>
        </w:rPr>
        <w:t>/energy, health/social care and digital communications?</w:t>
      </w:r>
      <w:r>
        <w:rPr>
          <w:b/>
          <w:sz w:val="28"/>
          <w:szCs w:val="28"/>
          <w:lang w:val="en-US"/>
        </w:rPr>
        <w:t xml:space="preserve"> </w:t>
      </w:r>
    </w:p>
    <w:p w14:paraId="4589699E" w14:textId="77777777" w:rsidR="0067010F" w:rsidRPr="0067010F" w:rsidRDefault="0067010F" w:rsidP="0067010F">
      <w:pPr>
        <w:pStyle w:val="ListParagraph"/>
        <w:ind w:left="360"/>
        <w:jc w:val="both"/>
        <w:rPr>
          <w:b/>
          <w:sz w:val="28"/>
          <w:szCs w:val="28"/>
          <w:lang w:val="en-US"/>
        </w:rPr>
      </w:pPr>
    </w:p>
    <w:p w14:paraId="12D43749" w14:textId="77777777" w:rsidR="0067010F" w:rsidRDefault="0067010F" w:rsidP="0067010F">
      <w:pPr>
        <w:pStyle w:val="ListParagraph"/>
        <w:pBdr>
          <w:top w:val="single" w:sz="4" w:space="1" w:color="auto"/>
          <w:left w:val="single" w:sz="4" w:space="4" w:color="auto"/>
          <w:bottom w:val="single" w:sz="4" w:space="1" w:color="auto"/>
          <w:right w:val="single" w:sz="4" w:space="4" w:color="auto"/>
        </w:pBdr>
        <w:ind w:left="360"/>
        <w:jc w:val="both"/>
        <w:rPr>
          <w:b/>
          <w:sz w:val="28"/>
          <w:szCs w:val="28"/>
          <w:lang w:val="en-US"/>
        </w:rPr>
      </w:pPr>
    </w:p>
    <w:p w14:paraId="7259B459" w14:textId="77777777" w:rsidR="0067010F" w:rsidRDefault="0067010F" w:rsidP="0067010F">
      <w:pPr>
        <w:pStyle w:val="ListParagraph"/>
        <w:pBdr>
          <w:top w:val="single" w:sz="4" w:space="1" w:color="auto"/>
          <w:left w:val="single" w:sz="4" w:space="4" w:color="auto"/>
          <w:bottom w:val="single" w:sz="4" w:space="1" w:color="auto"/>
          <w:right w:val="single" w:sz="4" w:space="4" w:color="auto"/>
        </w:pBdr>
        <w:ind w:left="360"/>
        <w:jc w:val="both"/>
        <w:rPr>
          <w:b/>
          <w:sz w:val="28"/>
          <w:szCs w:val="28"/>
          <w:lang w:val="en-US"/>
        </w:rPr>
      </w:pPr>
    </w:p>
    <w:p w14:paraId="7668A973" w14:textId="77777777" w:rsidR="0067010F" w:rsidRDefault="0067010F" w:rsidP="0067010F">
      <w:pPr>
        <w:pStyle w:val="ListParagraph"/>
        <w:pBdr>
          <w:top w:val="single" w:sz="4" w:space="1" w:color="auto"/>
          <w:left w:val="single" w:sz="4" w:space="4" w:color="auto"/>
          <w:bottom w:val="single" w:sz="4" w:space="1" w:color="auto"/>
          <w:right w:val="single" w:sz="4" w:space="4" w:color="auto"/>
        </w:pBdr>
        <w:ind w:left="360"/>
        <w:jc w:val="both"/>
        <w:rPr>
          <w:b/>
          <w:sz w:val="28"/>
          <w:szCs w:val="28"/>
          <w:lang w:val="en-US"/>
        </w:rPr>
      </w:pPr>
    </w:p>
    <w:p w14:paraId="28398901" w14:textId="77777777" w:rsidR="0067010F" w:rsidRPr="00A56638" w:rsidRDefault="0067010F" w:rsidP="0067010F">
      <w:pPr>
        <w:pStyle w:val="ListParagraph"/>
        <w:pBdr>
          <w:top w:val="single" w:sz="4" w:space="1" w:color="auto"/>
          <w:left w:val="single" w:sz="4" w:space="4" w:color="auto"/>
          <w:bottom w:val="single" w:sz="4" w:space="1" w:color="auto"/>
          <w:right w:val="single" w:sz="4" w:space="4" w:color="auto"/>
        </w:pBdr>
        <w:ind w:left="360"/>
        <w:jc w:val="both"/>
        <w:rPr>
          <w:b/>
          <w:sz w:val="28"/>
          <w:szCs w:val="28"/>
          <w:lang w:val="en-US"/>
        </w:rPr>
      </w:pPr>
    </w:p>
    <w:p w14:paraId="4249B851" w14:textId="77777777" w:rsidR="0067010F" w:rsidRDefault="0067010F" w:rsidP="0067010F">
      <w:pPr>
        <w:pStyle w:val="ListParagraph"/>
        <w:ind w:left="360"/>
        <w:jc w:val="both"/>
        <w:rPr>
          <w:b/>
          <w:sz w:val="28"/>
          <w:szCs w:val="28"/>
          <w:lang w:val="en-US"/>
        </w:rPr>
      </w:pPr>
    </w:p>
    <w:p w14:paraId="65BFB50C" w14:textId="77777777" w:rsidR="0067010F" w:rsidRDefault="0067010F" w:rsidP="0067010F">
      <w:pPr>
        <w:pStyle w:val="ListParagraph"/>
        <w:ind w:left="360"/>
        <w:jc w:val="both"/>
        <w:rPr>
          <w:b/>
          <w:sz w:val="28"/>
          <w:szCs w:val="28"/>
          <w:lang w:val="en-US"/>
        </w:rPr>
      </w:pPr>
    </w:p>
    <w:p w14:paraId="769306B6" w14:textId="77777777" w:rsidR="0067010F" w:rsidRPr="0067010F" w:rsidRDefault="0067010F" w:rsidP="0067010F">
      <w:pPr>
        <w:pStyle w:val="ListParagraph"/>
        <w:rPr>
          <w:b/>
          <w:sz w:val="28"/>
          <w:szCs w:val="28"/>
          <w:lang w:val="en-US"/>
        </w:rPr>
      </w:pPr>
    </w:p>
    <w:p w14:paraId="017559A6" w14:textId="77777777" w:rsidR="0067010F" w:rsidRPr="0067010F" w:rsidRDefault="0067010F" w:rsidP="0067010F">
      <w:pPr>
        <w:pStyle w:val="ListParagraph"/>
        <w:rPr>
          <w:b/>
          <w:sz w:val="28"/>
          <w:szCs w:val="28"/>
          <w:lang w:val="en-US"/>
        </w:rPr>
      </w:pPr>
    </w:p>
    <w:p w14:paraId="0DFCED94" w14:textId="77777777" w:rsidR="0067010F" w:rsidRPr="0067010F" w:rsidRDefault="0067010F" w:rsidP="0067010F">
      <w:pPr>
        <w:pStyle w:val="ListParagraph"/>
        <w:rPr>
          <w:b/>
          <w:sz w:val="28"/>
          <w:szCs w:val="28"/>
          <w:lang w:val="en-US"/>
        </w:rPr>
      </w:pPr>
    </w:p>
    <w:p w14:paraId="3B330A0E" w14:textId="77777777" w:rsidR="0067010F" w:rsidRPr="0067010F" w:rsidRDefault="0067010F" w:rsidP="0067010F">
      <w:pPr>
        <w:pStyle w:val="ListParagraph"/>
        <w:rPr>
          <w:b/>
          <w:sz w:val="28"/>
          <w:szCs w:val="28"/>
          <w:lang w:val="en-US"/>
        </w:rPr>
      </w:pPr>
    </w:p>
    <w:p w14:paraId="30157E69" w14:textId="77777777" w:rsidR="0067010F" w:rsidRPr="0067010F" w:rsidRDefault="0067010F" w:rsidP="0067010F">
      <w:pPr>
        <w:pStyle w:val="ListParagraph"/>
        <w:rPr>
          <w:b/>
          <w:sz w:val="28"/>
          <w:szCs w:val="28"/>
          <w:lang w:val="en-US"/>
        </w:rPr>
      </w:pPr>
    </w:p>
    <w:p w14:paraId="439F50AB" w14:textId="77777777" w:rsidR="0067010F" w:rsidRPr="0067010F" w:rsidRDefault="0067010F" w:rsidP="0067010F">
      <w:pPr>
        <w:pStyle w:val="ListParagraph"/>
        <w:rPr>
          <w:b/>
          <w:sz w:val="28"/>
          <w:szCs w:val="28"/>
          <w:lang w:val="en-US"/>
        </w:rPr>
      </w:pPr>
    </w:p>
    <w:p w14:paraId="5B683442" w14:textId="77777777" w:rsidR="0067010F" w:rsidRPr="0067010F" w:rsidRDefault="0067010F" w:rsidP="0067010F">
      <w:pPr>
        <w:pStyle w:val="ListParagraph"/>
        <w:ind w:left="360"/>
        <w:jc w:val="both"/>
        <w:rPr>
          <w:b/>
          <w:sz w:val="28"/>
          <w:szCs w:val="28"/>
          <w:lang w:val="en-US"/>
        </w:rPr>
      </w:pPr>
    </w:p>
    <w:sectPr w:rsidR="0067010F" w:rsidRPr="0067010F" w:rsidSect="009B4A79">
      <w:headerReference w:type="default" r:id="rId61"/>
      <w:footerReference w:type="default" r:id="rI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F8AB" w14:textId="77777777" w:rsidR="00F66BD4" w:rsidRDefault="00F66BD4" w:rsidP="00B0322D">
      <w:pPr>
        <w:spacing w:after="0" w:line="240" w:lineRule="auto"/>
      </w:pPr>
      <w:r>
        <w:separator/>
      </w:r>
    </w:p>
  </w:endnote>
  <w:endnote w:type="continuationSeparator" w:id="0">
    <w:p w14:paraId="6D1A37A8" w14:textId="77777777" w:rsidR="00F66BD4" w:rsidRDefault="00F66BD4" w:rsidP="00B0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711098"/>
      <w:docPartObj>
        <w:docPartGallery w:val="Page Numbers (Bottom of Page)"/>
        <w:docPartUnique/>
      </w:docPartObj>
    </w:sdtPr>
    <w:sdtEndPr>
      <w:rPr>
        <w:noProof/>
      </w:rPr>
    </w:sdtEndPr>
    <w:sdtContent>
      <w:p w14:paraId="02AD9F81" w14:textId="1E20971F" w:rsidR="00A00147" w:rsidRDefault="00A00147">
        <w:pPr>
          <w:pStyle w:val="Footer"/>
          <w:jc w:val="center"/>
        </w:pPr>
        <w:r>
          <w:fldChar w:fldCharType="begin"/>
        </w:r>
        <w:r>
          <w:instrText xml:space="preserve"> PAGE   \* MERGEFORMAT </w:instrText>
        </w:r>
        <w:r>
          <w:fldChar w:fldCharType="separate"/>
        </w:r>
        <w:r w:rsidR="00D41417">
          <w:rPr>
            <w:noProof/>
          </w:rPr>
          <w:t>10</w:t>
        </w:r>
        <w:r>
          <w:rPr>
            <w:noProof/>
          </w:rPr>
          <w:fldChar w:fldCharType="end"/>
        </w:r>
      </w:p>
    </w:sdtContent>
  </w:sdt>
  <w:p w14:paraId="409F2167" w14:textId="77777777" w:rsidR="00E34DF6" w:rsidRDefault="00E3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45C4" w14:textId="77777777" w:rsidR="00F66BD4" w:rsidRDefault="00F66BD4" w:rsidP="00B0322D">
      <w:pPr>
        <w:spacing w:after="0" w:line="240" w:lineRule="auto"/>
      </w:pPr>
      <w:r>
        <w:separator/>
      </w:r>
    </w:p>
  </w:footnote>
  <w:footnote w:type="continuationSeparator" w:id="0">
    <w:p w14:paraId="0857FF9F" w14:textId="77777777" w:rsidR="00F66BD4" w:rsidRDefault="00F66BD4" w:rsidP="00B0322D">
      <w:pPr>
        <w:spacing w:after="0" w:line="240" w:lineRule="auto"/>
      </w:pPr>
      <w:r>
        <w:continuationSeparator/>
      </w:r>
    </w:p>
  </w:footnote>
  <w:footnote w:id="1">
    <w:p w14:paraId="5C68A836" w14:textId="2C06C824" w:rsidR="00A6268F" w:rsidRPr="00AC253A" w:rsidRDefault="00A6268F" w:rsidP="00FD4378">
      <w:pPr>
        <w:pStyle w:val="FootnoteText"/>
        <w:jc w:val="both"/>
        <w:rPr>
          <w:rFonts w:ascii="Trebuchet MS" w:hAnsi="Trebuchet MS"/>
          <w:sz w:val="18"/>
          <w:szCs w:val="18"/>
          <w:lang w:val="en-GB"/>
        </w:rPr>
      </w:pPr>
      <w:r w:rsidRPr="00AC253A">
        <w:rPr>
          <w:rStyle w:val="FootnoteReference"/>
          <w:rFonts w:ascii="Trebuchet MS" w:hAnsi="Trebuchet MS"/>
          <w:sz w:val="18"/>
          <w:szCs w:val="18"/>
        </w:rPr>
        <w:footnoteRef/>
      </w:r>
      <w:r w:rsidRPr="00AC253A">
        <w:rPr>
          <w:rFonts w:ascii="Trebuchet MS" w:hAnsi="Trebuchet MS"/>
          <w:sz w:val="18"/>
          <w:szCs w:val="18"/>
          <w:lang w:val="en-GB"/>
        </w:rPr>
        <w:t xml:space="preserve"> </w:t>
      </w:r>
      <w:hyperlink r:id="rId1" w:history="1">
        <w:r w:rsidR="00D7166B" w:rsidRPr="0098035A">
          <w:rPr>
            <w:rStyle w:val="Hyperlink"/>
            <w:rFonts w:ascii="Trebuchet MS" w:hAnsi="Trebuchet MS"/>
            <w:sz w:val="18"/>
            <w:szCs w:val="18"/>
            <w:lang w:val="en-GB"/>
          </w:rPr>
          <w:t xml:space="preserve">EAPN, </w:t>
        </w:r>
        <w:r w:rsidR="00D7166B" w:rsidRPr="0098035A">
          <w:rPr>
            <w:rStyle w:val="Hyperlink"/>
            <w:rFonts w:ascii="Trebuchet MS" w:hAnsi="Trebuchet MS"/>
            <w:i/>
            <w:iCs/>
            <w:sz w:val="18"/>
            <w:szCs w:val="18"/>
            <w:lang w:val="en-GB"/>
          </w:rPr>
          <w:t>Nobody Left Behind: Ensuring Access for All to affordable, quality housing and public health services</w:t>
        </w:r>
        <w:r w:rsidR="00D7166B" w:rsidRPr="0098035A">
          <w:rPr>
            <w:rStyle w:val="Hyperlink"/>
            <w:rFonts w:ascii="Trebuchet MS" w:hAnsi="Trebuchet MS"/>
            <w:sz w:val="18"/>
            <w:szCs w:val="18"/>
            <w:lang w:val="en-GB"/>
          </w:rPr>
          <w:t xml:space="preserve">, December 2016. </w:t>
        </w:r>
      </w:hyperlink>
    </w:p>
  </w:footnote>
  <w:footnote w:id="2">
    <w:p w14:paraId="720538A3" w14:textId="1B8FF895" w:rsidR="00BF0B16" w:rsidRPr="00AC253A" w:rsidRDefault="00BF0B16" w:rsidP="00FD4378">
      <w:pPr>
        <w:pStyle w:val="FootnoteText"/>
        <w:jc w:val="both"/>
        <w:rPr>
          <w:rFonts w:ascii="Trebuchet MS" w:hAnsi="Trebuchet MS"/>
          <w:sz w:val="18"/>
          <w:szCs w:val="18"/>
          <w:lang w:val="en-GB"/>
        </w:rPr>
      </w:pPr>
      <w:r w:rsidRPr="00AC253A">
        <w:rPr>
          <w:rStyle w:val="FootnoteReference"/>
          <w:rFonts w:ascii="Trebuchet MS" w:hAnsi="Trebuchet MS"/>
          <w:sz w:val="18"/>
          <w:szCs w:val="18"/>
        </w:rPr>
        <w:footnoteRef/>
      </w:r>
      <w:r w:rsidRPr="00AC253A">
        <w:rPr>
          <w:rFonts w:ascii="Trebuchet MS" w:hAnsi="Trebuchet MS"/>
          <w:sz w:val="18"/>
          <w:szCs w:val="18"/>
          <w:lang w:val="en-GB"/>
        </w:rPr>
        <w:t xml:space="preserve"> </w:t>
      </w:r>
      <w:r w:rsidR="00F66BD4">
        <w:fldChar w:fldCharType="begin"/>
      </w:r>
      <w:r w:rsidR="00F66BD4" w:rsidRPr="002E323F">
        <w:rPr>
          <w:lang w:val="en-GB"/>
        </w:rPr>
        <w:instrText xml:space="preserve"> H</w:instrText>
      </w:r>
      <w:r w:rsidR="00F66BD4" w:rsidRPr="002E323F">
        <w:rPr>
          <w:lang w:val="en-GB"/>
        </w:rPr>
        <w:instrText xml:space="preserve">YPERLINK "https://www.eapn.eu/wp-content/uploads/2020/07/EAPN-EAPN_REPORT_IMPACT_COVID19-4554.pdf" </w:instrText>
      </w:r>
      <w:r w:rsidR="00F66BD4">
        <w:fldChar w:fldCharType="separate"/>
      </w:r>
      <w:r w:rsidR="00D7166B" w:rsidRPr="0098035A">
        <w:rPr>
          <w:rStyle w:val="Hyperlink"/>
          <w:rFonts w:ascii="Trebuchet MS" w:hAnsi="Trebuchet MS"/>
          <w:sz w:val="18"/>
          <w:szCs w:val="18"/>
          <w:lang w:val="en-GB"/>
        </w:rPr>
        <w:t xml:space="preserve">EAPN, </w:t>
      </w:r>
      <w:r w:rsidR="00D7166B" w:rsidRPr="0098035A">
        <w:rPr>
          <w:rStyle w:val="Hyperlink"/>
          <w:rFonts w:ascii="Trebuchet MS" w:hAnsi="Trebuchet MS"/>
          <w:i/>
          <w:iCs/>
          <w:sz w:val="18"/>
          <w:szCs w:val="18"/>
          <w:lang w:val="en-GB"/>
        </w:rPr>
        <w:t>The Impact of Covid-19 on People Experiencing Poverty and Vulnerability: Rebuilding Europe with a Social Heart</w:t>
      </w:r>
      <w:r w:rsidR="00D7166B" w:rsidRPr="0098035A">
        <w:rPr>
          <w:rStyle w:val="Hyperlink"/>
          <w:rFonts w:ascii="Trebuchet MS" w:hAnsi="Trebuchet MS"/>
          <w:sz w:val="18"/>
          <w:szCs w:val="18"/>
          <w:lang w:val="en-GB"/>
        </w:rPr>
        <w:t>, July 2020.</w:t>
      </w:r>
      <w:r w:rsidR="00F66BD4">
        <w:rPr>
          <w:rStyle w:val="Hyperlink"/>
          <w:rFonts w:ascii="Trebuchet MS" w:hAnsi="Trebuchet MS"/>
          <w:sz w:val="18"/>
          <w:szCs w:val="18"/>
          <w:lang w:val="en-GB"/>
        </w:rPr>
        <w:fldChar w:fldCharType="end"/>
      </w:r>
    </w:p>
  </w:footnote>
  <w:footnote w:id="3">
    <w:p w14:paraId="6D389CDF" w14:textId="49218951" w:rsidR="00092981" w:rsidRPr="00AC253A" w:rsidRDefault="00092981" w:rsidP="00FD4378">
      <w:pPr>
        <w:pStyle w:val="FootnoteText"/>
        <w:jc w:val="both"/>
        <w:rPr>
          <w:rFonts w:ascii="Trebuchet MS" w:hAnsi="Trebuchet MS"/>
          <w:sz w:val="18"/>
          <w:szCs w:val="18"/>
          <w:lang w:val="en-GB"/>
        </w:rPr>
      </w:pPr>
      <w:r w:rsidRPr="00AC253A">
        <w:rPr>
          <w:rStyle w:val="FootnoteReference"/>
          <w:rFonts w:ascii="Trebuchet MS" w:hAnsi="Trebuchet MS"/>
          <w:sz w:val="18"/>
          <w:szCs w:val="18"/>
        </w:rPr>
        <w:footnoteRef/>
      </w:r>
      <w:r w:rsidRPr="00AC253A">
        <w:rPr>
          <w:rFonts w:ascii="Trebuchet MS" w:hAnsi="Trebuchet MS"/>
          <w:sz w:val="18"/>
          <w:szCs w:val="18"/>
          <w:lang w:val="en-GB"/>
        </w:rPr>
        <w:t xml:space="preserve"> </w:t>
      </w:r>
      <w:r w:rsidR="00F66BD4">
        <w:fldChar w:fldCharType="begin"/>
      </w:r>
      <w:r w:rsidR="00F66BD4" w:rsidRPr="002E323F">
        <w:rPr>
          <w:lang w:val="en-GB"/>
        </w:rPr>
        <w:instrText xml:space="preserve"> HYPERLINK "https://www.feantsa.org/public/user/Resources/magazine/2020/Full_Magazine_Autumn_2020.pdf" </w:instrText>
      </w:r>
      <w:r w:rsidR="00F66BD4">
        <w:fldChar w:fldCharType="separate"/>
      </w:r>
      <w:r w:rsidRPr="00D7166B">
        <w:rPr>
          <w:rStyle w:val="Hyperlink"/>
          <w:rFonts w:ascii="Trebuchet MS" w:hAnsi="Trebuchet MS"/>
          <w:sz w:val="18"/>
          <w:szCs w:val="18"/>
          <w:lang w:val="en-GB"/>
        </w:rPr>
        <w:t xml:space="preserve">FEANTSA, </w:t>
      </w:r>
      <w:r w:rsidRPr="00D7166B">
        <w:rPr>
          <w:rStyle w:val="Hyperlink"/>
          <w:rFonts w:ascii="Trebuchet MS" w:hAnsi="Trebuchet MS"/>
          <w:i/>
          <w:iCs/>
          <w:sz w:val="18"/>
          <w:szCs w:val="18"/>
          <w:lang w:val="en-GB"/>
        </w:rPr>
        <w:t>The Impact of Covid-19 on Homeless People and Services</w:t>
      </w:r>
      <w:r w:rsidRPr="00D7166B">
        <w:rPr>
          <w:rStyle w:val="Hyperlink"/>
          <w:rFonts w:ascii="Trebuchet MS" w:hAnsi="Trebuchet MS"/>
          <w:sz w:val="18"/>
          <w:szCs w:val="18"/>
          <w:lang w:val="en-GB"/>
        </w:rPr>
        <w:t>, Autumn 2020.</w:t>
      </w:r>
      <w:r w:rsidR="00F66BD4">
        <w:rPr>
          <w:rStyle w:val="Hyperlink"/>
          <w:rFonts w:ascii="Trebuchet MS" w:hAnsi="Trebuchet MS"/>
          <w:sz w:val="18"/>
          <w:szCs w:val="18"/>
          <w:lang w:val="en-GB"/>
        </w:rPr>
        <w:fldChar w:fldCharType="end"/>
      </w:r>
    </w:p>
  </w:footnote>
  <w:footnote w:id="4">
    <w:p w14:paraId="33E8939D" w14:textId="2E04DC16" w:rsidR="00092981" w:rsidRPr="00AC253A" w:rsidRDefault="00092981" w:rsidP="00FD4378">
      <w:pPr>
        <w:pStyle w:val="FootnoteText"/>
        <w:jc w:val="both"/>
        <w:rPr>
          <w:rFonts w:ascii="Trebuchet MS" w:hAnsi="Trebuchet MS"/>
          <w:sz w:val="18"/>
          <w:szCs w:val="18"/>
          <w:lang w:val="en-GB"/>
        </w:rPr>
      </w:pPr>
      <w:r w:rsidRPr="00AC253A">
        <w:rPr>
          <w:rStyle w:val="FootnoteReference"/>
          <w:rFonts w:ascii="Trebuchet MS" w:hAnsi="Trebuchet MS"/>
          <w:sz w:val="18"/>
          <w:szCs w:val="18"/>
        </w:rPr>
        <w:footnoteRef/>
      </w:r>
      <w:r w:rsidRPr="00AC253A">
        <w:rPr>
          <w:rFonts w:ascii="Trebuchet MS" w:hAnsi="Trebuchet MS"/>
          <w:sz w:val="18"/>
          <w:szCs w:val="18"/>
          <w:lang w:val="en-GB"/>
        </w:rPr>
        <w:t xml:space="preserve"> </w:t>
      </w:r>
      <w:r w:rsidR="00F66BD4">
        <w:fldChar w:fldCharType="begin"/>
      </w:r>
      <w:r w:rsidR="00F66BD4" w:rsidRPr="002E323F">
        <w:rPr>
          <w:lang w:val="en-GB"/>
        </w:rPr>
        <w:instrText xml:space="preserve"> HYPERLINK "https://www.eapn.eu/wp-content/uploads/2021/01/EAPN-EU-Pov</w:instrText>
      </w:r>
      <w:r w:rsidR="00F66BD4" w:rsidRPr="002E323F">
        <w:rPr>
          <w:lang w:val="en-GB"/>
        </w:rPr>
        <w:instrText xml:space="preserve">erty-Watch-2020-final-version-4937.pdf" </w:instrText>
      </w:r>
      <w:r w:rsidR="00F66BD4">
        <w:fldChar w:fldCharType="separate"/>
      </w:r>
      <w:r w:rsidR="00D7166B" w:rsidRPr="0098035A">
        <w:rPr>
          <w:rStyle w:val="Hyperlink"/>
          <w:rFonts w:ascii="Trebuchet MS" w:hAnsi="Trebuchet MS"/>
          <w:sz w:val="18"/>
          <w:szCs w:val="18"/>
          <w:lang w:val="en-GB"/>
        </w:rPr>
        <w:t xml:space="preserve">EAPN, </w:t>
      </w:r>
      <w:r w:rsidR="00D7166B" w:rsidRPr="0098035A">
        <w:rPr>
          <w:rStyle w:val="Hyperlink"/>
          <w:rFonts w:ascii="Trebuchet MS" w:hAnsi="Trebuchet MS"/>
          <w:i/>
          <w:iCs/>
          <w:sz w:val="18"/>
          <w:szCs w:val="18"/>
          <w:lang w:val="en-GB"/>
        </w:rPr>
        <w:t>2020 Poverty Watch Report</w:t>
      </w:r>
      <w:r w:rsidR="00D7166B" w:rsidRPr="0098035A">
        <w:rPr>
          <w:rStyle w:val="Hyperlink"/>
          <w:rFonts w:ascii="Trebuchet MS" w:hAnsi="Trebuchet MS"/>
          <w:sz w:val="18"/>
          <w:szCs w:val="18"/>
          <w:lang w:val="en-GB"/>
        </w:rPr>
        <w:t>, November 2020.</w:t>
      </w:r>
      <w:r w:rsidR="00F66BD4">
        <w:rPr>
          <w:rStyle w:val="Hyperlink"/>
          <w:rFonts w:ascii="Trebuchet MS" w:hAnsi="Trebuchet MS"/>
          <w:sz w:val="18"/>
          <w:szCs w:val="18"/>
          <w:lang w:val="en-GB"/>
        </w:rPr>
        <w:fldChar w:fldCharType="end"/>
      </w:r>
    </w:p>
  </w:footnote>
  <w:footnote w:id="5">
    <w:p w14:paraId="219B926F" w14:textId="5E2FE7B5" w:rsidR="00AC253A" w:rsidRPr="00B939E5" w:rsidRDefault="00AC253A" w:rsidP="00FD4378">
      <w:pPr>
        <w:pStyle w:val="FootnoteText"/>
        <w:jc w:val="both"/>
        <w:rPr>
          <w:rFonts w:ascii="Trebuchet MS" w:hAnsi="Trebuchet MS"/>
          <w:sz w:val="18"/>
          <w:szCs w:val="18"/>
          <w:lang w:val="en-GB"/>
        </w:rPr>
      </w:pPr>
      <w:r w:rsidRPr="00B939E5">
        <w:rPr>
          <w:rStyle w:val="FootnoteReference"/>
          <w:rFonts w:ascii="Trebuchet MS" w:hAnsi="Trebuchet MS"/>
          <w:sz w:val="18"/>
          <w:szCs w:val="18"/>
        </w:rPr>
        <w:footnoteRef/>
      </w:r>
      <w:r w:rsidRPr="00B939E5">
        <w:rPr>
          <w:rFonts w:ascii="Trebuchet MS" w:hAnsi="Trebuchet MS"/>
          <w:sz w:val="18"/>
          <w:szCs w:val="18"/>
          <w:lang w:val="en-GB"/>
        </w:rPr>
        <w:t xml:space="preserve"> </w:t>
      </w:r>
      <w:r w:rsidR="00F66BD4">
        <w:fldChar w:fldCharType="begin"/>
      </w:r>
      <w:r w:rsidR="00F66BD4" w:rsidRPr="002E323F">
        <w:rPr>
          <w:lang w:val="en-GB"/>
        </w:rPr>
        <w:instrText xml:space="preserve"> HYPERLINK "https://www.eapn.eu/wp-content/uploads/2020/07/EAPN-EAPN_REPORT_IMPACT_COVID19-4554.pdf" </w:instrText>
      </w:r>
      <w:r w:rsidR="00F66BD4">
        <w:fldChar w:fldCharType="separate"/>
      </w:r>
      <w:r w:rsidR="00D7166B" w:rsidRPr="0098035A">
        <w:rPr>
          <w:rStyle w:val="Hyperlink"/>
          <w:rFonts w:ascii="Trebuchet MS" w:hAnsi="Trebuchet MS"/>
          <w:sz w:val="18"/>
          <w:szCs w:val="18"/>
          <w:lang w:val="en-GB"/>
        </w:rPr>
        <w:t>Long-term Recommendations, EAPN Covid-19 report, July 2020, page 71.</w:t>
      </w:r>
      <w:r w:rsidR="00F66BD4">
        <w:rPr>
          <w:rStyle w:val="Hyperlink"/>
          <w:rFonts w:ascii="Trebuchet MS" w:hAnsi="Trebuchet MS"/>
          <w:sz w:val="18"/>
          <w:szCs w:val="18"/>
          <w:lang w:val="en-GB"/>
        </w:rPr>
        <w:fldChar w:fldCharType="end"/>
      </w:r>
    </w:p>
  </w:footnote>
  <w:footnote w:id="6">
    <w:p w14:paraId="5B5192D9" w14:textId="0CD7798E" w:rsidR="003368B5" w:rsidRPr="003368B5" w:rsidRDefault="003368B5" w:rsidP="003368B5">
      <w:pPr>
        <w:pStyle w:val="FootnoteText"/>
        <w:jc w:val="both"/>
        <w:rPr>
          <w:rFonts w:ascii="Trebuchet MS" w:hAnsi="Trebuchet MS"/>
          <w:sz w:val="18"/>
          <w:szCs w:val="18"/>
          <w:lang w:val="en-GB"/>
        </w:rPr>
      </w:pPr>
      <w:r w:rsidRPr="003368B5">
        <w:rPr>
          <w:rStyle w:val="FootnoteReference"/>
          <w:rFonts w:ascii="Trebuchet MS" w:hAnsi="Trebuchet MS"/>
          <w:sz w:val="18"/>
          <w:szCs w:val="18"/>
        </w:rPr>
        <w:footnoteRef/>
      </w:r>
      <w:r w:rsidRPr="003368B5">
        <w:rPr>
          <w:rFonts w:ascii="Trebuchet MS" w:hAnsi="Trebuchet MS"/>
          <w:sz w:val="18"/>
          <w:szCs w:val="18"/>
          <w:lang w:val="en-GB"/>
        </w:rPr>
        <w:t xml:space="preserve"> The European Commission is currently working on a Guidance on distributional impact assessment (EAPN Policy Conference, 29 June 2021. </w:t>
      </w:r>
    </w:p>
  </w:footnote>
  <w:footnote w:id="7">
    <w:p w14:paraId="702A2E82" w14:textId="77C32C76" w:rsidR="00B939E5" w:rsidRPr="00B939E5" w:rsidRDefault="00B939E5" w:rsidP="00C87487">
      <w:pPr>
        <w:pStyle w:val="FootnoteText"/>
        <w:jc w:val="both"/>
        <w:rPr>
          <w:rFonts w:ascii="Trebuchet MS" w:hAnsi="Trebuchet MS"/>
          <w:sz w:val="18"/>
          <w:szCs w:val="18"/>
          <w:lang w:val="en-GB"/>
        </w:rPr>
      </w:pPr>
      <w:r w:rsidRPr="00B939E5">
        <w:rPr>
          <w:rStyle w:val="FootnoteReference"/>
          <w:rFonts w:ascii="Trebuchet MS" w:hAnsi="Trebuchet MS"/>
          <w:sz w:val="18"/>
          <w:szCs w:val="18"/>
        </w:rPr>
        <w:footnoteRef/>
      </w:r>
      <w:r w:rsidRPr="00B939E5">
        <w:rPr>
          <w:rFonts w:ascii="Trebuchet MS" w:hAnsi="Trebuchet MS"/>
          <w:sz w:val="18"/>
          <w:szCs w:val="18"/>
          <w:lang w:val="en-GB"/>
        </w:rPr>
        <w:t xml:space="preserve"> </w:t>
      </w:r>
      <w:r w:rsidR="00F66BD4">
        <w:fldChar w:fldCharType="begin"/>
      </w:r>
      <w:r w:rsidR="00F66BD4" w:rsidRPr="002E323F">
        <w:rPr>
          <w:lang w:val="en-GB"/>
        </w:rPr>
        <w:instrText xml:space="preserve"> HYPERLINK "https://fra.europa.eu/sites/default/files/inequalities-discrimination-healthcare_en.pdf" </w:instrText>
      </w:r>
      <w:r w:rsidR="00F66BD4">
        <w:fldChar w:fldCharType="separate"/>
      </w:r>
      <w:r w:rsidR="00D7166B" w:rsidRPr="0098035A">
        <w:rPr>
          <w:rStyle w:val="Hyperlink"/>
          <w:rFonts w:ascii="Trebuchet MS" w:hAnsi="Trebuchet MS"/>
          <w:sz w:val="18"/>
          <w:szCs w:val="18"/>
          <w:lang w:val="en-GB"/>
        </w:rPr>
        <w:t>FRA, Inequalities and multiple discrimination in access to and quality of healthcare, 2013.</w:t>
      </w:r>
      <w:r w:rsidR="00F66BD4">
        <w:rPr>
          <w:rStyle w:val="Hyperlink"/>
          <w:rFonts w:ascii="Trebuchet MS" w:hAnsi="Trebuchet MS"/>
          <w:sz w:val="18"/>
          <w:szCs w:val="18"/>
          <w:lang w:val="en-GB"/>
        </w:rPr>
        <w:fldChar w:fldCharType="end"/>
      </w:r>
    </w:p>
  </w:footnote>
  <w:footnote w:id="8">
    <w:p w14:paraId="65032902" w14:textId="65BED707" w:rsidR="00391360" w:rsidRPr="00391360" w:rsidRDefault="00391360" w:rsidP="00C87487">
      <w:pPr>
        <w:pStyle w:val="FootnoteText"/>
        <w:jc w:val="both"/>
        <w:rPr>
          <w:rFonts w:ascii="Trebuchet MS" w:hAnsi="Trebuchet MS"/>
          <w:sz w:val="18"/>
          <w:szCs w:val="18"/>
          <w:lang w:val="en-GB"/>
        </w:rPr>
      </w:pPr>
      <w:r w:rsidRPr="00391360">
        <w:rPr>
          <w:rStyle w:val="FootnoteReference"/>
          <w:rFonts w:ascii="Trebuchet MS" w:hAnsi="Trebuchet MS"/>
          <w:sz w:val="18"/>
          <w:szCs w:val="18"/>
        </w:rPr>
        <w:footnoteRef/>
      </w:r>
      <w:r w:rsidRPr="0049610C">
        <w:rPr>
          <w:rFonts w:ascii="Trebuchet MS" w:hAnsi="Trebuchet MS"/>
          <w:sz w:val="18"/>
          <w:szCs w:val="18"/>
          <w:lang w:val="en-GB"/>
        </w:rPr>
        <w:t xml:space="preserve"> </w:t>
      </w:r>
      <w:r w:rsidR="00F66BD4">
        <w:fldChar w:fldCharType="begin"/>
      </w:r>
      <w:r w:rsidR="00F66BD4" w:rsidRPr="002E323F">
        <w:rPr>
          <w:lang w:val="en-GB"/>
        </w:rPr>
        <w:instrText xml:space="preserve"> HYPERLINK "https://www.europarl.europa.eu/factsheets/en/s</w:instrText>
      </w:r>
      <w:r w:rsidR="00F66BD4" w:rsidRPr="002E323F">
        <w:rPr>
          <w:lang w:val="en-GB"/>
        </w:rPr>
        <w:instrText xml:space="preserve">heet/64/digital-agenda-for-europe" </w:instrText>
      </w:r>
      <w:r w:rsidR="00F66BD4">
        <w:fldChar w:fldCharType="separate"/>
      </w:r>
      <w:r w:rsidR="00D7166B" w:rsidRPr="008D5FA0">
        <w:rPr>
          <w:rStyle w:val="Hyperlink"/>
          <w:rFonts w:ascii="Trebuchet MS" w:hAnsi="Trebuchet MS"/>
          <w:sz w:val="18"/>
          <w:szCs w:val="18"/>
          <w:lang w:val="en-GB"/>
        </w:rPr>
        <w:t>European Parliament, Digital Agenda for Europe, 2021.</w:t>
      </w:r>
      <w:r w:rsidR="00F66BD4">
        <w:rPr>
          <w:rStyle w:val="Hyperlink"/>
          <w:rFonts w:ascii="Trebuchet MS" w:hAnsi="Trebuchet MS"/>
          <w:sz w:val="18"/>
          <w:szCs w:val="18"/>
          <w:lang w:val="en-GB"/>
        </w:rPr>
        <w:fldChar w:fldCharType="end"/>
      </w:r>
    </w:p>
  </w:footnote>
  <w:footnote w:id="9">
    <w:p w14:paraId="75C4D4CE" w14:textId="41C8A84A" w:rsidR="003D0CAC" w:rsidRPr="00673300" w:rsidRDefault="003D0CAC" w:rsidP="00C87487">
      <w:pPr>
        <w:pStyle w:val="FootnoteText"/>
        <w:jc w:val="both"/>
        <w:rPr>
          <w:rFonts w:ascii="Trebuchet MS" w:hAnsi="Trebuchet MS"/>
          <w:sz w:val="18"/>
          <w:szCs w:val="18"/>
          <w:lang w:val="en-GB"/>
        </w:rPr>
      </w:pPr>
      <w:r w:rsidRPr="00673300">
        <w:rPr>
          <w:rStyle w:val="FootnoteReference"/>
          <w:rFonts w:ascii="Trebuchet MS" w:hAnsi="Trebuchet MS"/>
          <w:sz w:val="18"/>
          <w:szCs w:val="18"/>
        </w:rPr>
        <w:footnoteRef/>
      </w:r>
      <w:r w:rsidRPr="0049610C">
        <w:rPr>
          <w:rFonts w:ascii="Trebuchet MS" w:hAnsi="Trebuchet MS"/>
          <w:sz w:val="18"/>
          <w:szCs w:val="18"/>
          <w:lang w:val="en-GB"/>
        </w:rPr>
        <w:t xml:space="preserve"> </w:t>
      </w:r>
      <w:r w:rsidR="00F66BD4">
        <w:fldChar w:fldCharType="begin"/>
      </w:r>
      <w:r w:rsidR="00F66BD4" w:rsidRPr="002E323F">
        <w:rPr>
          <w:lang w:val="en-GB"/>
        </w:rPr>
        <w:instrText xml:space="preserve"> HYPERLINK "https://www.who.int/health-topics/social-determinants-of-health" \l "tab=tab_1" </w:instrText>
      </w:r>
      <w:r w:rsidR="00F66BD4">
        <w:fldChar w:fldCharType="separate"/>
      </w:r>
      <w:r w:rsidR="00D7166B" w:rsidRPr="0098035A">
        <w:rPr>
          <w:rStyle w:val="Hyperlink"/>
          <w:rFonts w:ascii="Trebuchet MS" w:hAnsi="Trebuchet MS"/>
          <w:sz w:val="18"/>
          <w:szCs w:val="18"/>
          <w:lang w:val="en-GB"/>
        </w:rPr>
        <w:t>WHO, Social Determinants of Health</w:t>
      </w:r>
      <w:r w:rsidR="00F66BD4">
        <w:rPr>
          <w:rStyle w:val="Hyperlink"/>
          <w:rFonts w:ascii="Trebuchet MS" w:hAnsi="Trebuchet MS"/>
          <w:sz w:val="18"/>
          <w:szCs w:val="18"/>
          <w:lang w:val="en-GB"/>
        </w:rPr>
        <w:fldChar w:fldCharType="end"/>
      </w:r>
      <w:r w:rsidR="00D7166B" w:rsidRPr="0049610C">
        <w:rPr>
          <w:rFonts w:ascii="Trebuchet MS" w:hAnsi="Trebuchet MS"/>
          <w:sz w:val="18"/>
          <w:szCs w:val="18"/>
          <w:lang w:val="en-GB"/>
        </w:rPr>
        <w:t xml:space="preserve"> </w:t>
      </w:r>
    </w:p>
  </w:footnote>
  <w:footnote w:id="10">
    <w:p w14:paraId="612BCC42" w14:textId="1254D9F2" w:rsidR="00D84813" w:rsidRPr="00D84813" w:rsidRDefault="00D84813" w:rsidP="00C87487">
      <w:pPr>
        <w:pStyle w:val="FootnoteText"/>
        <w:jc w:val="both"/>
        <w:rPr>
          <w:rFonts w:ascii="Trebuchet MS" w:hAnsi="Trebuchet MS"/>
          <w:sz w:val="18"/>
          <w:szCs w:val="18"/>
          <w:lang w:val="en-GB"/>
        </w:rPr>
      </w:pPr>
      <w:r w:rsidRPr="00D84813">
        <w:rPr>
          <w:rStyle w:val="FootnoteReference"/>
          <w:rFonts w:ascii="Trebuchet MS" w:hAnsi="Trebuchet MS"/>
          <w:sz w:val="18"/>
          <w:szCs w:val="18"/>
        </w:rPr>
        <w:footnoteRef/>
      </w:r>
      <w:r w:rsidRPr="00D84813">
        <w:rPr>
          <w:rFonts w:ascii="Trebuchet MS" w:hAnsi="Trebuchet MS"/>
          <w:sz w:val="18"/>
          <w:szCs w:val="18"/>
          <w:lang w:val="en-GB"/>
        </w:rPr>
        <w:t xml:space="preserve"> </w:t>
      </w:r>
      <w:r w:rsidR="00F66BD4">
        <w:fldChar w:fldCharType="begin"/>
      </w:r>
      <w:r w:rsidR="00F66BD4" w:rsidRPr="002E323F">
        <w:rPr>
          <w:lang w:val="en-GB"/>
        </w:rPr>
        <w:instrText xml:space="preserve"> HYPERLINK "https://epha.org/wp-content/uploads/2020/07/green-deal-briefing.pdf" </w:instrText>
      </w:r>
      <w:r w:rsidR="00F66BD4">
        <w:fldChar w:fldCharType="separate"/>
      </w:r>
      <w:r w:rsidRPr="00D7166B">
        <w:rPr>
          <w:rStyle w:val="Hyperlink"/>
          <w:rFonts w:ascii="Trebuchet MS" w:hAnsi="Trebuchet MS"/>
          <w:sz w:val="18"/>
          <w:szCs w:val="18"/>
          <w:lang w:val="en-GB"/>
        </w:rPr>
        <w:t>EPHA, a Healthy European Green Deal?, July 2020.</w:t>
      </w:r>
      <w:r w:rsidR="00F66BD4">
        <w:rPr>
          <w:rStyle w:val="Hyperlink"/>
          <w:rFonts w:ascii="Trebuchet MS" w:hAnsi="Trebuchet MS"/>
          <w:sz w:val="18"/>
          <w:szCs w:val="18"/>
          <w:lang w:val="en-GB"/>
        </w:rPr>
        <w:fldChar w:fldCharType="end"/>
      </w:r>
      <w:r w:rsidRPr="00D84813">
        <w:rPr>
          <w:rFonts w:ascii="Trebuchet MS" w:hAnsi="Trebuchet MS"/>
          <w:sz w:val="18"/>
          <w:szCs w:val="18"/>
          <w:lang w:val="en-GB"/>
        </w:rPr>
        <w:t xml:space="preserve"> </w:t>
      </w:r>
    </w:p>
  </w:footnote>
  <w:footnote w:id="11">
    <w:p w14:paraId="4513CD4A" w14:textId="738E4265" w:rsidR="00FA42B5" w:rsidRPr="00FA42B5" w:rsidRDefault="00FA42B5" w:rsidP="00C87487">
      <w:pPr>
        <w:pStyle w:val="FootnoteText"/>
        <w:jc w:val="both"/>
        <w:rPr>
          <w:rFonts w:ascii="Trebuchet MS" w:hAnsi="Trebuchet MS"/>
          <w:sz w:val="18"/>
          <w:szCs w:val="18"/>
          <w:lang w:val="en-GB"/>
        </w:rPr>
      </w:pPr>
      <w:r w:rsidRPr="00FA42B5">
        <w:rPr>
          <w:rStyle w:val="FootnoteReference"/>
          <w:rFonts w:ascii="Trebuchet MS" w:hAnsi="Trebuchet MS"/>
          <w:sz w:val="18"/>
          <w:szCs w:val="18"/>
        </w:rPr>
        <w:footnoteRef/>
      </w:r>
      <w:r w:rsidR="00C87487">
        <w:rPr>
          <w:rFonts w:ascii="Trebuchet MS" w:hAnsi="Trebuchet MS"/>
          <w:sz w:val="18"/>
          <w:szCs w:val="18"/>
          <w:lang w:val="en-GB"/>
        </w:rPr>
        <w:t xml:space="preserve"> </w:t>
      </w:r>
      <w:r w:rsidR="00F66BD4">
        <w:fldChar w:fldCharType="begin"/>
      </w:r>
      <w:r w:rsidR="00F66BD4" w:rsidRPr="002E323F">
        <w:rPr>
          <w:lang w:val="en-GB"/>
        </w:rPr>
        <w:instrText xml:space="preserve"> HYPERLINK "https://www.eapn.eu/wp-content/uploads/2017/07/EAPN-handbook-energy-poverty-2016-1235.pdf" </w:instrText>
      </w:r>
      <w:r w:rsidR="00F66BD4">
        <w:fldChar w:fldCharType="separate"/>
      </w:r>
      <w:r w:rsidR="00D7166B" w:rsidRPr="007D42C6">
        <w:rPr>
          <w:rStyle w:val="Hyperlink"/>
          <w:rFonts w:ascii="Trebuchet MS" w:hAnsi="Trebuchet MS"/>
          <w:sz w:val="18"/>
          <w:szCs w:val="18"/>
          <w:lang w:val="en-GB"/>
        </w:rPr>
        <w:t>EAPN, Energy Poverty Handbook, November 2016;</w:t>
      </w:r>
      <w:r w:rsidR="00F66BD4">
        <w:rPr>
          <w:rStyle w:val="Hyperlink"/>
          <w:rFonts w:ascii="Trebuchet MS" w:hAnsi="Trebuchet MS"/>
          <w:sz w:val="18"/>
          <w:szCs w:val="18"/>
          <w:lang w:val="en-GB"/>
        </w:rPr>
        <w:fldChar w:fldCharType="end"/>
      </w:r>
      <w:r w:rsidR="00D7166B" w:rsidRPr="00FA42B5">
        <w:rPr>
          <w:rFonts w:ascii="Trebuchet MS" w:hAnsi="Trebuchet MS"/>
          <w:sz w:val="18"/>
          <w:szCs w:val="18"/>
          <w:lang w:val="en-GB"/>
        </w:rPr>
        <w:t xml:space="preserve"> </w:t>
      </w:r>
      <w:hyperlink r:id="rId2" w:history="1">
        <w:r w:rsidR="00D7166B" w:rsidRPr="007D42C6">
          <w:rPr>
            <w:rStyle w:val="Hyperlink"/>
            <w:rFonts w:ascii="Trebuchet MS" w:hAnsi="Trebuchet MS"/>
            <w:sz w:val="18"/>
            <w:szCs w:val="18"/>
            <w:lang w:val="en-GB"/>
          </w:rPr>
          <w:t>EAPN, Working for a Green and Social Deal that ends poverty!, January 2020</w:t>
        </w:r>
      </w:hyperlink>
      <w:r w:rsidR="00D7166B" w:rsidRPr="00FA42B5">
        <w:rPr>
          <w:rFonts w:ascii="Trebuchet MS" w:hAnsi="Trebuchet MS"/>
          <w:sz w:val="18"/>
          <w:szCs w:val="18"/>
          <w:lang w:val="en-GB"/>
        </w:rPr>
        <w:t>.</w:t>
      </w:r>
    </w:p>
  </w:footnote>
  <w:footnote w:id="12">
    <w:p w14:paraId="2B4A32EE" w14:textId="0829556E" w:rsidR="00915A9D" w:rsidRPr="00915A9D" w:rsidRDefault="00915A9D" w:rsidP="00C87487">
      <w:pPr>
        <w:pStyle w:val="FootnoteText"/>
        <w:jc w:val="both"/>
        <w:rPr>
          <w:rFonts w:ascii="Trebuchet MS" w:hAnsi="Trebuchet MS"/>
          <w:sz w:val="18"/>
          <w:szCs w:val="18"/>
          <w:lang w:val="en-GB"/>
        </w:rPr>
      </w:pPr>
      <w:r w:rsidRPr="00915A9D">
        <w:rPr>
          <w:rStyle w:val="FootnoteReference"/>
          <w:rFonts w:ascii="Trebuchet MS" w:hAnsi="Trebuchet MS"/>
          <w:sz w:val="18"/>
          <w:szCs w:val="18"/>
        </w:rPr>
        <w:footnoteRef/>
      </w:r>
      <w:r w:rsidRPr="00915A9D">
        <w:rPr>
          <w:rFonts w:ascii="Trebuchet MS" w:hAnsi="Trebuchet MS"/>
          <w:sz w:val="18"/>
          <w:szCs w:val="18"/>
          <w:lang w:val="en-GB"/>
        </w:rPr>
        <w:t xml:space="preserve"> </w:t>
      </w:r>
      <w:r w:rsidR="00F66BD4">
        <w:fldChar w:fldCharType="begin"/>
      </w:r>
      <w:r w:rsidR="00F66BD4" w:rsidRPr="002E323F">
        <w:rPr>
          <w:lang w:val="en-GB"/>
        </w:rPr>
        <w:instrText xml:space="preserve"> HYPERLINK "https://ec.europa.eu/info/to</w:instrText>
      </w:r>
      <w:r w:rsidR="00F66BD4" w:rsidRPr="002E323F">
        <w:rPr>
          <w:lang w:val="en-GB"/>
        </w:rPr>
        <w:instrText xml:space="preserve">pics/single-market/services-general-interest_en" </w:instrText>
      </w:r>
      <w:r w:rsidR="00F66BD4">
        <w:fldChar w:fldCharType="separate"/>
      </w:r>
      <w:r w:rsidRPr="00D7166B">
        <w:rPr>
          <w:rStyle w:val="Hyperlink"/>
          <w:rFonts w:ascii="Trebuchet MS" w:hAnsi="Trebuchet MS"/>
          <w:sz w:val="18"/>
          <w:szCs w:val="18"/>
          <w:lang w:val="en-GB"/>
        </w:rPr>
        <w:t>European Commission, services of general interest.</w:t>
      </w:r>
      <w:r w:rsidR="00F66BD4">
        <w:rPr>
          <w:rStyle w:val="Hyperlink"/>
          <w:rFonts w:ascii="Trebuchet MS" w:hAnsi="Trebuchet MS"/>
          <w:sz w:val="18"/>
          <w:szCs w:val="18"/>
          <w:lang w:val="en-GB"/>
        </w:rPr>
        <w:fldChar w:fldCharType="end"/>
      </w:r>
    </w:p>
  </w:footnote>
  <w:footnote w:id="13">
    <w:p w14:paraId="1228AB1B" w14:textId="7EDFC477" w:rsidR="009E245B" w:rsidRPr="009E245B" w:rsidRDefault="009E245B" w:rsidP="00885389">
      <w:pPr>
        <w:pStyle w:val="FootnoteText"/>
        <w:jc w:val="both"/>
        <w:rPr>
          <w:rFonts w:ascii="Trebuchet MS" w:hAnsi="Trebuchet MS"/>
          <w:sz w:val="18"/>
          <w:szCs w:val="18"/>
          <w:lang w:val="en-GB"/>
        </w:rPr>
      </w:pPr>
      <w:r w:rsidRPr="009E245B">
        <w:rPr>
          <w:rStyle w:val="FootnoteReference"/>
          <w:rFonts w:ascii="Trebuchet MS" w:hAnsi="Trebuchet MS"/>
          <w:sz w:val="18"/>
          <w:szCs w:val="18"/>
        </w:rPr>
        <w:footnoteRef/>
      </w:r>
      <w:r w:rsidRPr="009E245B">
        <w:rPr>
          <w:rFonts w:ascii="Trebuchet MS" w:hAnsi="Trebuchet MS"/>
          <w:sz w:val="18"/>
          <w:szCs w:val="18"/>
          <w:lang w:val="en-GB"/>
        </w:rPr>
        <w:t xml:space="preserve"> </w:t>
      </w:r>
      <w:r w:rsidR="00F66BD4">
        <w:fldChar w:fldCharType="begin"/>
      </w:r>
      <w:r w:rsidR="00F66BD4" w:rsidRPr="002E323F">
        <w:rPr>
          <w:lang w:val="en-GB"/>
        </w:rPr>
        <w:instrText xml:space="preserve"> HYPERLINK "https://www.eapn.eu/wp-content/uploads/2020/08/EAPN-EAPN_Education_Training_Lifelong_Learning_Paper-4596.pdf" </w:instrText>
      </w:r>
      <w:r w:rsidR="00F66BD4">
        <w:fldChar w:fldCharType="separate"/>
      </w:r>
      <w:r w:rsidRPr="005117C6">
        <w:rPr>
          <w:rStyle w:val="Hyperlink"/>
          <w:rFonts w:ascii="Trebuchet MS" w:hAnsi="Trebuchet MS"/>
          <w:sz w:val="18"/>
          <w:szCs w:val="18"/>
          <w:lang w:val="en-GB"/>
        </w:rPr>
        <w:t>EAPN, Leaving Nobody Behind, Prevention and Reduction of Poverty and Social Exclusion through Education, Vocational Training and Lifelong Learning, March 2020.</w:t>
      </w:r>
      <w:r w:rsidR="00F66BD4">
        <w:rPr>
          <w:rStyle w:val="Hyperlink"/>
          <w:rFonts w:ascii="Trebuchet MS" w:hAnsi="Trebuchet MS"/>
          <w:sz w:val="18"/>
          <w:szCs w:val="18"/>
          <w:lang w:val="en-GB"/>
        </w:rPr>
        <w:fldChar w:fldCharType="end"/>
      </w:r>
    </w:p>
  </w:footnote>
  <w:footnote w:id="14">
    <w:p w14:paraId="30BFE254" w14:textId="67979935" w:rsidR="00CE1A28" w:rsidRPr="00CE1A28" w:rsidRDefault="00CE1A28" w:rsidP="00885389">
      <w:pPr>
        <w:pStyle w:val="FootnoteText"/>
        <w:jc w:val="both"/>
        <w:rPr>
          <w:rFonts w:ascii="Trebuchet MS" w:hAnsi="Trebuchet MS"/>
          <w:sz w:val="18"/>
          <w:szCs w:val="18"/>
          <w:lang w:val="en-GB"/>
        </w:rPr>
      </w:pPr>
      <w:r w:rsidRPr="00CE1A28">
        <w:rPr>
          <w:rStyle w:val="FootnoteReference"/>
          <w:rFonts w:ascii="Trebuchet MS" w:hAnsi="Trebuchet MS"/>
          <w:sz w:val="18"/>
          <w:szCs w:val="18"/>
        </w:rPr>
        <w:footnoteRef/>
      </w:r>
      <w:r w:rsidRPr="00CE1A28">
        <w:rPr>
          <w:rFonts w:ascii="Trebuchet MS" w:hAnsi="Trebuchet MS"/>
          <w:sz w:val="18"/>
          <w:szCs w:val="18"/>
          <w:lang w:val="en-GB"/>
        </w:rPr>
        <w:t xml:space="preserve"> High-level webinar on equal opportunities for children: 9 November 2021.</w:t>
      </w:r>
    </w:p>
  </w:footnote>
  <w:footnote w:id="15">
    <w:p w14:paraId="5F90D763" w14:textId="2FC005F9" w:rsidR="00715154" w:rsidRPr="00715154" w:rsidRDefault="00715154" w:rsidP="003C496F">
      <w:pPr>
        <w:pStyle w:val="FootnoteText"/>
        <w:jc w:val="both"/>
        <w:rPr>
          <w:rFonts w:ascii="Trebuchet MS" w:hAnsi="Trebuchet MS"/>
          <w:sz w:val="18"/>
          <w:szCs w:val="18"/>
          <w:lang w:val="en-GB"/>
        </w:rPr>
      </w:pPr>
      <w:r w:rsidRPr="00715154">
        <w:rPr>
          <w:rStyle w:val="FootnoteReference"/>
          <w:rFonts w:ascii="Trebuchet MS" w:hAnsi="Trebuchet MS"/>
          <w:sz w:val="18"/>
          <w:szCs w:val="18"/>
        </w:rPr>
        <w:footnoteRef/>
      </w:r>
      <w:r w:rsidRPr="00715154">
        <w:rPr>
          <w:rFonts w:ascii="Trebuchet MS" w:hAnsi="Trebuchet MS"/>
          <w:sz w:val="18"/>
          <w:szCs w:val="18"/>
          <w:lang w:val="en-GB"/>
        </w:rPr>
        <w:t xml:space="preserve"> </w:t>
      </w:r>
      <w:r w:rsidR="00F66BD4">
        <w:fldChar w:fldCharType="begin"/>
      </w:r>
      <w:r w:rsidR="00F66BD4" w:rsidRPr="002E323F">
        <w:rPr>
          <w:lang w:val="en-GB"/>
        </w:rPr>
        <w:instrText xml:space="preserve"> HYPERLINK "https://www.eapn.eu/wp-content/uploads/2020/01/EAPN-EAPN-Response-to-the-Annual-Sustainable-Growth-Strategy-2020-4040.pdf" </w:instrText>
      </w:r>
      <w:r w:rsidR="00F66BD4">
        <w:fldChar w:fldCharType="separate"/>
      </w:r>
      <w:r w:rsidR="005117C6" w:rsidRPr="00097340">
        <w:rPr>
          <w:rStyle w:val="Hyperlink"/>
          <w:rFonts w:ascii="Trebuchet MS" w:hAnsi="Trebuchet MS"/>
          <w:sz w:val="18"/>
          <w:szCs w:val="18"/>
          <w:lang w:val="en-GB"/>
        </w:rPr>
        <w:t>EAPN, Working for a Green and Social Deal that ends poverty!, January 2020</w:t>
      </w:r>
      <w:r w:rsidR="00F66BD4">
        <w:rPr>
          <w:rStyle w:val="Hyperlink"/>
          <w:rFonts w:ascii="Trebuchet MS" w:hAnsi="Trebuchet MS"/>
          <w:sz w:val="18"/>
          <w:szCs w:val="18"/>
          <w:lang w:val="en-GB"/>
        </w:rPr>
        <w:fldChar w:fldCharType="end"/>
      </w:r>
      <w:r w:rsidR="005117C6" w:rsidRPr="00715154">
        <w:rPr>
          <w:rFonts w:ascii="Trebuchet MS" w:hAnsi="Trebuchet MS"/>
          <w:sz w:val="18"/>
          <w:szCs w:val="18"/>
          <w:lang w:val="en-GB"/>
        </w:rPr>
        <w:t xml:space="preserve">; </w:t>
      </w:r>
      <w:hyperlink r:id="rId3" w:history="1">
        <w:r w:rsidR="005117C6" w:rsidRPr="00097340">
          <w:rPr>
            <w:rStyle w:val="Hyperlink"/>
            <w:rFonts w:ascii="Trebuchet MS" w:hAnsi="Trebuchet MS"/>
            <w:sz w:val="18"/>
            <w:szCs w:val="18"/>
            <w:lang w:val="en-GB"/>
          </w:rPr>
          <w:t>EAPN Key messages on the European Green Deal and the “Just Transition”, June 2020.</w:t>
        </w:r>
      </w:hyperlink>
    </w:p>
  </w:footnote>
  <w:footnote w:id="16">
    <w:p w14:paraId="1A57CB6C" w14:textId="62C99F7D" w:rsidR="00CF00F8" w:rsidRPr="00400333" w:rsidRDefault="00CF00F8" w:rsidP="0091344A">
      <w:pPr>
        <w:pStyle w:val="FootnoteText"/>
        <w:jc w:val="both"/>
        <w:rPr>
          <w:lang w:val="en-GB"/>
        </w:rPr>
      </w:pPr>
      <w:r>
        <w:rPr>
          <w:rStyle w:val="FootnoteReference"/>
        </w:rPr>
        <w:footnoteRef/>
      </w:r>
      <w:r w:rsidRPr="00400333">
        <w:rPr>
          <w:lang w:val="en-GB"/>
        </w:rPr>
        <w:t xml:space="preserve"> </w:t>
      </w:r>
      <w:r w:rsidR="00F66BD4">
        <w:fldChar w:fldCharType="begin"/>
      </w:r>
      <w:r w:rsidR="00F66BD4" w:rsidRPr="002E323F">
        <w:rPr>
          <w:lang w:val="en-GB"/>
        </w:rPr>
        <w:instrText xml:space="preserve"> HYPERL</w:instrText>
      </w:r>
      <w:r w:rsidR="00F66BD4" w:rsidRPr="002E323F">
        <w:rPr>
          <w:lang w:val="en-GB"/>
        </w:rPr>
        <w:instrText xml:space="preserve">INK "https://docs.google.com/presentation/d/1W52msZ0TBco4EjB3qMRju0A-32LnAE7P5F3wijyKS7U/edit" \l "slide=id.ge0cdb596ac_0_980" </w:instrText>
      </w:r>
      <w:r w:rsidR="00F66BD4">
        <w:fldChar w:fldCharType="separate"/>
      </w:r>
      <w:r w:rsidRPr="00400333">
        <w:rPr>
          <w:rStyle w:val="Hyperlink"/>
          <w:rFonts w:ascii="Trebuchet MS" w:hAnsi="Trebuchet MS"/>
          <w:sz w:val="18"/>
          <w:szCs w:val="18"/>
          <w:lang w:val="en-GB"/>
        </w:rPr>
        <w:t>R2E Coalition Position on Fit for 55 package</w:t>
      </w:r>
      <w:r w:rsidR="00F66BD4">
        <w:rPr>
          <w:rStyle w:val="Hyperlink"/>
          <w:rFonts w:ascii="Trebuchet MS" w:hAnsi="Trebuchet MS"/>
          <w:sz w:val="18"/>
          <w:szCs w:val="18"/>
          <w:lang w:val="en-GB"/>
        </w:rPr>
        <w:fldChar w:fldCharType="end"/>
      </w:r>
      <w:r w:rsidRPr="00400333">
        <w:rPr>
          <w:rFonts w:ascii="Trebuchet MS" w:hAnsi="Trebuchet MS"/>
          <w:sz w:val="18"/>
          <w:szCs w:val="18"/>
          <w:lang w:val="en-GB"/>
        </w:rPr>
        <w:t>.</w:t>
      </w:r>
    </w:p>
  </w:footnote>
  <w:footnote w:id="17">
    <w:p w14:paraId="2135DFC1" w14:textId="2E3F1C15" w:rsidR="00AE2533" w:rsidRPr="00AE2533" w:rsidRDefault="00AE2533" w:rsidP="0091344A">
      <w:pPr>
        <w:pStyle w:val="FootnoteText"/>
        <w:jc w:val="both"/>
        <w:rPr>
          <w:rFonts w:ascii="Trebuchet MS" w:hAnsi="Trebuchet MS"/>
          <w:sz w:val="18"/>
          <w:szCs w:val="18"/>
          <w:lang w:val="en-GB"/>
        </w:rPr>
      </w:pPr>
      <w:r w:rsidRPr="00AE2533">
        <w:rPr>
          <w:rStyle w:val="FootnoteReference"/>
          <w:rFonts w:ascii="Trebuchet MS" w:hAnsi="Trebuchet MS"/>
          <w:sz w:val="18"/>
          <w:szCs w:val="18"/>
        </w:rPr>
        <w:footnoteRef/>
      </w:r>
      <w:r w:rsidRPr="00AE2533">
        <w:rPr>
          <w:rFonts w:ascii="Trebuchet MS" w:hAnsi="Trebuchet MS"/>
          <w:sz w:val="18"/>
          <w:szCs w:val="18"/>
          <w:lang w:val="en-GB"/>
        </w:rPr>
        <w:t xml:space="preserve"> Right2Energy Coalition</w:t>
      </w:r>
      <w:r w:rsidR="003C496F">
        <w:rPr>
          <w:rFonts w:ascii="Trebuchet MS" w:hAnsi="Trebuchet MS"/>
          <w:sz w:val="18"/>
          <w:szCs w:val="18"/>
          <w:lang w:val="en-GB"/>
        </w:rPr>
        <w:t xml:space="preserve"> working document</w:t>
      </w:r>
      <w:r w:rsidRPr="00AE2533">
        <w:rPr>
          <w:rFonts w:ascii="Trebuchet MS" w:hAnsi="Trebuchet MS"/>
          <w:sz w:val="18"/>
          <w:szCs w:val="18"/>
          <w:lang w:val="en-GB"/>
        </w:rPr>
        <w:t>, the Energy Efficiency Directive: How it can deliver for Europe’s energy poor.</w:t>
      </w:r>
    </w:p>
  </w:footnote>
  <w:footnote w:id="18">
    <w:p w14:paraId="291ED7C6" w14:textId="01A1D6CB" w:rsidR="00CF00F8" w:rsidRPr="00CF00F8" w:rsidRDefault="00CF00F8" w:rsidP="0091344A">
      <w:pPr>
        <w:pStyle w:val="FootnoteText"/>
        <w:jc w:val="both"/>
        <w:rPr>
          <w:rFonts w:ascii="Trebuchet MS" w:hAnsi="Trebuchet MS"/>
          <w:sz w:val="18"/>
          <w:szCs w:val="18"/>
          <w:lang w:val="en-GB"/>
        </w:rPr>
      </w:pPr>
      <w:r w:rsidRPr="00CF00F8">
        <w:rPr>
          <w:rStyle w:val="FootnoteReference"/>
          <w:rFonts w:ascii="Trebuchet MS" w:hAnsi="Trebuchet MS"/>
          <w:sz w:val="18"/>
          <w:szCs w:val="18"/>
        </w:rPr>
        <w:footnoteRef/>
      </w:r>
      <w:r w:rsidRPr="00CF00F8">
        <w:rPr>
          <w:rFonts w:ascii="Trebuchet MS" w:hAnsi="Trebuchet MS"/>
          <w:sz w:val="18"/>
          <w:szCs w:val="18"/>
          <w:lang w:val="en-GB"/>
        </w:rPr>
        <w:t xml:space="preserve"> R2E Coalition updates, 1 July 2021.</w:t>
      </w:r>
    </w:p>
  </w:footnote>
  <w:footnote w:id="19">
    <w:p w14:paraId="63052C05" w14:textId="4FBC736C" w:rsidR="007C1A20" w:rsidRPr="00C3075C" w:rsidRDefault="007C1A20" w:rsidP="0091344A">
      <w:pPr>
        <w:pStyle w:val="FootnoteText"/>
        <w:jc w:val="both"/>
        <w:rPr>
          <w:rFonts w:ascii="Trebuchet MS" w:hAnsi="Trebuchet MS"/>
          <w:sz w:val="18"/>
          <w:szCs w:val="18"/>
          <w:lang w:val="en-GB"/>
        </w:rPr>
      </w:pPr>
      <w:r w:rsidRPr="007C1A20">
        <w:rPr>
          <w:rStyle w:val="FootnoteReference"/>
          <w:rFonts w:ascii="Trebuchet MS" w:hAnsi="Trebuchet MS"/>
          <w:sz w:val="18"/>
          <w:szCs w:val="18"/>
        </w:rPr>
        <w:footnoteRef/>
      </w:r>
      <w:r w:rsidRPr="007C1A20">
        <w:rPr>
          <w:rFonts w:ascii="Trebuchet MS" w:hAnsi="Trebuchet MS"/>
          <w:sz w:val="18"/>
          <w:szCs w:val="18"/>
          <w:lang w:val="en-GB"/>
        </w:rPr>
        <w:t xml:space="preserve"> </w:t>
      </w:r>
      <w:r w:rsidR="00F66BD4">
        <w:fldChar w:fldCharType="begin"/>
      </w:r>
      <w:r w:rsidR="00F66BD4" w:rsidRPr="002E323F">
        <w:rPr>
          <w:lang w:val="en-GB"/>
        </w:rPr>
        <w:instrText xml:space="preserve"> HYPERLINK "https://www.eapn.eu/wp-content/uploads/2020/12/EAPN-R2E-Coalition-Energy-Forum-2020-WS-WPWBGT-DataDemands-EAPN-4906.pdf" </w:instrText>
      </w:r>
      <w:r w:rsidR="00F66BD4">
        <w:fldChar w:fldCharType="separate"/>
      </w:r>
      <w:r w:rsidR="005117C6" w:rsidRPr="00C3075C">
        <w:rPr>
          <w:rStyle w:val="Hyperlink"/>
          <w:rFonts w:ascii="Trebuchet MS" w:hAnsi="Trebuchet MS"/>
          <w:sz w:val="18"/>
          <w:szCs w:val="18"/>
          <w:lang w:val="en-GB"/>
        </w:rPr>
        <w:t>R2E Coalition Energy Forum 2020 Workshop, Who pays and who benefits in the energy transition?;</w:t>
      </w:r>
      <w:r w:rsidR="00F66BD4">
        <w:rPr>
          <w:rStyle w:val="Hyperlink"/>
          <w:rFonts w:ascii="Trebuchet MS" w:hAnsi="Trebuchet MS"/>
          <w:sz w:val="18"/>
          <w:szCs w:val="18"/>
          <w:lang w:val="en-GB"/>
        </w:rPr>
        <w:fldChar w:fldCharType="end"/>
      </w:r>
      <w:r w:rsidR="005117C6" w:rsidRPr="00C3075C">
        <w:rPr>
          <w:rFonts w:ascii="Trebuchet MS" w:hAnsi="Trebuchet MS"/>
          <w:sz w:val="18"/>
          <w:szCs w:val="18"/>
          <w:lang w:val="en-GB"/>
        </w:rPr>
        <w:t xml:space="preserve"> </w:t>
      </w:r>
      <w:hyperlink r:id="rId4" w:history="1">
        <w:r w:rsidR="005117C6" w:rsidRPr="00C3075C">
          <w:rPr>
            <w:rStyle w:val="Hyperlink"/>
            <w:rFonts w:ascii="Trebuchet MS" w:hAnsi="Trebuchet MS"/>
            <w:sz w:val="18"/>
            <w:szCs w:val="18"/>
            <w:lang w:val="en-GB"/>
          </w:rPr>
          <w:t>EPSU, EAPN, Right to Energy for all Europeans, March 2017.</w:t>
        </w:r>
      </w:hyperlink>
    </w:p>
  </w:footnote>
  <w:footnote w:id="20">
    <w:p w14:paraId="7A6A2DB6" w14:textId="00B1166F" w:rsidR="00C3075C" w:rsidRPr="00C3075C" w:rsidRDefault="00C3075C" w:rsidP="0091344A">
      <w:pPr>
        <w:pStyle w:val="FootnoteText"/>
        <w:jc w:val="both"/>
        <w:rPr>
          <w:lang w:val="en-GB"/>
        </w:rPr>
      </w:pPr>
      <w:r w:rsidRPr="00C3075C">
        <w:rPr>
          <w:rStyle w:val="FootnoteReference"/>
          <w:rFonts w:ascii="Trebuchet MS" w:hAnsi="Trebuchet MS"/>
          <w:sz w:val="18"/>
          <w:szCs w:val="18"/>
        </w:rPr>
        <w:footnoteRef/>
      </w:r>
      <w:r w:rsidRPr="00C3075C">
        <w:rPr>
          <w:rFonts w:ascii="Trebuchet MS" w:hAnsi="Trebuchet MS"/>
          <w:sz w:val="18"/>
          <w:szCs w:val="18"/>
          <w:lang w:val="en-GB"/>
        </w:rPr>
        <w:t xml:space="preserve"> JRC, </w:t>
      </w:r>
      <w:r w:rsidR="00F66BD4">
        <w:fldChar w:fldCharType="begin"/>
      </w:r>
      <w:r w:rsidR="00F66BD4" w:rsidRPr="002E323F">
        <w:rPr>
          <w:lang w:val="en-GB"/>
        </w:rPr>
        <w:instrText xml:space="preserve"> HYPERLINK "https://publications.jrc.ec.europa.eu/repository/handle/JRC119433" </w:instrText>
      </w:r>
      <w:r w:rsidR="00F66BD4">
        <w:fldChar w:fldCharType="separate"/>
      </w:r>
      <w:r w:rsidRPr="00C3075C">
        <w:rPr>
          <w:rStyle w:val="Hyperlink"/>
          <w:rFonts w:ascii="Trebuchet MS" w:hAnsi="Trebuchet MS"/>
          <w:sz w:val="18"/>
          <w:szCs w:val="18"/>
          <w:lang w:val="en-GB"/>
        </w:rPr>
        <w:t>Energy communities: an overview of energy and social innovation</w:t>
      </w:r>
      <w:r w:rsidR="00F66BD4">
        <w:rPr>
          <w:rStyle w:val="Hyperlink"/>
          <w:rFonts w:ascii="Trebuchet MS" w:hAnsi="Trebuchet MS"/>
          <w:sz w:val="18"/>
          <w:szCs w:val="18"/>
          <w:lang w:val="en-GB"/>
        </w:rPr>
        <w:fldChar w:fldCharType="end"/>
      </w:r>
      <w:r w:rsidRPr="00C3075C">
        <w:rPr>
          <w:rFonts w:ascii="Trebuchet MS" w:hAnsi="Trebuchet MS"/>
          <w:sz w:val="18"/>
          <w:szCs w:val="18"/>
          <w:lang w:val="en-GB"/>
        </w:rPr>
        <w:t>.</w:t>
      </w:r>
    </w:p>
  </w:footnote>
  <w:footnote w:id="21">
    <w:p w14:paraId="72E7FE72" w14:textId="364D347C" w:rsidR="00C410CE" w:rsidRPr="00C410CE" w:rsidRDefault="00C410CE">
      <w:pPr>
        <w:pStyle w:val="FootnoteText"/>
        <w:rPr>
          <w:lang w:val="en-GB"/>
        </w:rPr>
      </w:pPr>
      <w:r>
        <w:rPr>
          <w:rStyle w:val="FootnoteReference"/>
        </w:rPr>
        <w:footnoteRef/>
      </w:r>
      <w:r w:rsidRPr="00C410CE">
        <w:rPr>
          <w:lang w:val="en-GB"/>
        </w:rPr>
        <w:t xml:space="preserve"> </w:t>
      </w:r>
      <w:hyperlink r:id="rId5" w:history="1">
        <w:r w:rsidRPr="00C410CE">
          <w:rPr>
            <w:rStyle w:val="Hyperlink"/>
            <w:rFonts w:ascii="Trebuchet MS" w:hAnsi="Trebuchet MS"/>
            <w:sz w:val="18"/>
            <w:szCs w:val="18"/>
            <w:lang w:val="en-GB"/>
          </w:rPr>
          <w:t>PICUM, Data Protection and Digital Technologies.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A2E2" w14:textId="26714EFA" w:rsidR="00C94462" w:rsidRDefault="00C94462">
    <w:pPr>
      <w:pStyle w:val="Header"/>
    </w:pPr>
    <w:r>
      <w:t>MiT_</w:t>
    </w:r>
    <w:r w:rsidR="002B5BE7">
      <w:t>30</w:t>
    </w:r>
    <w:r w:rsidR="00E411DA">
      <w:t>06</w:t>
    </w:r>
    <w:r>
      <w:t>20</w:t>
    </w:r>
    <w:r w:rsidR="00E411DA">
      <w:t>21</w:t>
    </w:r>
    <w:r w:rsidR="002E323F">
      <w:tab/>
    </w:r>
    <w:r w:rsidR="002E323F">
      <w:tab/>
      <w:t>3a</w:t>
    </w:r>
  </w:p>
  <w:p w14:paraId="57E8A0DD" w14:textId="54459EB7" w:rsidR="00B0322D" w:rsidRDefault="00B03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D58"/>
    <w:multiLevelType w:val="hybridMultilevel"/>
    <w:tmpl w:val="A90A696A"/>
    <w:lvl w:ilvl="0" w:tplc="D138FA3E">
      <w:numFmt w:val="bullet"/>
      <w:lvlText w:val="-"/>
      <w:lvlJc w:val="left"/>
      <w:pPr>
        <w:ind w:left="717"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61496"/>
    <w:multiLevelType w:val="hybridMultilevel"/>
    <w:tmpl w:val="CC9AE9E4"/>
    <w:lvl w:ilvl="0" w:tplc="D138FA3E">
      <w:numFmt w:val="bullet"/>
      <w:lvlText w:val="-"/>
      <w:lvlJc w:val="left"/>
      <w:pPr>
        <w:ind w:left="717" w:hanging="360"/>
      </w:pPr>
      <w:rPr>
        <w:rFonts w:ascii="Trebuchet MS" w:eastAsiaTheme="minorEastAsia" w:hAnsi="Trebuchet MS"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189D79E6"/>
    <w:multiLevelType w:val="hybridMultilevel"/>
    <w:tmpl w:val="71706D64"/>
    <w:lvl w:ilvl="0" w:tplc="1A70B80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4DE0B5E"/>
    <w:multiLevelType w:val="hybridMultilevel"/>
    <w:tmpl w:val="CB2A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65B47"/>
    <w:multiLevelType w:val="hybridMultilevel"/>
    <w:tmpl w:val="145EB006"/>
    <w:lvl w:ilvl="0" w:tplc="1A70B80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2A2C0700"/>
    <w:multiLevelType w:val="hybridMultilevel"/>
    <w:tmpl w:val="7D720CC4"/>
    <w:lvl w:ilvl="0" w:tplc="1A70B800">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0E57DF8"/>
    <w:multiLevelType w:val="hybridMultilevel"/>
    <w:tmpl w:val="D8DAD18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7" w15:restartNumberingAfterBreak="0">
    <w:nsid w:val="35693BDF"/>
    <w:multiLevelType w:val="hybridMultilevel"/>
    <w:tmpl w:val="2A52D740"/>
    <w:lvl w:ilvl="0" w:tplc="1A70B80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5C32F83"/>
    <w:multiLevelType w:val="hybridMultilevel"/>
    <w:tmpl w:val="D85824BC"/>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9" w15:restartNumberingAfterBreak="0">
    <w:nsid w:val="40320238"/>
    <w:multiLevelType w:val="hybridMultilevel"/>
    <w:tmpl w:val="B43268D4"/>
    <w:lvl w:ilvl="0" w:tplc="10A4BF5C">
      <w:start w:val="1"/>
      <w:numFmt w:val="decimal"/>
      <w:lvlText w:val="%1."/>
      <w:lvlJc w:val="left"/>
      <w:pPr>
        <w:ind w:left="2160" w:hanging="360"/>
      </w:pPr>
      <w:rPr>
        <w:rFonts w:hint="default"/>
        <w:u w:val="singl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AB543D9"/>
    <w:multiLevelType w:val="hybridMultilevel"/>
    <w:tmpl w:val="28942C6E"/>
    <w:lvl w:ilvl="0" w:tplc="1A70B80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4C0478D1"/>
    <w:multiLevelType w:val="hybridMultilevel"/>
    <w:tmpl w:val="2D6853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01B89"/>
    <w:multiLevelType w:val="hybridMultilevel"/>
    <w:tmpl w:val="E8FEF082"/>
    <w:lvl w:ilvl="0" w:tplc="540CCDD8">
      <w:start w:val="1"/>
      <w:numFmt w:val="decimal"/>
      <w:lvlText w:val="%1."/>
      <w:lvlJc w:val="left"/>
      <w:pPr>
        <w:ind w:left="360" w:hanging="360"/>
      </w:pPr>
      <w:rPr>
        <w:rFonts w:asciiTheme="minorHAnsi" w:eastAsiaTheme="minorHAnsi" w:hAnsiTheme="minorHAnsi" w:cstheme="minorBidi"/>
        <w:b/>
        <w:bCs w:val="0"/>
      </w:rPr>
    </w:lvl>
    <w:lvl w:ilvl="1" w:tplc="801629DA">
      <w:start w:val="1"/>
      <w:numFmt w:val="lowerLetter"/>
      <w:lvlText w:val="%2)"/>
      <w:lvlJc w:val="left"/>
      <w:pPr>
        <w:ind w:left="1080" w:hanging="360"/>
      </w:pPr>
      <w:rPr>
        <w:rFonts w:asciiTheme="minorHAnsi" w:eastAsiaTheme="minorHAnsi" w:hAnsiTheme="minorHAnsi" w:cstheme="minorBidi"/>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7C617B2"/>
    <w:multiLevelType w:val="hybridMultilevel"/>
    <w:tmpl w:val="92BA5FEA"/>
    <w:lvl w:ilvl="0" w:tplc="801629DA">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501E71"/>
    <w:multiLevelType w:val="hybridMultilevel"/>
    <w:tmpl w:val="14DE10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F3EBD"/>
    <w:multiLevelType w:val="hybridMultilevel"/>
    <w:tmpl w:val="3E82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7649E"/>
    <w:multiLevelType w:val="hybridMultilevel"/>
    <w:tmpl w:val="AE1AAE9E"/>
    <w:lvl w:ilvl="0" w:tplc="1A70B80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675C0F56"/>
    <w:multiLevelType w:val="hybridMultilevel"/>
    <w:tmpl w:val="EEA01320"/>
    <w:lvl w:ilvl="0" w:tplc="1A70B80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B0F6AD7"/>
    <w:multiLevelType w:val="hybridMultilevel"/>
    <w:tmpl w:val="0E9261BC"/>
    <w:lvl w:ilvl="0" w:tplc="1A70B8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EF73FEE"/>
    <w:multiLevelType w:val="hybridMultilevel"/>
    <w:tmpl w:val="7A3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B07F91"/>
    <w:multiLevelType w:val="hybridMultilevel"/>
    <w:tmpl w:val="4DE4B83A"/>
    <w:lvl w:ilvl="0" w:tplc="1A70B80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2"/>
  </w:num>
  <w:num w:numId="4">
    <w:abstractNumId w:val="20"/>
  </w:num>
  <w:num w:numId="5">
    <w:abstractNumId w:val="7"/>
  </w:num>
  <w:num w:numId="6">
    <w:abstractNumId w:val="10"/>
  </w:num>
  <w:num w:numId="7">
    <w:abstractNumId w:val="17"/>
  </w:num>
  <w:num w:numId="8">
    <w:abstractNumId w:val="9"/>
  </w:num>
  <w:num w:numId="9">
    <w:abstractNumId w:val="16"/>
  </w:num>
  <w:num w:numId="10">
    <w:abstractNumId w:val="11"/>
  </w:num>
  <w:num w:numId="11">
    <w:abstractNumId w:val="18"/>
  </w:num>
  <w:num w:numId="12">
    <w:abstractNumId w:val="4"/>
  </w:num>
  <w:num w:numId="13">
    <w:abstractNumId w:val="1"/>
  </w:num>
  <w:num w:numId="14">
    <w:abstractNumId w:val="0"/>
  </w:num>
  <w:num w:numId="15">
    <w:abstractNumId w:val="8"/>
  </w:num>
  <w:num w:numId="16">
    <w:abstractNumId w:val="15"/>
  </w:num>
  <w:num w:numId="17">
    <w:abstractNumId w:val="19"/>
  </w:num>
  <w:num w:numId="18">
    <w:abstractNumId w:val="3"/>
  </w:num>
  <w:num w:numId="19">
    <w:abstractNumId w:val="13"/>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F3"/>
    <w:rsid w:val="000012A4"/>
    <w:rsid w:val="00001B64"/>
    <w:rsid w:val="00004DCC"/>
    <w:rsid w:val="00006BAF"/>
    <w:rsid w:val="00010F86"/>
    <w:rsid w:val="000150E4"/>
    <w:rsid w:val="0001666F"/>
    <w:rsid w:val="00020401"/>
    <w:rsid w:val="000207CA"/>
    <w:rsid w:val="000221AC"/>
    <w:rsid w:val="000272CA"/>
    <w:rsid w:val="000274F3"/>
    <w:rsid w:val="000275F6"/>
    <w:rsid w:val="000300B4"/>
    <w:rsid w:val="00030789"/>
    <w:rsid w:val="0003235C"/>
    <w:rsid w:val="000340C3"/>
    <w:rsid w:val="00037578"/>
    <w:rsid w:val="00044E88"/>
    <w:rsid w:val="00045C39"/>
    <w:rsid w:val="000528D1"/>
    <w:rsid w:val="0005558A"/>
    <w:rsid w:val="000562EB"/>
    <w:rsid w:val="00057960"/>
    <w:rsid w:val="00060D05"/>
    <w:rsid w:val="00061D55"/>
    <w:rsid w:val="00062AFA"/>
    <w:rsid w:val="00063EF0"/>
    <w:rsid w:val="00071D55"/>
    <w:rsid w:val="000774CA"/>
    <w:rsid w:val="00086BB3"/>
    <w:rsid w:val="00092981"/>
    <w:rsid w:val="00095D7C"/>
    <w:rsid w:val="00097E4F"/>
    <w:rsid w:val="000A019A"/>
    <w:rsid w:val="000A0BB1"/>
    <w:rsid w:val="000A393F"/>
    <w:rsid w:val="000A5C5B"/>
    <w:rsid w:val="000A624D"/>
    <w:rsid w:val="000A65BC"/>
    <w:rsid w:val="000B266D"/>
    <w:rsid w:val="000C2022"/>
    <w:rsid w:val="000D253C"/>
    <w:rsid w:val="000D3224"/>
    <w:rsid w:val="000D55CC"/>
    <w:rsid w:val="000D79C5"/>
    <w:rsid w:val="000D7A17"/>
    <w:rsid w:val="000D7A71"/>
    <w:rsid w:val="000E0834"/>
    <w:rsid w:val="000E3522"/>
    <w:rsid w:val="000E463C"/>
    <w:rsid w:val="000F58F5"/>
    <w:rsid w:val="000F64C5"/>
    <w:rsid w:val="00101971"/>
    <w:rsid w:val="001059D7"/>
    <w:rsid w:val="0010738D"/>
    <w:rsid w:val="0011122F"/>
    <w:rsid w:val="001130CC"/>
    <w:rsid w:val="001178DD"/>
    <w:rsid w:val="00120965"/>
    <w:rsid w:val="00122432"/>
    <w:rsid w:val="00122B2F"/>
    <w:rsid w:val="001302E5"/>
    <w:rsid w:val="0013455C"/>
    <w:rsid w:val="0013580F"/>
    <w:rsid w:val="00140833"/>
    <w:rsid w:val="00146404"/>
    <w:rsid w:val="00156C4B"/>
    <w:rsid w:val="00157DD8"/>
    <w:rsid w:val="00174A5F"/>
    <w:rsid w:val="00174FC0"/>
    <w:rsid w:val="00176212"/>
    <w:rsid w:val="001800B1"/>
    <w:rsid w:val="00180A77"/>
    <w:rsid w:val="00192159"/>
    <w:rsid w:val="00193FEC"/>
    <w:rsid w:val="00196E89"/>
    <w:rsid w:val="001970F7"/>
    <w:rsid w:val="001A1F12"/>
    <w:rsid w:val="001A2B31"/>
    <w:rsid w:val="001A5CBF"/>
    <w:rsid w:val="001A6D8C"/>
    <w:rsid w:val="001B0CC6"/>
    <w:rsid w:val="001C2F5D"/>
    <w:rsid w:val="001D06A5"/>
    <w:rsid w:val="001D29F8"/>
    <w:rsid w:val="001D52C1"/>
    <w:rsid w:val="001D7208"/>
    <w:rsid w:val="001E390A"/>
    <w:rsid w:val="001E44C0"/>
    <w:rsid w:val="001E50BE"/>
    <w:rsid w:val="001E55C3"/>
    <w:rsid w:val="001F00C2"/>
    <w:rsid w:val="001F42A8"/>
    <w:rsid w:val="001F58AD"/>
    <w:rsid w:val="00200F74"/>
    <w:rsid w:val="002016D9"/>
    <w:rsid w:val="00202459"/>
    <w:rsid w:val="00206916"/>
    <w:rsid w:val="00206CEC"/>
    <w:rsid w:val="00207211"/>
    <w:rsid w:val="0021735D"/>
    <w:rsid w:val="00224C93"/>
    <w:rsid w:val="00226BEA"/>
    <w:rsid w:val="002276C4"/>
    <w:rsid w:val="00237334"/>
    <w:rsid w:val="002376A2"/>
    <w:rsid w:val="00242513"/>
    <w:rsid w:val="00247CAF"/>
    <w:rsid w:val="0025006A"/>
    <w:rsid w:val="002553BC"/>
    <w:rsid w:val="002563CA"/>
    <w:rsid w:val="00256901"/>
    <w:rsid w:val="00257EA2"/>
    <w:rsid w:val="0026477B"/>
    <w:rsid w:val="002647F4"/>
    <w:rsid w:val="00270B2C"/>
    <w:rsid w:val="00271BA7"/>
    <w:rsid w:val="00272F1E"/>
    <w:rsid w:val="00276C0C"/>
    <w:rsid w:val="0028222B"/>
    <w:rsid w:val="002843C8"/>
    <w:rsid w:val="00290412"/>
    <w:rsid w:val="00290FFA"/>
    <w:rsid w:val="0029155D"/>
    <w:rsid w:val="002934D9"/>
    <w:rsid w:val="00295B91"/>
    <w:rsid w:val="00295C42"/>
    <w:rsid w:val="00296879"/>
    <w:rsid w:val="002A0EBD"/>
    <w:rsid w:val="002A6AD5"/>
    <w:rsid w:val="002B5BE7"/>
    <w:rsid w:val="002C2FAA"/>
    <w:rsid w:val="002C3395"/>
    <w:rsid w:val="002C6642"/>
    <w:rsid w:val="002D2A43"/>
    <w:rsid w:val="002D3E63"/>
    <w:rsid w:val="002E1B60"/>
    <w:rsid w:val="002E1E8A"/>
    <w:rsid w:val="002E323F"/>
    <w:rsid w:val="002E3B2B"/>
    <w:rsid w:val="002E4D3D"/>
    <w:rsid w:val="002E5597"/>
    <w:rsid w:val="002E7BED"/>
    <w:rsid w:val="002F59F3"/>
    <w:rsid w:val="00300822"/>
    <w:rsid w:val="003043AD"/>
    <w:rsid w:val="00306D90"/>
    <w:rsid w:val="003075BD"/>
    <w:rsid w:val="003258FB"/>
    <w:rsid w:val="003275A7"/>
    <w:rsid w:val="003322D5"/>
    <w:rsid w:val="00334B7B"/>
    <w:rsid w:val="003368B5"/>
    <w:rsid w:val="00342179"/>
    <w:rsid w:val="00346AF9"/>
    <w:rsid w:val="003501BF"/>
    <w:rsid w:val="00353CE5"/>
    <w:rsid w:val="00356BD7"/>
    <w:rsid w:val="00363CC3"/>
    <w:rsid w:val="00376489"/>
    <w:rsid w:val="00376C8C"/>
    <w:rsid w:val="00384AD4"/>
    <w:rsid w:val="00385C1F"/>
    <w:rsid w:val="00386A3D"/>
    <w:rsid w:val="00386E75"/>
    <w:rsid w:val="003901D7"/>
    <w:rsid w:val="00391360"/>
    <w:rsid w:val="00391379"/>
    <w:rsid w:val="00393940"/>
    <w:rsid w:val="00394C77"/>
    <w:rsid w:val="003963E4"/>
    <w:rsid w:val="003A3969"/>
    <w:rsid w:val="003A39F5"/>
    <w:rsid w:val="003A4EED"/>
    <w:rsid w:val="003A6B26"/>
    <w:rsid w:val="003B7AA5"/>
    <w:rsid w:val="003B7FAA"/>
    <w:rsid w:val="003C496F"/>
    <w:rsid w:val="003D0CAC"/>
    <w:rsid w:val="003D4831"/>
    <w:rsid w:val="003D553F"/>
    <w:rsid w:val="003D660B"/>
    <w:rsid w:val="003D7C1C"/>
    <w:rsid w:val="003E2389"/>
    <w:rsid w:val="003E64E4"/>
    <w:rsid w:val="003E789B"/>
    <w:rsid w:val="003F3CC3"/>
    <w:rsid w:val="00400333"/>
    <w:rsid w:val="00402D7F"/>
    <w:rsid w:val="00405816"/>
    <w:rsid w:val="00411ADC"/>
    <w:rsid w:val="004140EF"/>
    <w:rsid w:val="0041452C"/>
    <w:rsid w:val="00416658"/>
    <w:rsid w:val="00417374"/>
    <w:rsid w:val="00417870"/>
    <w:rsid w:val="004204E0"/>
    <w:rsid w:val="00427916"/>
    <w:rsid w:val="00430F62"/>
    <w:rsid w:val="00437AC7"/>
    <w:rsid w:val="004414DD"/>
    <w:rsid w:val="00441524"/>
    <w:rsid w:val="00442AC9"/>
    <w:rsid w:val="0045321E"/>
    <w:rsid w:val="00455E44"/>
    <w:rsid w:val="00460A63"/>
    <w:rsid w:val="00466DA8"/>
    <w:rsid w:val="00470FDE"/>
    <w:rsid w:val="00472E33"/>
    <w:rsid w:val="00475709"/>
    <w:rsid w:val="00476148"/>
    <w:rsid w:val="00477573"/>
    <w:rsid w:val="004824BD"/>
    <w:rsid w:val="00482D9E"/>
    <w:rsid w:val="004836EC"/>
    <w:rsid w:val="00483F70"/>
    <w:rsid w:val="004919BE"/>
    <w:rsid w:val="00493A48"/>
    <w:rsid w:val="0049610C"/>
    <w:rsid w:val="0049694B"/>
    <w:rsid w:val="004C148F"/>
    <w:rsid w:val="004D262F"/>
    <w:rsid w:val="004D2AA0"/>
    <w:rsid w:val="004E41ED"/>
    <w:rsid w:val="004F0BEE"/>
    <w:rsid w:val="004F3688"/>
    <w:rsid w:val="004F485D"/>
    <w:rsid w:val="004F63EF"/>
    <w:rsid w:val="00502900"/>
    <w:rsid w:val="00502ACF"/>
    <w:rsid w:val="00506425"/>
    <w:rsid w:val="005117C6"/>
    <w:rsid w:val="00512DC0"/>
    <w:rsid w:val="00514315"/>
    <w:rsid w:val="0051468E"/>
    <w:rsid w:val="0052256D"/>
    <w:rsid w:val="005322F8"/>
    <w:rsid w:val="00533F9F"/>
    <w:rsid w:val="00544DC1"/>
    <w:rsid w:val="0054635A"/>
    <w:rsid w:val="00550F5E"/>
    <w:rsid w:val="00551CB6"/>
    <w:rsid w:val="00557525"/>
    <w:rsid w:val="00563216"/>
    <w:rsid w:val="005655EA"/>
    <w:rsid w:val="0057239F"/>
    <w:rsid w:val="00572B7B"/>
    <w:rsid w:val="00575978"/>
    <w:rsid w:val="005772B1"/>
    <w:rsid w:val="00580697"/>
    <w:rsid w:val="00583693"/>
    <w:rsid w:val="00583F6D"/>
    <w:rsid w:val="00593BFD"/>
    <w:rsid w:val="00593D52"/>
    <w:rsid w:val="00596584"/>
    <w:rsid w:val="005A6A1D"/>
    <w:rsid w:val="005A6B30"/>
    <w:rsid w:val="005B4D76"/>
    <w:rsid w:val="005B5EF6"/>
    <w:rsid w:val="005C0380"/>
    <w:rsid w:val="005C26EA"/>
    <w:rsid w:val="005C3C95"/>
    <w:rsid w:val="005C3D33"/>
    <w:rsid w:val="005E0C8D"/>
    <w:rsid w:val="005E4F92"/>
    <w:rsid w:val="005E6DE6"/>
    <w:rsid w:val="005F70D6"/>
    <w:rsid w:val="006026B5"/>
    <w:rsid w:val="00604AB4"/>
    <w:rsid w:val="00604B5D"/>
    <w:rsid w:val="00604D06"/>
    <w:rsid w:val="0060592F"/>
    <w:rsid w:val="00605F5A"/>
    <w:rsid w:val="00611C71"/>
    <w:rsid w:val="0061556E"/>
    <w:rsid w:val="006202DC"/>
    <w:rsid w:val="00622C5E"/>
    <w:rsid w:val="00630401"/>
    <w:rsid w:val="00640B81"/>
    <w:rsid w:val="006421E0"/>
    <w:rsid w:val="006450BB"/>
    <w:rsid w:val="006612CE"/>
    <w:rsid w:val="00665DC7"/>
    <w:rsid w:val="00666E9C"/>
    <w:rsid w:val="006675DD"/>
    <w:rsid w:val="00667BF7"/>
    <w:rsid w:val="0067010F"/>
    <w:rsid w:val="006731C6"/>
    <w:rsid w:val="00673300"/>
    <w:rsid w:val="00673DDA"/>
    <w:rsid w:val="00676F87"/>
    <w:rsid w:val="00693C09"/>
    <w:rsid w:val="006A1EF9"/>
    <w:rsid w:val="006B49F4"/>
    <w:rsid w:val="006B5765"/>
    <w:rsid w:val="006B7338"/>
    <w:rsid w:val="006C2BFD"/>
    <w:rsid w:val="006D20FC"/>
    <w:rsid w:val="006D396B"/>
    <w:rsid w:val="006E138A"/>
    <w:rsid w:val="006E6963"/>
    <w:rsid w:val="006F2E36"/>
    <w:rsid w:val="00700CE4"/>
    <w:rsid w:val="00703F46"/>
    <w:rsid w:val="00715154"/>
    <w:rsid w:val="00732D80"/>
    <w:rsid w:val="00740FB5"/>
    <w:rsid w:val="0074310F"/>
    <w:rsid w:val="0075265D"/>
    <w:rsid w:val="00753691"/>
    <w:rsid w:val="007548B4"/>
    <w:rsid w:val="00756ACF"/>
    <w:rsid w:val="00757D7A"/>
    <w:rsid w:val="0076060F"/>
    <w:rsid w:val="00763A24"/>
    <w:rsid w:val="00767F3D"/>
    <w:rsid w:val="007771BE"/>
    <w:rsid w:val="007812FE"/>
    <w:rsid w:val="0078157F"/>
    <w:rsid w:val="00785ED4"/>
    <w:rsid w:val="00795DE4"/>
    <w:rsid w:val="007A7122"/>
    <w:rsid w:val="007B0ADF"/>
    <w:rsid w:val="007B0CE0"/>
    <w:rsid w:val="007C0F2D"/>
    <w:rsid w:val="007C1194"/>
    <w:rsid w:val="007C1A20"/>
    <w:rsid w:val="007C529E"/>
    <w:rsid w:val="007C52AC"/>
    <w:rsid w:val="007D6B58"/>
    <w:rsid w:val="007E4BE7"/>
    <w:rsid w:val="007E725B"/>
    <w:rsid w:val="007F0F9C"/>
    <w:rsid w:val="00801C91"/>
    <w:rsid w:val="008053F6"/>
    <w:rsid w:val="00810FC4"/>
    <w:rsid w:val="00812C18"/>
    <w:rsid w:val="008208B8"/>
    <w:rsid w:val="008211F9"/>
    <w:rsid w:val="00821631"/>
    <w:rsid w:val="00821DA8"/>
    <w:rsid w:val="00822D69"/>
    <w:rsid w:val="008233E6"/>
    <w:rsid w:val="00824EF8"/>
    <w:rsid w:val="00835C9E"/>
    <w:rsid w:val="008471C8"/>
    <w:rsid w:val="008478FA"/>
    <w:rsid w:val="00850BA2"/>
    <w:rsid w:val="00861638"/>
    <w:rsid w:val="00866975"/>
    <w:rsid w:val="008731A0"/>
    <w:rsid w:val="00874A40"/>
    <w:rsid w:val="00877B3F"/>
    <w:rsid w:val="00880E2F"/>
    <w:rsid w:val="00882547"/>
    <w:rsid w:val="00883D5D"/>
    <w:rsid w:val="00884147"/>
    <w:rsid w:val="00885389"/>
    <w:rsid w:val="008859A3"/>
    <w:rsid w:val="008864D6"/>
    <w:rsid w:val="00891EC8"/>
    <w:rsid w:val="008939F8"/>
    <w:rsid w:val="00894482"/>
    <w:rsid w:val="008A1ACF"/>
    <w:rsid w:val="008A2F98"/>
    <w:rsid w:val="008A4F18"/>
    <w:rsid w:val="008B7C2A"/>
    <w:rsid w:val="008C1D3A"/>
    <w:rsid w:val="008C450D"/>
    <w:rsid w:val="008D4763"/>
    <w:rsid w:val="008D6B06"/>
    <w:rsid w:val="008E4B7F"/>
    <w:rsid w:val="008E6DC7"/>
    <w:rsid w:val="008F5485"/>
    <w:rsid w:val="008F55DF"/>
    <w:rsid w:val="00900B2A"/>
    <w:rsid w:val="00901FA6"/>
    <w:rsid w:val="0090478A"/>
    <w:rsid w:val="009050FA"/>
    <w:rsid w:val="0091344A"/>
    <w:rsid w:val="00915536"/>
    <w:rsid w:val="00915786"/>
    <w:rsid w:val="00915A9D"/>
    <w:rsid w:val="00934AB0"/>
    <w:rsid w:val="0094480D"/>
    <w:rsid w:val="00952A8E"/>
    <w:rsid w:val="0095334F"/>
    <w:rsid w:val="00953497"/>
    <w:rsid w:val="009536BE"/>
    <w:rsid w:val="00953B74"/>
    <w:rsid w:val="00960278"/>
    <w:rsid w:val="00962EE1"/>
    <w:rsid w:val="0097283D"/>
    <w:rsid w:val="0097624B"/>
    <w:rsid w:val="00980820"/>
    <w:rsid w:val="00980BDD"/>
    <w:rsid w:val="00980FF6"/>
    <w:rsid w:val="00981CA9"/>
    <w:rsid w:val="00982391"/>
    <w:rsid w:val="009846D8"/>
    <w:rsid w:val="009861F9"/>
    <w:rsid w:val="0098749C"/>
    <w:rsid w:val="009963C7"/>
    <w:rsid w:val="009A64F3"/>
    <w:rsid w:val="009A7185"/>
    <w:rsid w:val="009A7E2E"/>
    <w:rsid w:val="009A7F8A"/>
    <w:rsid w:val="009B2AB9"/>
    <w:rsid w:val="009B4A79"/>
    <w:rsid w:val="009C5880"/>
    <w:rsid w:val="009C685E"/>
    <w:rsid w:val="009C70EB"/>
    <w:rsid w:val="009E245B"/>
    <w:rsid w:val="009E2E32"/>
    <w:rsid w:val="009F0E85"/>
    <w:rsid w:val="009F5A71"/>
    <w:rsid w:val="00A00147"/>
    <w:rsid w:val="00A01750"/>
    <w:rsid w:val="00A06379"/>
    <w:rsid w:val="00A10255"/>
    <w:rsid w:val="00A1753F"/>
    <w:rsid w:val="00A250B1"/>
    <w:rsid w:val="00A362FE"/>
    <w:rsid w:val="00A36321"/>
    <w:rsid w:val="00A41234"/>
    <w:rsid w:val="00A4433B"/>
    <w:rsid w:val="00A542CA"/>
    <w:rsid w:val="00A56638"/>
    <w:rsid w:val="00A60292"/>
    <w:rsid w:val="00A605AB"/>
    <w:rsid w:val="00A6268F"/>
    <w:rsid w:val="00A67985"/>
    <w:rsid w:val="00A70CB7"/>
    <w:rsid w:val="00A8230A"/>
    <w:rsid w:val="00A830F3"/>
    <w:rsid w:val="00A834D6"/>
    <w:rsid w:val="00A85B6D"/>
    <w:rsid w:val="00A90969"/>
    <w:rsid w:val="00A923AB"/>
    <w:rsid w:val="00AA396C"/>
    <w:rsid w:val="00AA5D8A"/>
    <w:rsid w:val="00AA60A2"/>
    <w:rsid w:val="00AB2C7F"/>
    <w:rsid w:val="00AB5EC0"/>
    <w:rsid w:val="00AC253A"/>
    <w:rsid w:val="00AC3703"/>
    <w:rsid w:val="00AC57F3"/>
    <w:rsid w:val="00AC7F23"/>
    <w:rsid w:val="00AD0134"/>
    <w:rsid w:val="00AD0FCA"/>
    <w:rsid w:val="00AD571E"/>
    <w:rsid w:val="00AD78BA"/>
    <w:rsid w:val="00AE2533"/>
    <w:rsid w:val="00AE53A0"/>
    <w:rsid w:val="00AF2E4D"/>
    <w:rsid w:val="00B01E4F"/>
    <w:rsid w:val="00B02B81"/>
    <w:rsid w:val="00B0322D"/>
    <w:rsid w:val="00B034A3"/>
    <w:rsid w:val="00B07085"/>
    <w:rsid w:val="00B0712F"/>
    <w:rsid w:val="00B10B86"/>
    <w:rsid w:val="00B250FE"/>
    <w:rsid w:val="00B2790D"/>
    <w:rsid w:val="00B40115"/>
    <w:rsid w:val="00B44D55"/>
    <w:rsid w:val="00B52D8A"/>
    <w:rsid w:val="00B562A8"/>
    <w:rsid w:val="00B61009"/>
    <w:rsid w:val="00B617F6"/>
    <w:rsid w:val="00B62D1D"/>
    <w:rsid w:val="00B64F19"/>
    <w:rsid w:val="00B677DA"/>
    <w:rsid w:val="00B67A0B"/>
    <w:rsid w:val="00B71648"/>
    <w:rsid w:val="00B71CFC"/>
    <w:rsid w:val="00B72172"/>
    <w:rsid w:val="00B7303E"/>
    <w:rsid w:val="00B74FFB"/>
    <w:rsid w:val="00B802FA"/>
    <w:rsid w:val="00B83A23"/>
    <w:rsid w:val="00B92D39"/>
    <w:rsid w:val="00B939E5"/>
    <w:rsid w:val="00BA09F2"/>
    <w:rsid w:val="00BA124F"/>
    <w:rsid w:val="00BA5E66"/>
    <w:rsid w:val="00BB1059"/>
    <w:rsid w:val="00BB2796"/>
    <w:rsid w:val="00BB4293"/>
    <w:rsid w:val="00BB5DCF"/>
    <w:rsid w:val="00BB68A7"/>
    <w:rsid w:val="00BC50E0"/>
    <w:rsid w:val="00BD2B70"/>
    <w:rsid w:val="00BE1DA7"/>
    <w:rsid w:val="00BE1FE0"/>
    <w:rsid w:val="00BE4A76"/>
    <w:rsid w:val="00BE4ACE"/>
    <w:rsid w:val="00BE7A5E"/>
    <w:rsid w:val="00BF0B16"/>
    <w:rsid w:val="00BF7D1F"/>
    <w:rsid w:val="00C028F3"/>
    <w:rsid w:val="00C05C41"/>
    <w:rsid w:val="00C15BD6"/>
    <w:rsid w:val="00C16F5D"/>
    <w:rsid w:val="00C178B3"/>
    <w:rsid w:val="00C220D9"/>
    <w:rsid w:val="00C237C7"/>
    <w:rsid w:val="00C245D7"/>
    <w:rsid w:val="00C24673"/>
    <w:rsid w:val="00C2512E"/>
    <w:rsid w:val="00C3075C"/>
    <w:rsid w:val="00C32B58"/>
    <w:rsid w:val="00C33FB5"/>
    <w:rsid w:val="00C35930"/>
    <w:rsid w:val="00C37366"/>
    <w:rsid w:val="00C410CE"/>
    <w:rsid w:val="00C42501"/>
    <w:rsid w:val="00C42A7E"/>
    <w:rsid w:val="00C43E05"/>
    <w:rsid w:val="00C43F6D"/>
    <w:rsid w:val="00C506F5"/>
    <w:rsid w:val="00C50777"/>
    <w:rsid w:val="00C50DC7"/>
    <w:rsid w:val="00C51785"/>
    <w:rsid w:val="00C5183B"/>
    <w:rsid w:val="00C54639"/>
    <w:rsid w:val="00C554C8"/>
    <w:rsid w:val="00C62787"/>
    <w:rsid w:val="00C63346"/>
    <w:rsid w:val="00C6741C"/>
    <w:rsid w:val="00C714F2"/>
    <w:rsid w:val="00C728CB"/>
    <w:rsid w:val="00C72B2B"/>
    <w:rsid w:val="00C8248F"/>
    <w:rsid w:val="00C8653A"/>
    <w:rsid w:val="00C87487"/>
    <w:rsid w:val="00C90935"/>
    <w:rsid w:val="00C91CFE"/>
    <w:rsid w:val="00C921ED"/>
    <w:rsid w:val="00C92D76"/>
    <w:rsid w:val="00C93B5A"/>
    <w:rsid w:val="00C94462"/>
    <w:rsid w:val="00C95636"/>
    <w:rsid w:val="00CA1457"/>
    <w:rsid w:val="00CA35AA"/>
    <w:rsid w:val="00CB0CED"/>
    <w:rsid w:val="00CB4EAC"/>
    <w:rsid w:val="00CB63EE"/>
    <w:rsid w:val="00CB6570"/>
    <w:rsid w:val="00CB7E16"/>
    <w:rsid w:val="00CC247D"/>
    <w:rsid w:val="00CC43F6"/>
    <w:rsid w:val="00CC78C6"/>
    <w:rsid w:val="00CD2B0C"/>
    <w:rsid w:val="00CD4870"/>
    <w:rsid w:val="00CD50DE"/>
    <w:rsid w:val="00CD5490"/>
    <w:rsid w:val="00CD6207"/>
    <w:rsid w:val="00CD792F"/>
    <w:rsid w:val="00CD7B88"/>
    <w:rsid w:val="00CD7E9D"/>
    <w:rsid w:val="00CE1A28"/>
    <w:rsid w:val="00CE6527"/>
    <w:rsid w:val="00CF00F8"/>
    <w:rsid w:val="00CF02DE"/>
    <w:rsid w:val="00CF26C1"/>
    <w:rsid w:val="00CF5D10"/>
    <w:rsid w:val="00CF765B"/>
    <w:rsid w:val="00D16DAF"/>
    <w:rsid w:val="00D2353E"/>
    <w:rsid w:val="00D2620F"/>
    <w:rsid w:val="00D31AEB"/>
    <w:rsid w:val="00D37412"/>
    <w:rsid w:val="00D41417"/>
    <w:rsid w:val="00D4496C"/>
    <w:rsid w:val="00D47672"/>
    <w:rsid w:val="00D4768A"/>
    <w:rsid w:val="00D5081D"/>
    <w:rsid w:val="00D55271"/>
    <w:rsid w:val="00D61D24"/>
    <w:rsid w:val="00D663C9"/>
    <w:rsid w:val="00D66F68"/>
    <w:rsid w:val="00D701DD"/>
    <w:rsid w:val="00D7166B"/>
    <w:rsid w:val="00D71C3C"/>
    <w:rsid w:val="00D728EB"/>
    <w:rsid w:val="00D831B1"/>
    <w:rsid w:val="00D84813"/>
    <w:rsid w:val="00D90DF7"/>
    <w:rsid w:val="00D93A45"/>
    <w:rsid w:val="00DA55EE"/>
    <w:rsid w:val="00DB3BC4"/>
    <w:rsid w:val="00DB406C"/>
    <w:rsid w:val="00DC0DFF"/>
    <w:rsid w:val="00DC4756"/>
    <w:rsid w:val="00DC5003"/>
    <w:rsid w:val="00DC5C83"/>
    <w:rsid w:val="00DD1AFB"/>
    <w:rsid w:val="00DD4E91"/>
    <w:rsid w:val="00DD537C"/>
    <w:rsid w:val="00DD7726"/>
    <w:rsid w:val="00DE33FF"/>
    <w:rsid w:val="00DE4493"/>
    <w:rsid w:val="00DE6657"/>
    <w:rsid w:val="00DE67E1"/>
    <w:rsid w:val="00DE70ED"/>
    <w:rsid w:val="00DF3555"/>
    <w:rsid w:val="00DF6C9C"/>
    <w:rsid w:val="00E01D77"/>
    <w:rsid w:val="00E14E8E"/>
    <w:rsid w:val="00E17F8B"/>
    <w:rsid w:val="00E25AA1"/>
    <w:rsid w:val="00E25D9B"/>
    <w:rsid w:val="00E319BF"/>
    <w:rsid w:val="00E341C8"/>
    <w:rsid w:val="00E34DF6"/>
    <w:rsid w:val="00E37410"/>
    <w:rsid w:val="00E411DA"/>
    <w:rsid w:val="00E43000"/>
    <w:rsid w:val="00E44687"/>
    <w:rsid w:val="00E51731"/>
    <w:rsid w:val="00E54285"/>
    <w:rsid w:val="00E63789"/>
    <w:rsid w:val="00E63A65"/>
    <w:rsid w:val="00E669DE"/>
    <w:rsid w:val="00E7311D"/>
    <w:rsid w:val="00E81735"/>
    <w:rsid w:val="00E819A3"/>
    <w:rsid w:val="00E92F32"/>
    <w:rsid w:val="00EA2895"/>
    <w:rsid w:val="00EA2D84"/>
    <w:rsid w:val="00EA6C10"/>
    <w:rsid w:val="00EB05EF"/>
    <w:rsid w:val="00EB6A80"/>
    <w:rsid w:val="00EC2E52"/>
    <w:rsid w:val="00EC6802"/>
    <w:rsid w:val="00ED009D"/>
    <w:rsid w:val="00ED2380"/>
    <w:rsid w:val="00ED2549"/>
    <w:rsid w:val="00EF508B"/>
    <w:rsid w:val="00EF59A7"/>
    <w:rsid w:val="00F0174A"/>
    <w:rsid w:val="00F02DEB"/>
    <w:rsid w:val="00F06D04"/>
    <w:rsid w:val="00F10CED"/>
    <w:rsid w:val="00F11682"/>
    <w:rsid w:val="00F1206D"/>
    <w:rsid w:val="00F15E5A"/>
    <w:rsid w:val="00F214BF"/>
    <w:rsid w:val="00F2327B"/>
    <w:rsid w:val="00F258A2"/>
    <w:rsid w:val="00F25E13"/>
    <w:rsid w:val="00F3083F"/>
    <w:rsid w:val="00F31181"/>
    <w:rsid w:val="00F31C37"/>
    <w:rsid w:val="00F31E71"/>
    <w:rsid w:val="00F33B2C"/>
    <w:rsid w:val="00F45FAD"/>
    <w:rsid w:val="00F53CF6"/>
    <w:rsid w:val="00F5722D"/>
    <w:rsid w:val="00F658EB"/>
    <w:rsid w:val="00F6626F"/>
    <w:rsid w:val="00F66BD4"/>
    <w:rsid w:val="00F67654"/>
    <w:rsid w:val="00F67AA0"/>
    <w:rsid w:val="00F77795"/>
    <w:rsid w:val="00F83513"/>
    <w:rsid w:val="00F8542B"/>
    <w:rsid w:val="00F8648D"/>
    <w:rsid w:val="00F92042"/>
    <w:rsid w:val="00F97686"/>
    <w:rsid w:val="00FA29F1"/>
    <w:rsid w:val="00FA2F9A"/>
    <w:rsid w:val="00FA42B5"/>
    <w:rsid w:val="00FA53B6"/>
    <w:rsid w:val="00FA5AB4"/>
    <w:rsid w:val="00FA6686"/>
    <w:rsid w:val="00FB0A0A"/>
    <w:rsid w:val="00FC0833"/>
    <w:rsid w:val="00FC60A6"/>
    <w:rsid w:val="00FC71BE"/>
    <w:rsid w:val="00FD3834"/>
    <w:rsid w:val="00FD4378"/>
    <w:rsid w:val="00FD4566"/>
    <w:rsid w:val="00FE4547"/>
    <w:rsid w:val="00FE50DE"/>
    <w:rsid w:val="00FF0B4D"/>
    <w:rsid w:val="00FF23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D6B7"/>
  <w15:docId w15:val="{E93448E7-6245-44C3-B0B9-91C05009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F3"/>
    <w:pPr>
      <w:ind w:left="720"/>
      <w:contextualSpacing/>
    </w:pPr>
  </w:style>
  <w:style w:type="character" w:styleId="Hyperlink">
    <w:name w:val="Hyperlink"/>
    <w:basedOn w:val="DefaultParagraphFont"/>
    <w:uiPriority w:val="99"/>
    <w:unhideWhenUsed/>
    <w:rsid w:val="00604D06"/>
    <w:rPr>
      <w:color w:val="0000FF" w:themeColor="hyperlink"/>
      <w:u w:val="single"/>
    </w:rPr>
  </w:style>
  <w:style w:type="character" w:styleId="CommentReference">
    <w:name w:val="annotation reference"/>
    <w:basedOn w:val="DefaultParagraphFont"/>
    <w:uiPriority w:val="99"/>
    <w:semiHidden/>
    <w:unhideWhenUsed/>
    <w:rsid w:val="00CD7B88"/>
    <w:rPr>
      <w:sz w:val="16"/>
      <w:szCs w:val="16"/>
    </w:rPr>
  </w:style>
  <w:style w:type="paragraph" w:styleId="CommentText">
    <w:name w:val="annotation text"/>
    <w:basedOn w:val="Normal"/>
    <w:link w:val="CommentTextChar"/>
    <w:uiPriority w:val="99"/>
    <w:unhideWhenUsed/>
    <w:rsid w:val="00CD7B88"/>
    <w:pPr>
      <w:spacing w:line="240" w:lineRule="auto"/>
    </w:pPr>
    <w:rPr>
      <w:sz w:val="20"/>
      <w:szCs w:val="20"/>
    </w:rPr>
  </w:style>
  <w:style w:type="character" w:customStyle="1" w:styleId="CommentTextChar">
    <w:name w:val="Comment Text Char"/>
    <w:basedOn w:val="DefaultParagraphFont"/>
    <w:link w:val="CommentText"/>
    <w:uiPriority w:val="99"/>
    <w:rsid w:val="00CD7B88"/>
    <w:rPr>
      <w:sz w:val="20"/>
      <w:szCs w:val="20"/>
      <w:lang w:val="en-US"/>
    </w:rPr>
  </w:style>
  <w:style w:type="paragraph" w:styleId="CommentSubject">
    <w:name w:val="annotation subject"/>
    <w:basedOn w:val="CommentText"/>
    <w:next w:val="CommentText"/>
    <w:link w:val="CommentSubjectChar"/>
    <w:uiPriority w:val="99"/>
    <w:semiHidden/>
    <w:unhideWhenUsed/>
    <w:rsid w:val="00CD7B88"/>
    <w:rPr>
      <w:b/>
      <w:bCs/>
    </w:rPr>
  </w:style>
  <w:style w:type="character" w:customStyle="1" w:styleId="CommentSubjectChar">
    <w:name w:val="Comment Subject Char"/>
    <w:basedOn w:val="CommentTextChar"/>
    <w:link w:val="CommentSubject"/>
    <w:uiPriority w:val="99"/>
    <w:semiHidden/>
    <w:rsid w:val="00CD7B88"/>
    <w:rPr>
      <w:b/>
      <w:bCs/>
      <w:sz w:val="20"/>
      <w:szCs w:val="20"/>
      <w:lang w:val="en-US"/>
    </w:rPr>
  </w:style>
  <w:style w:type="paragraph" w:styleId="BalloonText">
    <w:name w:val="Balloon Text"/>
    <w:basedOn w:val="Normal"/>
    <w:link w:val="BalloonTextChar"/>
    <w:uiPriority w:val="99"/>
    <w:semiHidden/>
    <w:unhideWhenUsed/>
    <w:rsid w:val="00CD7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B88"/>
    <w:rPr>
      <w:rFonts w:ascii="Segoe UI" w:hAnsi="Segoe UI" w:cs="Segoe UI"/>
      <w:sz w:val="18"/>
      <w:szCs w:val="18"/>
      <w:lang w:val="en-US"/>
    </w:rPr>
  </w:style>
  <w:style w:type="character" w:styleId="Strong">
    <w:name w:val="Strong"/>
    <w:basedOn w:val="DefaultParagraphFont"/>
    <w:uiPriority w:val="22"/>
    <w:qFormat/>
    <w:rsid w:val="00E25D9B"/>
    <w:rPr>
      <w:b/>
      <w:bCs/>
    </w:rPr>
  </w:style>
  <w:style w:type="character" w:styleId="FollowedHyperlink">
    <w:name w:val="FollowedHyperlink"/>
    <w:basedOn w:val="DefaultParagraphFont"/>
    <w:uiPriority w:val="99"/>
    <w:semiHidden/>
    <w:unhideWhenUsed/>
    <w:rsid w:val="00AA396C"/>
    <w:rPr>
      <w:color w:val="800080" w:themeColor="followedHyperlink"/>
      <w:u w:val="single"/>
    </w:rPr>
  </w:style>
  <w:style w:type="paragraph" w:styleId="Header">
    <w:name w:val="header"/>
    <w:basedOn w:val="Normal"/>
    <w:link w:val="HeaderChar"/>
    <w:uiPriority w:val="99"/>
    <w:unhideWhenUsed/>
    <w:rsid w:val="00B032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322D"/>
    <w:rPr>
      <w:lang w:val="en-US"/>
    </w:rPr>
  </w:style>
  <w:style w:type="paragraph" w:styleId="Footer">
    <w:name w:val="footer"/>
    <w:basedOn w:val="Normal"/>
    <w:link w:val="FooterChar"/>
    <w:uiPriority w:val="99"/>
    <w:unhideWhenUsed/>
    <w:rsid w:val="00B032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322D"/>
    <w:rPr>
      <w:lang w:val="en-US"/>
    </w:rPr>
  </w:style>
  <w:style w:type="paragraph" w:styleId="FootnoteText">
    <w:name w:val="footnote text"/>
    <w:basedOn w:val="Normal"/>
    <w:link w:val="FootnoteTextChar"/>
    <w:uiPriority w:val="99"/>
    <w:semiHidden/>
    <w:unhideWhenUsed/>
    <w:rsid w:val="00A62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68F"/>
    <w:rPr>
      <w:sz w:val="20"/>
      <w:szCs w:val="20"/>
    </w:rPr>
  </w:style>
  <w:style w:type="character" w:styleId="FootnoteReference">
    <w:name w:val="footnote reference"/>
    <w:basedOn w:val="DefaultParagraphFont"/>
    <w:uiPriority w:val="99"/>
    <w:semiHidden/>
    <w:unhideWhenUsed/>
    <w:rsid w:val="00A6268F"/>
    <w:rPr>
      <w:vertAlign w:val="superscript"/>
    </w:rPr>
  </w:style>
  <w:style w:type="character" w:styleId="UnresolvedMention">
    <w:name w:val="Unresolved Mention"/>
    <w:basedOn w:val="DefaultParagraphFont"/>
    <w:uiPriority w:val="99"/>
    <w:semiHidden/>
    <w:unhideWhenUsed/>
    <w:rsid w:val="00411ADC"/>
    <w:rPr>
      <w:color w:val="605E5C"/>
      <w:shd w:val="clear" w:color="auto" w:fill="E1DFDD"/>
    </w:rPr>
  </w:style>
  <w:style w:type="table" w:styleId="TableGrid">
    <w:name w:val="Table Grid"/>
    <w:basedOn w:val="TableNormal"/>
    <w:uiPriority w:val="59"/>
    <w:rsid w:val="0091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91553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5878">
      <w:bodyDiv w:val="1"/>
      <w:marLeft w:val="0"/>
      <w:marRight w:val="0"/>
      <w:marTop w:val="0"/>
      <w:marBottom w:val="0"/>
      <w:divBdr>
        <w:top w:val="none" w:sz="0" w:space="0" w:color="auto"/>
        <w:left w:val="none" w:sz="0" w:space="0" w:color="auto"/>
        <w:bottom w:val="none" w:sz="0" w:space="0" w:color="auto"/>
        <w:right w:val="none" w:sz="0" w:space="0" w:color="auto"/>
      </w:divBdr>
    </w:div>
    <w:div w:id="712773780">
      <w:bodyDiv w:val="1"/>
      <w:marLeft w:val="0"/>
      <w:marRight w:val="0"/>
      <w:marTop w:val="0"/>
      <w:marBottom w:val="0"/>
      <w:divBdr>
        <w:top w:val="none" w:sz="0" w:space="0" w:color="auto"/>
        <w:left w:val="none" w:sz="0" w:space="0" w:color="auto"/>
        <w:bottom w:val="none" w:sz="0" w:space="0" w:color="auto"/>
        <w:right w:val="none" w:sz="0" w:space="0" w:color="auto"/>
      </w:divBdr>
      <w:divsChild>
        <w:div w:id="1792279166">
          <w:marLeft w:val="0"/>
          <w:marRight w:val="0"/>
          <w:marTop w:val="0"/>
          <w:marBottom w:val="0"/>
          <w:divBdr>
            <w:top w:val="none" w:sz="0" w:space="0" w:color="auto"/>
            <w:left w:val="none" w:sz="0" w:space="0" w:color="auto"/>
            <w:bottom w:val="none" w:sz="0" w:space="0" w:color="auto"/>
            <w:right w:val="none" w:sz="0" w:space="0" w:color="auto"/>
          </w:divBdr>
        </w:div>
        <w:div w:id="327171486">
          <w:marLeft w:val="0"/>
          <w:marRight w:val="0"/>
          <w:marTop w:val="0"/>
          <w:marBottom w:val="0"/>
          <w:divBdr>
            <w:top w:val="none" w:sz="0" w:space="0" w:color="auto"/>
            <w:left w:val="none" w:sz="0" w:space="0" w:color="auto"/>
            <w:bottom w:val="none" w:sz="0" w:space="0" w:color="auto"/>
            <w:right w:val="none" w:sz="0" w:space="0" w:color="auto"/>
          </w:divBdr>
        </w:div>
        <w:div w:id="1710715372">
          <w:marLeft w:val="0"/>
          <w:marRight w:val="0"/>
          <w:marTop w:val="0"/>
          <w:marBottom w:val="0"/>
          <w:divBdr>
            <w:top w:val="none" w:sz="0" w:space="0" w:color="auto"/>
            <w:left w:val="none" w:sz="0" w:space="0" w:color="auto"/>
            <w:bottom w:val="none" w:sz="0" w:space="0" w:color="auto"/>
            <w:right w:val="none" w:sz="0" w:space="0" w:color="auto"/>
          </w:divBdr>
        </w:div>
        <w:div w:id="340356295">
          <w:marLeft w:val="0"/>
          <w:marRight w:val="0"/>
          <w:marTop w:val="0"/>
          <w:marBottom w:val="0"/>
          <w:divBdr>
            <w:top w:val="none" w:sz="0" w:space="0" w:color="auto"/>
            <w:left w:val="none" w:sz="0" w:space="0" w:color="auto"/>
            <w:bottom w:val="none" w:sz="0" w:space="0" w:color="auto"/>
            <w:right w:val="none" w:sz="0" w:space="0" w:color="auto"/>
          </w:divBdr>
        </w:div>
      </w:divsChild>
    </w:div>
    <w:div w:id="13971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nergy/topics/energy-efficiency/energy-efficient-buildings/renovation-wave_en" TargetMode="External"/><Relationship Id="rId18" Type="http://schemas.openxmlformats.org/officeDocument/2006/relationships/hyperlink" Target="https://ec.europa.eu/info/business-economy-euro/recovery-coronavirus/recovery-and-resilience-facility_en" TargetMode="External"/><Relationship Id="rId26" Type="http://schemas.openxmlformats.org/officeDocument/2006/relationships/hyperlink" Target="https://ec.europa.eu/social/main.jsp?langId=en&amp;catId=89&amp;newsId=10024&amp;furtherNews=yes" TargetMode="External"/><Relationship Id="rId39" Type="http://schemas.openxmlformats.org/officeDocument/2006/relationships/hyperlink" Target="https://eurohealthobservatory.who.int/" TargetMode="External"/><Relationship Id="rId21" Type="http://schemas.openxmlformats.org/officeDocument/2006/relationships/hyperlink" Target="https://www.eapn.eu/is-the-2019-european-semester-more-social-eapn-assessment-of-the-european-semester-2019/" TargetMode="External"/><Relationship Id="rId34" Type="http://schemas.openxmlformats.org/officeDocument/2006/relationships/hyperlink" Target="https://www.socialplatform.org/wp-content/uploads/2021/05/social_platform_position_quality_social_services_for_all_2021.pdf" TargetMode="External"/><Relationship Id="rId42" Type="http://schemas.openxmlformats.org/officeDocument/2006/relationships/hyperlink" Target="https://healthyeurope.eu/2020/12/policy-paper-empowering-citizens" TargetMode="External"/><Relationship Id="rId47" Type="http://schemas.openxmlformats.org/officeDocument/2006/relationships/hyperlink" Target="https://www.europarl.europa.eu/RegData/etudes/BRIE/2015/573884/EPRS_BRI(2015)573884_EN.pdf" TargetMode="External"/><Relationship Id="rId50" Type="http://schemas.openxmlformats.org/officeDocument/2006/relationships/hyperlink" Target="https://eufordigital.eu/europes-digital-decade-setting-the-course-towards-a-digitally-empowered-europe-by-2030/" TargetMode="External"/><Relationship Id="rId55" Type="http://schemas.openxmlformats.org/officeDocument/2006/relationships/hyperlink" Target="https://www.housingeurope.eu/resource-1408/promoting-the-area-based-approach-to-tackle-energy-poverty"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legal-content/EN/TXT/PDF/?uri=CELEX:32020H1563&amp;from=EN" TargetMode="External"/><Relationship Id="rId20" Type="http://schemas.openxmlformats.org/officeDocument/2006/relationships/hyperlink" Target="https://ec.europa.eu/commission/presscorner/detail/en/qanda_20_1659" TargetMode="External"/><Relationship Id="rId29" Type="http://schemas.openxmlformats.org/officeDocument/2006/relationships/hyperlink" Target="https://op.europa.eu/webpub/empl/european-pillar-of-social-rights/en/" TargetMode="External"/><Relationship Id="rId41" Type="http://schemas.openxmlformats.org/officeDocument/2006/relationships/hyperlink" Target="https://eurohealthnet.eu/sites/eurohealthnet.eu/files/CHAIN_infographic%20_covid19_and_inequalities_final.pdf" TargetMode="External"/><Relationship Id="rId54" Type="http://schemas.openxmlformats.org/officeDocument/2006/relationships/hyperlink" Target="https://www.etui.org/sites/default/files/2021-06/Climate%20change-the%20key%20challenge-A%20framework%20for%20an%20eco-social%20contract_2021_0.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main.jsp?langId=en&amp;catId=89&amp;newsId=10032&amp;furtherNews=yes" TargetMode="External"/><Relationship Id="rId24" Type="http://schemas.openxmlformats.org/officeDocument/2006/relationships/hyperlink" Target="https://ec.europa.eu/health/ehealth/dataspace_en" TargetMode="External"/><Relationship Id="rId32" Type="http://schemas.openxmlformats.org/officeDocument/2006/relationships/hyperlink" Target="https://ec.europa.eu/social/main.jsp?catId=738&amp;langId=en&amp;pubId=8340&amp;furtherPubs=yes" TargetMode="External"/><Relationship Id="rId37" Type="http://schemas.openxmlformats.org/officeDocument/2006/relationships/hyperlink" Target="https://ec.europa.eu/health/funding/eu4health_en" TargetMode="External"/><Relationship Id="rId40" Type="http://schemas.openxmlformats.org/officeDocument/2006/relationships/hyperlink" Target="https://health-inequalities.eu/eu-beyond/eu-action/" TargetMode="External"/><Relationship Id="rId45" Type="http://schemas.openxmlformats.org/officeDocument/2006/relationships/hyperlink" Target="http://www.alliance4investinginchildren.eu/eu-alliance-for-investing-in-children-statement-to-the-european-pillar-of-social-rights-action-plan/" TargetMode="External"/><Relationship Id="rId53" Type="http://schemas.openxmlformats.org/officeDocument/2006/relationships/hyperlink" Target="https://righttoenergy.org/2021/06/02/will-the-renovation-wave-really-deliver-for-europes-energy-poor/" TargetMode="External"/><Relationship Id="rId58" Type="http://schemas.openxmlformats.org/officeDocument/2006/relationships/hyperlink" Target="https://op.europa.eu/en/publication-detail/-/publication/2fc74716-e745-11ea-ad25-01aa75ed71a1/language-en/format-PDF/source-198514239" TargetMode="External"/><Relationship Id="rId5" Type="http://schemas.openxmlformats.org/officeDocument/2006/relationships/webSettings" Target="webSettings.xml"/><Relationship Id="rId15" Type="http://schemas.openxmlformats.org/officeDocument/2006/relationships/hyperlink" Target="https://www.euractiv.com/section/energy-environment/news/eu-plans-climate-action-social-fund-to-shield-citizens-from-rising-carbon-prices/" TargetMode="External"/><Relationship Id="rId23" Type="http://schemas.openxmlformats.org/officeDocument/2006/relationships/hyperlink" Target="https://jahee.iss.it/" TargetMode="External"/><Relationship Id="rId28" Type="http://schemas.openxmlformats.org/officeDocument/2006/relationships/hyperlink" Target="https://www.eapn.eu/manifesto-on-child-poverty-and-social-exclusion-in-the-eu/" TargetMode="External"/><Relationship Id="rId36" Type="http://schemas.openxmlformats.org/officeDocument/2006/relationships/hyperlink" Target="https://ec.europa.eu/social/main.jsp?catId=738&amp;langId=en&amp;pubId=8152&amp;furtherPubs=yes" TargetMode="External"/><Relationship Id="rId49" Type="http://schemas.openxmlformats.org/officeDocument/2006/relationships/hyperlink" Target="https://www.europarl.europa.eu/news/en/press-room/20201016IPR89550/covid-19-meps-call-for-measures-to-close-the-digital-gap-in-education" TargetMode="External"/><Relationship Id="rId57" Type="http://schemas.openxmlformats.org/officeDocument/2006/relationships/hyperlink" Target="https://op.europa.eu/en/publication-detail/-/publication/da50a71e-5b97-11eb-b59f-01aa75ed71a1/language-en/format-HTML/source-198514239" TargetMode="External"/><Relationship Id="rId61" Type="http://schemas.openxmlformats.org/officeDocument/2006/relationships/header" Target="header1.xml"/><Relationship Id="rId10" Type="http://schemas.openxmlformats.org/officeDocument/2006/relationships/hyperlink" Target="https://op.europa.eu/webpub/empl/european-pillar-of-social-rights/en/" TargetMode="External"/><Relationship Id="rId19" Type="http://schemas.openxmlformats.org/officeDocument/2006/relationships/hyperlink" Target="http://www.assist2gether.eu/" TargetMode="External"/><Relationship Id="rId31" Type="http://schemas.openxmlformats.org/officeDocument/2006/relationships/hyperlink" Target="https://www.eapn.eu/wp-content/uploads/2020/04/EAPN-Poverty-Explainer-Web-1-4331.pdf" TargetMode="External"/><Relationship Id="rId44" Type="http://schemas.openxmlformats.org/officeDocument/2006/relationships/hyperlink" Target="http://www.alliance4investinginchildren.eu/eu-alliance-for-investing-in-children-welcomes-the-epsco-council-adoption-of-the-council-recommendation-establishing-the-european-child-guarantee/" TargetMode="External"/><Relationship Id="rId52" Type="http://schemas.openxmlformats.org/officeDocument/2006/relationships/hyperlink" Target="https://ec.europa.eu/commission/commissioners/2019-2024/timmermans/announcements/speech-european-economic-and-social-committee-plenary-social-issues-european-green-deal_en" TargetMode="External"/><Relationship Id="rId60" Type="http://schemas.openxmlformats.org/officeDocument/2006/relationships/hyperlink" Target="https://www.feantsa.org/en/other-observatory-publications/2021/04/01/european-homelessness-and-covid-19" TargetMode="External"/><Relationship Id="rId4" Type="http://schemas.openxmlformats.org/officeDocument/2006/relationships/settings" Target="settings.xml"/><Relationship Id="rId9" Type="http://schemas.openxmlformats.org/officeDocument/2006/relationships/hyperlink" Target="https://ecodes.org/hacemos/energia-y-personas/rehabilitacion-energetica-de-viviendas/alianza-por-la-rehabilitacion-de-viviendas-sin-deja-a-nadie-atras/manifiesto-de-la-alianza-por-la-rehabilitacion-de-viviendas-sin-dejar-a-nadie-atras" TargetMode="External"/><Relationship Id="rId14" Type="http://schemas.openxmlformats.org/officeDocument/2006/relationships/hyperlink" Target="https://ec.europa.eu/energy/topics/energy-efficiency/energy-efficient-buildings/energy-performance-buildings-directive_en" TargetMode="External"/><Relationship Id="rId22" Type="http://schemas.openxmlformats.org/officeDocument/2006/relationships/hyperlink" Target="https://ec.europa.eu/health/sites/default/files/expert_panel/docs/026_health_socialcare_covid19_en.pdf" TargetMode="External"/><Relationship Id="rId27" Type="http://schemas.openxmlformats.org/officeDocument/2006/relationships/hyperlink" Target="https://ec.europa.eu/info/policies/justice-and-fundamental-rights/rights-child/eu-strategy-rights-child-and-european-child-guarantee_en" TargetMode="External"/><Relationship Id="rId30" Type="http://schemas.openxmlformats.org/officeDocument/2006/relationships/hyperlink" Target="https://eur-lex.europa.eu/legal-content/en/TXT/?uri=CELEX:52021DC0118" TargetMode="External"/><Relationship Id="rId35" Type="http://schemas.openxmlformats.org/officeDocument/2006/relationships/hyperlink" Target="https://www.oecd.org/housing/" TargetMode="External"/><Relationship Id="rId43" Type="http://schemas.openxmlformats.org/officeDocument/2006/relationships/hyperlink" Target="https://www.energypoverty.eu/" TargetMode="External"/><Relationship Id="rId48" Type="http://schemas.openxmlformats.org/officeDocument/2006/relationships/hyperlink" Target="https://ec.europa.eu/info/sites/default/files/communication-shaping-europes-digital-future-feb2020_en_3.pdf" TargetMode="External"/><Relationship Id="rId56" Type="http://schemas.openxmlformats.org/officeDocument/2006/relationships/hyperlink" Target="https://op.europa.eu/en/publication-detail/-/publication/dc247116-771b-11eb-9ac9-01aa75ed71a1/language-en/format-PDF/source-198514239" TargetMode="External"/><Relationship Id="rId64" Type="http://schemas.openxmlformats.org/officeDocument/2006/relationships/theme" Target="theme/theme1.xml"/><Relationship Id="rId8" Type="http://schemas.openxmlformats.org/officeDocument/2006/relationships/hyperlink" Target="https://fsr.eui.eu/measures-to-tackle-the-covid-19-outbreak-impact-on-energy-poverty/" TargetMode="External"/><Relationship Id="rId51" Type="http://schemas.openxmlformats.org/officeDocument/2006/relationships/hyperlink" Target="https://www.eesc.europa.eu/en/news-media/presentations/eesc-conference-energy-poverty-crossroads-european-pillar-social-rights-and-european-green-deal" TargetMode="External"/><Relationship Id="rId3" Type="http://schemas.openxmlformats.org/officeDocument/2006/relationships/styles" Target="styles.xml"/><Relationship Id="rId12" Type="http://schemas.openxmlformats.org/officeDocument/2006/relationships/hyperlink" Target="https://housingfirsteurope.eu/guide/" TargetMode="External"/><Relationship Id="rId17" Type="http://schemas.openxmlformats.org/officeDocument/2006/relationships/hyperlink" Target="https://ec.europa.eu/energy/topics/energy-efficiency/targets-directive-and-rules/energy-efficiency-directive_en" TargetMode="External"/><Relationship Id="rId25" Type="http://schemas.openxmlformats.org/officeDocument/2006/relationships/hyperlink" Target="https://ec.europa.eu/info/law/better-regulation/have-your-say/initiatives/12663-Digital-health-data-and-services-the-European-health-data-space_en" TargetMode="External"/><Relationship Id="rId33" Type="http://schemas.openxmlformats.org/officeDocument/2006/relationships/hyperlink" Target="https://www.eapn.eu/wp-content/uploads/2020/04/EAPN-1-EAPN-Toolkit-Stakeholder-Involvement-ES-2020-4313.pdf" TargetMode="External"/><Relationship Id="rId38" Type="http://schemas.openxmlformats.org/officeDocument/2006/relationships/hyperlink" Target="https://ec.europa.eu/health/state/summary_en" TargetMode="External"/><Relationship Id="rId46" Type="http://schemas.openxmlformats.org/officeDocument/2006/relationships/hyperlink" Target="https://www.socialplatform.org/wp-content/uploads/2021/05/Social-Platform-open-letter-on-the-revision-of-the-Social-Scoreboard.pdf" TargetMode="External"/><Relationship Id="rId59" Type="http://schemas.openxmlformats.org/officeDocument/2006/relationships/hyperlink" Target="https://www.feantsa.org/en/report/2021/02/12/feantsa-report-investment-in-affordable-social-housing-solutions-reaching-the-locked-out-in-europe?bcParent=2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apn.eu/wp-content/uploads/2020/08/EAPN-2020_EAPN-Green-Deal-Key-Messages-Reflection-Paper-4601.pdf" TargetMode="External"/><Relationship Id="rId2" Type="http://schemas.openxmlformats.org/officeDocument/2006/relationships/hyperlink" Target="https://www.eapn.eu/wp-content/uploads/2020/01/EAPN-EAPN-Response-to-the-Annual-Sustainable-Growth-Strategy-2020-4040.pdf" TargetMode="External"/><Relationship Id="rId1" Type="http://schemas.openxmlformats.org/officeDocument/2006/relationships/hyperlink" Target="https://www.eapn.eu/wp-content/uploads/2017/01/EAPN-2016-12-EAPN-Access-to-Housing-and-Health-Services-963.pdf" TargetMode="External"/><Relationship Id="rId5" Type="http://schemas.openxmlformats.org/officeDocument/2006/relationships/hyperlink" Target="https://picum.org/data-protection-and-digital-technologies/" TargetMode="External"/><Relationship Id="rId4" Type="http://schemas.openxmlformats.org/officeDocument/2006/relationships/hyperlink" Target="https://www.eapn.eu/wp-content/uploads/2017/05/EAPN-2017-EAPN-EPSU-energypoverty-leaflet-1138.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1660-3EC4-F94B-8D0E-D389CC1C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5731</Words>
  <Characters>32667</Characters>
  <Application>Microsoft Office Word</Application>
  <DocSecurity>0</DocSecurity>
  <Lines>272</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dc:creator>
  <cp:lastModifiedBy>Rebecca</cp:lastModifiedBy>
  <cp:revision>2</cp:revision>
  <cp:lastPrinted>2015-10-28T10:03:00Z</cp:lastPrinted>
  <dcterms:created xsi:type="dcterms:W3CDTF">2021-07-02T12:57:00Z</dcterms:created>
  <dcterms:modified xsi:type="dcterms:W3CDTF">2021-07-02T12:57:00Z</dcterms:modified>
</cp:coreProperties>
</file>