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741A" w:rsidRDefault="007A741A" w:rsidP="007A741A">
      <w:pPr>
        <w:spacing w:after="0" w:line="240" w:lineRule="auto"/>
        <w:jc w:val="center"/>
        <w:rPr>
          <w:b/>
          <w:sz w:val="28"/>
          <w:szCs w:val="28"/>
        </w:rPr>
      </w:pPr>
      <w:bookmarkStart w:id="0" w:name="_GoBack"/>
      <w:bookmarkEnd w:id="0"/>
      <w:r>
        <w:rPr>
          <w:b/>
          <w:sz w:val="28"/>
          <w:szCs w:val="28"/>
        </w:rPr>
        <w:t>EAPN DECENT WORK TASK FORCE</w:t>
      </w:r>
    </w:p>
    <w:p w:rsidR="007A741A" w:rsidRDefault="007A741A" w:rsidP="007A741A">
      <w:pPr>
        <w:spacing w:after="0" w:line="240" w:lineRule="auto"/>
        <w:jc w:val="center"/>
        <w:rPr>
          <w:b/>
          <w:i/>
          <w:sz w:val="28"/>
          <w:szCs w:val="28"/>
        </w:rPr>
      </w:pPr>
      <w:r>
        <w:rPr>
          <w:b/>
          <w:i/>
          <w:sz w:val="28"/>
          <w:szCs w:val="28"/>
        </w:rPr>
        <w:t>Towards a Living Wage Campaign</w:t>
      </w:r>
    </w:p>
    <w:p w:rsidR="007A741A" w:rsidRDefault="007A741A" w:rsidP="007A741A">
      <w:pPr>
        <w:spacing w:after="0" w:line="240" w:lineRule="auto"/>
        <w:jc w:val="center"/>
        <w:rPr>
          <w:i/>
          <w:sz w:val="28"/>
          <w:szCs w:val="28"/>
        </w:rPr>
      </w:pPr>
    </w:p>
    <w:p w:rsidR="007A741A" w:rsidRDefault="007A741A" w:rsidP="007A741A">
      <w:pPr>
        <w:spacing w:after="0" w:line="240" w:lineRule="auto"/>
        <w:jc w:val="center"/>
        <w:rPr>
          <w:i/>
          <w:sz w:val="28"/>
          <w:szCs w:val="28"/>
        </w:rPr>
      </w:pPr>
      <w:r>
        <w:rPr>
          <w:i/>
          <w:sz w:val="28"/>
          <w:szCs w:val="28"/>
        </w:rPr>
        <w:t>12 September 2014</w:t>
      </w:r>
    </w:p>
    <w:p w:rsidR="007A741A" w:rsidRDefault="007A741A" w:rsidP="007A741A">
      <w:pPr>
        <w:spacing w:after="0" w:line="240" w:lineRule="auto"/>
        <w:rPr>
          <w:b/>
          <w:sz w:val="24"/>
          <w:szCs w:val="24"/>
        </w:rPr>
      </w:pPr>
    </w:p>
    <w:p w:rsidR="007A741A" w:rsidRDefault="007A741A" w:rsidP="007A741A">
      <w:pPr>
        <w:spacing w:after="0" w:line="240" w:lineRule="auto"/>
        <w:jc w:val="both"/>
        <w:rPr>
          <w:sz w:val="24"/>
          <w:szCs w:val="24"/>
        </w:rPr>
      </w:pPr>
      <w:r>
        <w:rPr>
          <w:b/>
          <w:sz w:val="24"/>
          <w:szCs w:val="24"/>
        </w:rPr>
        <w:t xml:space="preserve">Attending: </w:t>
      </w:r>
      <w:r>
        <w:rPr>
          <w:sz w:val="24"/>
          <w:szCs w:val="24"/>
        </w:rPr>
        <w:t xml:space="preserve">Loraine Mulligan (Chair, EAPN IE), Vito Telesca (EAPN IT), Greete Vesalu (EAPN EE), Júlio Paiva (EAPN PT), Raluca Mănăilă (EAPN RO), Amana Ferro (EAPN Secretariat), Nellie Epinat (EAPN Secretariar – in part). </w:t>
      </w:r>
    </w:p>
    <w:p w:rsidR="007A741A" w:rsidRDefault="007A741A" w:rsidP="007A741A">
      <w:pPr>
        <w:spacing w:after="0" w:line="240" w:lineRule="auto"/>
        <w:jc w:val="both"/>
        <w:rPr>
          <w:sz w:val="24"/>
          <w:szCs w:val="24"/>
        </w:rPr>
      </w:pPr>
    </w:p>
    <w:p w:rsidR="007A741A" w:rsidRDefault="007A741A" w:rsidP="007A741A">
      <w:pPr>
        <w:spacing w:after="0" w:line="240" w:lineRule="auto"/>
        <w:jc w:val="both"/>
        <w:rPr>
          <w:sz w:val="24"/>
          <w:szCs w:val="24"/>
        </w:rPr>
      </w:pPr>
      <w:r>
        <w:rPr>
          <w:b/>
          <w:sz w:val="24"/>
          <w:szCs w:val="24"/>
        </w:rPr>
        <w:t xml:space="preserve">Apologies: </w:t>
      </w:r>
      <w:r>
        <w:rPr>
          <w:sz w:val="24"/>
          <w:szCs w:val="24"/>
        </w:rPr>
        <w:t>David Moxham (EAPN UK / Scotland); CUM, who is withdrawing from the Task Force because of lack of resources.</w:t>
      </w:r>
    </w:p>
    <w:p w:rsidR="00183F9C" w:rsidRDefault="00183F9C" w:rsidP="003E4AF1">
      <w:pPr>
        <w:spacing w:after="0" w:line="240" w:lineRule="auto"/>
        <w:jc w:val="both"/>
        <w:rPr>
          <w:b/>
          <w:sz w:val="24"/>
          <w:szCs w:val="24"/>
        </w:rPr>
      </w:pPr>
    </w:p>
    <w:p w:rsidR="003E4AF1" w:rsidRPr="003E4AF1" w:rsidRDefault="003E4AF1" w:rsidP="003E4AF1">
      <w:pPr>
        <w:spacing w:after="0" w:line="240" w:lineRule="auto"/>
        <w:jc w:val="both"/>
        <w:rPr>
          <w:b/>
          <w:sz w:val="24"/>
          <w:szCs w:val="24"/>
        </w:rPr>
      </w:pPr>
      <w:r w:rsidRPr="003E4AF1">
        <w:rPr>
          <w:b/>
          <w:sz w:val="24"/>
          <w:szCs w:val="24"/>
        </w:rPr>
        <w:t>Introduction session</w:t>
      </w:r>
    </w:p>
    <w:p w:rsidR="003E4AF1" w:rsidRDefault="003E4AF1" w:rsidP="003E4AF1">
      <w:pPr>
        <w:spacing w:after="0" w:line="240" w:lineRule="auto"/>
        <w:jc w:val="both"/>
        <w:rPr>
          <w:sz w:val="24"/>
          <w:szCs w:val="24"/>
        </w:rPr>
      </w:pPr>
      <w:r>
        <w:rPr>
          <w:sz w:val="24"/>
          <w:szCs w:val="24"/>
        </w:rPr>
        <w:t>Minutes approved. Agenda approved.</w:t>
      </w:r>
    </w:p>
    <w:p w:rsidR="003E4AF1" w:rsidRPr="003E4AF1" w:rsidRDefault="003E4AF1" w:rsidP="003E4AF1">
      <w:pPr>
        <w:spacing w:after="0" w:line="240" w:lineRule="auto"/>
        <w:jc w:val="both"/>
        <w:rPr>
          <w:sz w:val="24"/>
          <w:szCs w:val="24"/>
        </w:rPr>
      </w:pPr>
    </w:p>
    <w:p w:rsidR="003E4AF1" w:rsidRPr="003E4AF1" w:rsidRDefault="003E4AF1" w:rsidP="003E4AF1">
      <w:pPr>
        <w:spacing w:after="0" w:line="240" w:lineRule="auto"/>
        <w:jc w:val="both"/>
        <w:rPr>
          <w:b/>
          <w:sz w:val="24"/>
          <w:szCs w:val="24"/>
        </w:rPr>
      </w:pPr>
      <w:r w:rsidRPr="003E4AF1">
        <w:rPr>
          <w:b/>
          <w:sz w:val="24"/>
          <w:szCs w:val="24"/>
        </w:rPr>
        <w:t>Feedback on the European Parliament event</w:t>
      </w:r>
    </w:p>
    <w:p w:rsidR="00183F9C" w:rsidRDefault="00183F9C" w:rsidP="003E4AF1">
      <w:pPr>
        <w:spacing w:after="0" w:line="240" w:lineRule="auto"/>
        <w:jc w:val="both"/>
        <w:rPr>
          <w:i/>
          <w:sz w:val="24"/>
          <w:szCs w:val="24"/>
        </w:rPr>
      </w:pPr>
    </w:p>
    <w:p w:rsidR="00183F9C" w:rsidRDefault="003E4AF1" w:rsidP="003E4AF1">
      <w:pPr>
        <w:spacing w:after="0" w:line="240" w:lineRule="auto"/>
        <w:jc w:val="both"/>
        <w:rPr>
          <w:sz w:val="24"/>
          <w:szCs w:val="24"/>
        </w:rPr>
      </w:pPr>
      <w:r w:rsidRPr="00183F9C">
        <w:rPr>
          <w:i/>
          <w:sz w:val="24"/>
          <w:szCs w:val="24"/>
        </w:rPr>
        <w:t>Loraine</w:t>
      </w:r>
      <w:r w:rsidRPr="003E4AF1">
        <w:rPr>
          <w:sz w:val="24"/>
          <w:szCs w:val="24"/>
        </w:rPr>
        <w:t xml:space="preserve"> – </w:t>
      </w:r>
      <w:r w:rsidR="00183F9C">
        <w:rPr>
          <w:sz w:val="24"/>
          <w:szCs w:val="24"/>
        </w:rPr>
        <w:t xml:space="preserve">It was a </w:t>
      </w:r>
      <w:r w:rsidRPr="003E4AF1">
        <w:rPr>
          <w:sz w:val="24"/>
          <w:szCs w:val="24"/>
        </w:rPr>
        <w:t>useful</w:t>
      </w:r>
      <w:r w:rsidR="00183F9C">
        <w:rPr>
          <w:sz w:val="24"/>
          <w:szCs w:val="24"/>
        </w:rPr>
        <w:t xml:space="preserve"> event, featuring good collaboration between NGOs, trade unions and Institutions, and good inputs from all. It was </w:t>
      </w:r>
      <w:r w:rsidRPr="003E4AF1">
        <w:rPr>
          <w:sz w:val="24"/>
          <w:szCs w:val="24"/>
        </w:rPr>
        <w:t>in-depth and informative</w:t>
      </w:r>
      <w:r w:rsidR="00183F9C">
        <w:rPr>
          <w:sz w:val="24"/>
          <w:szCs w:val="24"/>
        </w:rPr>
        <w:t>, and a good debate. More time would have been good, especially to find out more from the institutional representatives.</w:t>
      </w:r>
      <w:r w:rsidR="00686D2E">
        <w:rPr>
          <w:sz w:val="24"/>
          <w:szCs w:val="24"/>
        </w:rPr>
        <w:t xml:space="preserve"> Judith Kirton-Darling was a very good Chair.</w:t>
      </w:r>
      <w:r w:rsidR="00183F9C">
        <w:rPr>
          <w:sz w:val="24"/>
          <w:szCs w:val="24"/>
        </w:rPr>
        <w:t xml:space="preserve"> </w:t>
      </w:r>
    </w:p>
    <w:p w:rsidR="00183F9C" w:rsidRDefault="00183F9C" w:rsidP="003E4AF1">
      <w:pPr>
        <w:spacing w:after="0" w:line="240" w:lineRule="auto"/>
        <w:jc w:val="both"/>
        <w:rPr>
          <w:sz w:val="24"/>
          <w:szCs w:val="24"/>
        </w:rPr>
      </w:pPr>
    </w:p>
    <w:p w:rsidR="003E4AF1" w:rsidRDefault="00183F9C" w:rsidP="003E4AF1">
      <w:pPr>
        <w:spacing w:after="0" w:line="240" w:lineRule="auto"/>
        <w:jc w:val="both"/>
        <w:rPr>
          <w:sz w:val="24"/>
          <w:szCs w:val="24"/>
        </w:rPr>
      </w:pPr>
      <w:r w:rsidRPr="00183F9C">
        <w:rPr>
          <w:i/>
          <w:sz w:val="24"/>
          <w:szCs w:val="24"/>
        </w:rPr>
        <w:t>Raluca</w:t>
      </w:r>
      <w:r>
        <w:rPr>
          <w:sz w:val="24"/>
          <w:szCs w:val="24"/>
        </w:rPr>
        <w:t xml:space="preserve"> – It was useful for our work, because statutory minimum wage was mentioned about a number of countries, and living wage was mentioned as well. There was an explicit mention about setting minimum wage at least at t</w:t>
      </w:r>
      <w:r w:rsidR="00686D2E">
        <w:rPr>
          <w:sz w:val="24"/>
          <w:szCs w:val="24"/>
        </w:rPr>
        <w:t>he level of the poverty line. Th</w:t>
      </w:r>
      <w:r>
        <w:rPr>
          <w:sz w:val="24"/>
          <w:szCs w:val="24"/>
        </w:rPr>
        <w:t xml:space="preserve">ese are trends </w:t>
      </w:r>
      <w:r w:rsidR="00686D2E">
        <w:rPr>
          <w:sz w:val="24"/>
          <w:szCs w:val="24"/>
        </w:rPr>
        <w:t xml:space="preserve">and initiatives we should incorporate in our </w:t>
      </w:r>
      <w:r w:rsidR="00686D2E">
        <w:rPr>
          <w:sz w:val="24"/>
          <w:szCs w:val="24"/>
        </w:rPr>
        <w:lastRenderedPageBreak/>
        <w:t>work. For instance, the Germany example – it is not enough, and the exceptions are dangerous, but it is nonetheless a good step forward.</w:t>
      </w:r>
    </w:p>
    <w:p w:rsidR="00686D2E" w:rsidRDefault="00686D2E" w:rsidP="003E4AF1">
      <w:pPr>
        <w:spacing w:after="0" w:line="240" w:lineRule="auto"/>
        <w:jc w:val="both"/>
        <w:rPr>
          <w:sz w:val="24"/>
          <w:szCs w:val="24"/>
        </w:rPr>
      </w:pPr>
    </w:p>
    <w:p w:rsidR="00686D2E" w:rsidRDefault="00686D2E" w:rsidP="003E4AF1">
      <w:pPr>
        <w:spacing w:after="0" w:line="240" w:lineRule="auto"/>
        <w:jc w:val="both"/>
        <w:rPr>
          <w:sz w:val="24"/>
          <w:szCs w:val="24"/>
        </w:rPr>
      </w:pPr>
      <w:r w:rsidRPr="00686D2E">
        <w:rPr>
          <w:i/>
          <w:sz w:val="24"/>
          <w:szCs w:val="24"/>
        </w:rPr>
        <w:t>Nellie</w:t>
      </w:r>
      <w:r>
        <w:rPr>
          <w:sz w:val="24"/>
          <w:szCs w:val="24"/>
        </w:rPr>
        <w:t xml:space="preserve"> - It was very well picked up by social media, for example on Twitter, where not only EAPN’s tweets were favourited and retweeted, but also other people</w:t>
      </w:r>
      <w:r w:rsidR="007A741A">
        <w:rPr>
          <w:sz w:val="24"/>
          <w:szCs w:val="24"/>
        </w:rPr>
        <w:t>’s</w:t>
      </w:r>
      <w:r>
        <w:rPr>
          <w:sz w:val="24"/>
          <w:szCs w:val="24"/>
        </w:rPr>
        <w:t xml:space="preserve">, including the ETUC. Otherwise, it was a very good event, well-chaired, well-attended. </w:t>
      </w:r>
    </w:p>
    <w:p w:rsidR="00686D2E" w:rsidRDefault="00686D2E" w:rsidP="003E4AF1">
      <w:pPr>
        <w:spacing w:after="0" w:line="240" w:lineRule="auto"/>
        <w:jc w:val="both"/>
        <w:rPr>
          <w:sz w:val="24"/>
          <w:szCs w:val="24"/>
        </w:rPr>
      </w:pPr>
    </w:p>
    <w:p w:rsidR="00686D2E" w:rsidRDefault="00686D2E" w:rsidP="003E4AF1">
      <w:pPr>
        <w:spacing w:after="0" w:line="240" w:lineRule="auto"/>
        <w:jc w:val="both"/>
        <w:rPr>
          <w:b/>
          <w:sz w:val="24"/>
          <w:szCs w:val="24"/>
        </w:rPr>
      </w:pPr>
      <w:r w:rsidRPr="00686D2E">
        <w:rPr>
          <w:b/>
          <w:sz w:val="24"/>
          <w:szCs w:val="24"/>
        </w:rPr>
        <w:t>Campaign communication material</w:t>
      </w:r>
    </w:p>
    <w:p w:rsidR="00686D2E" w:rsidRDefault="00686D2E" w:rsidP="003E4AF1">
      <w:pPr>
        <w:spacing w:after="0" w:line="240" w:lineRule="auto"/>
        <w:jc w:val="both"/>
        <w:rPr>
          <w:b/>
          <w:sz w:val="24"/>
          <w:szCs w:val="24"/>
        </w:rPr>
      </w:pPr>
    </w:p>
    <w:p w:rsidR="007A741A" w:rsidRDefault="008F5BC9" w:rsidP="003E4AF1">
      <w:pPr>
        <w:spacing w:after="0" w:line="240" w:lineRule="auto"/>
        <w:jc w:val="both"/>
        <w:rPr>
          <w:sz w:val="24"/>
          <w:szCs w:val="24"/>
        </w:rPr>
      </w:pPr>
      <w:r w:rsidRPr="004A3833">
        <w:rPr>
          <w:i/>
          <w:sz w:val="24"/>
          <w:szCs w:val="24"/>
        </w:rPr>
        <w:t>Amana</w:t>
      </w:r>
      <w:r w:rsidRPr="008F5BC9">
        <w:rPr>
          <w:sz w:val="24"/>
          <w:szCs w:val="24"/>
        </w:rPr>
        <w:t xml:space="preserve"> </w:t>
      </w:r>
      <w:r>
        <w:rPr>
          <w:sz w:val="24"/>
          <w:szCs w:val="24"/>
        </w:rPr>
        <w:t>–</w:t>
      </w:r>
      <w:r w:rsidRPr="008F5BC9">
        <w:rPr>
          <w:sz w:val="24"/>
          <w:szCs w:val="24"/>
        </w:rPr>
        <w:t xml:space="preserve"> </w:t>
      </w:r>
      <w:r>
        <w:rPr>
          <w:sz w:val="24"/>
          <w:szCs w:val="24"/>
        </w:rPr>
        <w:t xml:space="preserve">The </w:t>
      </w:r>
      <w:r w:rsidR="004A3833">
        <w:rPr>
          <w:sz w:val="24"/>
          <w:szCs w:val="24"/>
        </w:rPr>
        <w:t xml:space="preserve">decision at our last meeting was that EAPN networks are not ready to go directly to the phase of convincing employers, and a “preparatory phase” is needed, at least for the first year (2015). This will include: </w:t>
      </w:r>
    </w:p>
    <w:p w:rsidR="007A741A" w:rsidRDefault="007A741A" w:rsidP="007A741A">
      <w:pPr>
        <w:pStyle w:val="ListParagraph"/>
        <w:numPr>
          <w:ilvl w:val="0"/>
          <w:numId w:val="4"/>
        </w:numPr>
        <w:spacing w:after="0" w:line="240" w:lineRule="auto"/>
        <w:jc w:val="both"/>
        <w:rPr>
          <w:sz w:val="24"/>
          <w:szCs w:val="24"/>
        </w:rPr>
      </w:pPr>
      <w:r>
        <w:rPr>
          <w:sz w:val="24"/>
          <w:szCs w:val="24"/>
        </w:rPr>
        <w:t>M</w:t>
      </w:r>
      <w:r w:rsidR="004A3833" w:rsidRPr="007A741A">
        <w:rPr>
          <w:sz w:val="24"/>
          <w:szCs w:val="24"/>
        </w:rPr>
        <w:t xml:space="preserve">apping of existing initiatives and potential partners; promoting the concept in debates (through common visual tools); </w:t>
      </w:r>
    </w:p>
    <w:p w:rsidR="007A741A" w:rsidRDefault="007A741A" w:rsidP="007A741A">
      <w:pPr>
        <w:pStyle w:val="ListParagraph"/>
        <w:numPr>
          <w:ilvl w:val="0"/>
          <w:numId w:val="4"/>
        </w:numPr>
        <w:spacing w:after="0" w:line="240" w:lineRule="auto"/>
        <w:jc w:val="both"/>
        <w:rPr>
          <w:sz w:val="24"/>
          <w:szCs w:val="24"/>
        </w:rPr>
      </w:pPr>
      <w:r>
        <w:rPr>
          <w:sz w:val="24"/>
          <w:szCs w:val="24"/>
        </w:rPr>
        <w:t>B</w:t>
      </w:r>
      <w:r w:rsidR="004A3833" w:rsidRPr="007A741A">
        <w:rPr>
          <w:sz w:val="24"/>
          <w:szCs w:val="24"/>
        </w:rPr>
        <w:t xml:space="preserve">uilding alliances; </w:t>
      </w:r>
    </w:p>
    <w:p w:rsidR="007A741A" w:rsidRDefault="007A741A" w:rsidP="007A741A">
      <w:pPr>
        <w:pStyle w:val="ListParagraph"/>
        <w:numPr>
          <w:ilvl w:val="0"/>
          <w:numId w:val="4"/>
        </w:numPr>
        <w:spacing w:after="0" w:line="240" w:lineRule="auto"/>
        <w:jc w:val="both"/>
        <w:rPr>
          <w:sz w:val="24"/>
          <w:szCs w:val="24"/>
        </w:rPr>
      </w:pPr>
      <w:r>
        <w:rPr>
          <w:sz w:val="24"/>
          <w:szCs w:val="24"/>
        </w:rPr>
        <w:t>D</w:t>
      </w:r>
      <w:r w:rsidR="004A3833" w:rsidRPr="007A741A">
        <w:rPr>
          <w:sz w:val="24"/>
          <w:szCs w:val="24"/>
        </w:rPr>
        <w:t xml:space="preserve">eciding internally (in the network) what is the methodology and the criteria for declaring someone a living wage employer; </w:t>
      </w:r>
    </w:p>
    <w:p w:rsidR="007A741A" w:rsidRDefault="007A741A" w:rsidP="007A741A">
      <w:pPr>
        <w:pStyle w:val="ListParagraph"/>
        <w:numPr>
          <w:ilvl w:val="0"/>
          <w:numId w:val="4"/>
        </w:numPr>
        <w:spacing w:after="0" w:line="240" w:lineRule="auto"/>
        <w:jc w:val="both"/>
        <w:rPr>
          <w:sz w:val="24"/>
          <w:szCs w:val="24"/>
        </w:rPr>
      </w:pPr>
      <w:r>
        <w:rPr>
          <w:sz w:val="24"/>
          <w:szCs w:val="24"/>
        </w:rPr>
        <w:t>I</w:t>
      </w:r>
      <w:r w:rsidR="004A3833" w:rsidRPr="007A741A">
        <w:rPr>
          <w:sz w:val="24"/>
          <w:szCs w:val="24"/>
        </w:rPr>
        <w:t>dentifying employers wh</w:t>
      </w:r>
      <w:r>
        <w:rPr>
          <w:sz w:val="24"/>
          <w:szCs w:val="24"/>
        </w:rPr>
        <w:t>o already satisfy the criteria.</w:t>
      </w:r>
    </w:p>
    <w:p w:rsidR="007A741A" w:rsidRDefault="007A741A" w:rsidP="007A741A">
      <w:pPr>
        <w:spacing w:after="0" w:line="240" w:lineRule="auto"/>
        <w:ind w:left="360"/>
        <w:jc w:val="both"/>
        <w:rPr>
          <w:sz w:val="24"/>
          <w:szCs w:val="24"/>
        </w:rPr>
      </w:pPr>
    </w:p>
    <w:p w:rsidR="008F5BC9" w:rsidRPr="007A741A" w:rsidRDefault="004A3833" w:rsidP="007A741A">
      <w:pPr>
        <w:spacing w:after="0" w:line="240" w:lineRule="auto"/>
        <w:jc w:val="both"/>
        <w:rPr>
          <w:sz w:val="24"/>
          <w:szCs w:val="24"/>
        </w:rPr>
      </w:pPr>
      <w:r w:rsidRPr="007A741A">
        <w:rPr>
          <w:sz w:val="24"/>
          <w:szCs w:val="24"/>
        </w:rPr>
        <w:t>The work on this is already included in EAPN’s work programme, as “awareness raising activity”</w:t>
      </w:r>
      <w:r w:rsidR="007A741A">
        <w:rPr>
          <w:sz w:val="24"/>
          <w:szCs w:val="24"/>
        </w:rPr>
        <w:t>,</w:t>
      </w:r>
      <w:r w:rsidRPr="007A741A">
        <w:rPr>
          <w:sz w:val="24"/>
          <w:szCs w:val="24"/>
        </w:rPr>
        <w:t xml:space="preserve"> rather than “campaign”, so we don’t bite off more than we can chew. This does not mean we are scaling down our ambitions, or that we are limited in our scope. It just means that each network has to do what they can, without pressure, but every network needs to do something. The Secretariat will coordinate, provide common resources and tools</w:t>
      </w:r>
      <w:r w:rsidR="007A741A">
        <w:rPr>
          <w:sz w:val="24"/>
          <w:szCs w:val="24"/>
        </w:rPr>
        <w:t>,</w:t>
      </w:r>
      <w:r w:rsidRPr="007A741A">
        <w:rPr>
          <w:sz w:val="24"/>
          <w:szCs w:val="24"/>
        </w:rPr>
        <w:t xml:space="preserve"> and facilitate info-sharing, but each network will define their own plan.  </w:t>
      </w:r>
    </w:p>
    <w:p w:rsidR="008F5BC9" w:rsidRDefault="008F5BC9" w:rsidP="003E4AF1">
      <w:pPr>
        <w:spacing w:after="0" w:line="240" w:lineRule="auto"/>
        <w:jc w:val="both"/>
        <w:rPr>
          <w:sz w:val="24"/>
          <w:szCs w:val="24"/>
        </w:rPr>
      </w:pPr>
    </w:p>
    <w:p w:rsidR="008F5BC9" w:rsidRDefault="008F5BC9" w:rsidP="003E4AF1">
      <w:pPr>
        <w:spacing w:after="0" w:line="240" w:lineRule="auto"/>
        <w:jc w:val="both"/>
        <w:rPr>
          <w:sz w:val="24"/>
          <w:szCs w:val="24"/>
        </w:rPr>
      </w:pPr>
      <w:r w:rsidRPr="004A3833">
        <w:rPr>
          <w:i/>
          <w:sz w:val="24"/>
          <w:szCs w:val="24"/>
        </w:rPr>
        <w:lastRenderedPageBreak/>
        <w:t>Raluca</w:t>
      </w:r>
      <w:r>
        <w:rPr>
          <w:sz w:val="24"/>
          <w:szCs w:val="24"/>
        </w:rPr>
        <w:t xml:space="preserve"> – </w:t>
      </w:r>
      <w:r w:rsidR="004A3833">
        <w:rPr>
          <w:sz w:val="24"/>
          <w:szCs w:val="24"/>
        </w:rPr>
        <w:t>It would be useful to have a l</w:t>
      </w:r>
      <w:r>
        <w:rPr>
          <w:sz w:val="24"/>
          <w:szCs w:val="24"/>
        </w:rPr>
        <w:t>iving wage employers</w:t>
      </w:r>
      <w:r w:rsidR="007A741A">
        <w:rPr>
          <w:sz w:val="24"/>
          <w:szCs w:val="24"/>
        </w:rPr>
        <w:t>’</w:t>
      </w:r>
      <w:r>
        <w:rPr>
          <w:sz w:val="24"/>
          <w:szCs w:val="24"/>
        </w:rPr>
        <w:t xml:space="preserve"> database</w:t>
      </w:r>
      <w:r w:rsidR="004A3833">
        <w:rPr>
          <w:sz w:val="24"/>
          <w:szCs w:val="24"/>
        </w:rPr>
        <w:t>. This</w:t>
      </w:r>
      <w:r w:rsidR="00480CB7">
        <w:rPr>
          <w:sz w:val="24"/>
          <w:szCs w:val="24"/>
        </w:rPr>
        <w:t xml:space="preserve"> especially for employers operating in several countries, so that, if they agree to the living wage in one country, they would</w:t>
      </w:r>
      <w:r w:rsidR="007A741A">
        <w:rPr>
          <w:sz w:val="24"/>
          <w:szCs w:val="24"/>
        </w:rPr>
        <w:t xml:space="preserve"> be more easily approached in </w:t>
      </w:r>
      <w:r w:rsidR="00480CB7">
        <w:rPr>
          <w:sz w:val="24"/>
          <w:szCs w:val="24"/>
        </w:rPr>
        <w:t xml:space="preserve">other countries, and enable concerted action between EAPN networks. </w:t>
      </w:r>
    </w:p>
    <w:p w:rsidR="007A741A" w:rsidRDefault="007A741A" w:rsidP="003E4AF1">
      <w:pPr>
        <w:spacing w:after="0" w:line="240" w:lineRule="auto"/>
        <w:jc w:val="both"/>
        <w:rPr>
          <w:sz w:val="24"/>
          <w:szCs w:val="24"/>
        </w:rPr>
      </w:pPr>
    </w:p>
    <w:p w:rsidR="00F41B82" w:rsidRDefault="004A3833" w:rsidP="003E4AF1">
      <w:pPr>
        <w:spacing w:after="0" w:line="240" w:lineRule="auto"/>
        <w:jc w:val="both"/>
        <w:rPr>
          <w:sz w:val="24"/>
          <w:szCs w:val="24"/>
        </w:rPr>
      </w:pPr>
      <w:r w:rsidRPr="004A3833">
        <w:rPr>
          <w:i/>
          <w:sz w:val="24"/>
          <w:szCs w:val="24"/>
        </w:rPr>
        <w:t>Nellie</w:t>
      </w:r>
      <w:r>
        <w:rPr>
          <w:sz w:val="24"/>
          <w:szCs w:val="24"/>
        </w:rPr>
        <w:t xml:space="preserve"> – Nothing can be imposed to national networks, but this is a campaign which will happen at the national level, so everybody has to do something, function of their resources and national circumstances.</w:t>
      </w:r>
      <w:r w:rsidR="00480CB7">
        <w:rPr>
          <w:sz w:val="24"/>
          <w:szCs w:val="24"/>
        </w:rPr>
        <w:t xml:space="preserve"> The Campaign Guide could be made public, this is a question to be put to the EU ISG.  </w:t>
      </w:r>
      <w:r w:rsidR="00F41B82">
        <w:rPr>
          <w:sz w:val="24"/>
          <w:szCs w:val="24"/>
        </w:rPr>
        <w:t xml:space="preserve">The identified stages are not prescriptive, they are just meant to guide networks, but each will decide their own pace and rhythm. </w:t>
      </w:r>
      <w:r w:rsidR="005471B2">
        <w:rPr>
          <w:sz w:val="24"/>
          <w:szCs w:val="24"/>
        </w:rPr>
        <w:t xml:space="preserve">These are just minimum common tools, any country can do much more if they can and want to. </w:t>
      </w:r>
    </w:p>
    <w:p w:rsidR="00F41B82" w:rsidRDefault="00F41B82" w:rsidP="003E4AF1">
      <w:pPr>
        <w:spacing w:after="0" w:line="240" w:lineRule="auto"/>
        <w:jc w:val="both"/>
        <w:rPr>
          <w:sz w:val="24"/>
          <w:szCs w:val="24"/>
        </w:rPr>
      </w:pPr>
    </w:p>
    <w:p w:rsidR="00F41B82" w:rsidRPr="00747B13" w:rsidRDefault="00F41B82" w:rsidP="003E4AF1">
      <w:pPr>
        <w:spacing w:after="0" w:line="240" w:lineRule="auto"/>
        <w:jc w:val="both"/>
        <w:rPr>
          <w:sz w:val="24"/>
          <w:szCs w:val="24"/>
        </w:rPr>
      </w:pPr>
      <w:r w:rsidRPr="007A741A">
        <w:rPr>
          <w:sz w:val="24"/>
          <w:szCs w:val="24"/>
          <w:u w:val="single"/>
        </w:rPr>
        <w:t>Logo.</w:t>
      </w:r>
      <w:r w:rsidR="00747B13">
        <w:rPr>
          <w:sz w:val="24"/>
          <w:szCs w:val="24"/>
        </w:rPr>
        <w:t xml:space="preserve"> We have some proposals, to be decided by the EU ISG. The suggestion is to include the duo “living wage – decent life”</w:t>
      </w:r>
      <w:r w:rsidR="00234F4D">
        <w:rPr>
          <w:sz w:val="24"/>
          <w:szCs w:val="24"/>
        </w:rPr>
        <w:t>. This could be achieved with, for instance, two hands with index fingers interlinked; or two puzzle</w:t>
      </w:r>
      <w:r w:rsidR="002153A8">
        <w:rPr>
          <w:sz w:val="24"/>
          <w:szCs w:val="24"/>
        </w:rPr>
        <w:t xml:space="preserve"> pieces, in the shape of people; or the image of a hand on a background splash of paint. Two strong colours will be chosen, to serve as campaign colours. </w:t>
      </w:r>
      <w:r w:rsidR="00ED4D9A">
        <w:rPr>
          <w:sz w:val="24"/>
          <w:szCs w:val="24"/>
        </w:rPr>
        <w:t xml:space="preserve"> </w:t>
      </w:r>
      <w:r w:rsidR="00234F4D">
        <w:rPr>
          <w:sz w:val="24"/>
          <w:szCs w:val="24"/>
        </w:rPr>
        <w:t xml:space="preserve"> </w:t>
      </w:r>
    </w:p>
    <w:p w:rsidR="00F41B82" w:rsidRDefault="00F41B82" w:rsidP="003E4AF1">
      <w:pPr>
        <w:spacing w:after="0" w:line="240" w:lineRule="auto"/>
        <w:jc w:val="both"/>
        <w:rPr>
          <w:sz w:val="24"/>
          <w:szCs w:val="24"/>
        </w:rPr>
      </w:pPr>
    </w:p>
    <w:p w:rsidR="00F41B82" w:rsidRDefault="00F41B82" w:rsidP="003E4AF1">
      <w:pPr>
        <w:spacing w:after="0" w:line="240" w:lineRule="auto"/>
        <w:jc w:val="both"/>
        <w:rPr>
          <w:sz w:val="24"/>
          <w:szCs w:val="24"/>
        </w:rPr>
      </w:pPr>
      <w:r w:rsidRPr="007A741A">
        <w:rPr>
          <w:sz w:val="24"/>
          <w:szCs w:val="24"/>
          <w:u w:val="single"/>
        </w:rPr>
        <w:t>Facebook page.</w:t>
      </w:r>
      <w:r>
        <w:rPr>
          <w:sz w:val="24"/>
          <w:szCs w:val="24"/>
        </w:rPr>
        <w:t xml:space="preserve"> The disadvantage of a Facebook page is that not everyone has a Facebook account, not everybody uses it for professional reasons. However, the advantages outnumber this disadvantage: a Facebook page are much more dynamic, allowing interaction (everyone can post, comment, react, unlike on a blog, where only administrators can); private employers are on Facebook and they use it extensiv</w:t>
      </w:r>
      <w:r w:rsidR="005471B2">
        <w:rPr>
          <w:sz w:val="24"/>
          <w:szCs w:val="24"/>
        </w:rPr>
        <w:t xml:space="preserve">ely; a blog also needs to be updated much more often. </w:t>
      </w:r>
    </w:p>
    <w:p w:rsidR="00F41B82" w:rsidRDefault="00F41B82" w:rsidP="003E4AF1">
      <w:pPr>
        <w:spacing w:after="0" w:line="240" w:lineRule="auto"/>
        <w:jc w:val="both"/>
        <w:rPr>
          <w:sz w:val="24"/>
          <w:szCs w:val="24"/>
        </w:rPr>
      </w:pPr>
    </w:p>
    <w:p w:rsidR="00F41B82" w:rsidRDefault="00F41B82" w:rsidP="003E4AF1">
      <w:pPr>
        <w:spacing w:after="0" w:line="240" w:lineRule="auto"/>
        <w:jc w:val="both"/>
        <w:rPr>
          <w:sz w:val="24"/>
          <w:szCs w:val="24"/>
        </w:rPr>
      </w:pPr>
      <w:r w:rsidRPr="007A741A">
        <w:rPr>
          <w:sz w:val="24"/>
          <w:szCs w:val="24"/>
          <w:u w:val="single"/>
        </w:rPr>
        <w:t>Twitter page.</w:t>
      </w:r>
      <w:r w:rsidR="005471B2">
        <w:rPr>
          <w:sz w:val="24"/>
          <w:szCs w:val="24"/>
        </w:rPr>
        <w:t xml:space="preserve"> Not needed at this stage. Could consider using a joint hashtag</w:t>
      </w:r>
      <w:r w:rsidR="005B74A2">
        <w:rPr>
          <w:sz w:val="24"/>
          <w:szCs w:val="24"/>
        </w:rPr>
        <w:t xml:space="preserve">, such as #livingwage, which is already in use, to link up to existing initiatives. Countries </w:t>
      </w:r>
      <w:r w:rsidR="005B74A2">
        <w:rPr>
          <w:sz w:val="24"/>
          <w:szCs w:val="24"/>
        </w:rPr>
        <w:lastRenderedPageBreak/>
        <w:t xml:space="preserve">may consider creating an own-language hashtag, to use in addition to the English one. </w:t>
      </w:r>
      <w:r w:rsidR="005471B2">
        <w:rPr>
          <w:sz w:val="24"/>
          <w:szCs w:val="24"/>
        </w:rPr>
        <w:t xml:space="preserve"> </w:t>
      </w:r>
    </w:p>
    <w:p w:rsidR="00F41B82" w:rsidRDefault="00F41B82" w:rsidP="003E4AF1">
      <w:pPr>
        <w:spacing w:after="0" w:line="240" w:lineRule="auto"/>
        <w:jc w:val="both"/>
        <w:rPr>
          <w:sz w:val="24"/>
          <w:szCs w:val="24"/>
        </w:rPr>
      </w:pPr>
    </w:p>
    <w:p w:rsidR="00F41B82" w:rsidRPr="00F41B82" w:rsidRDefault="00F41B82" w:rsidP="003E4AF1">
      <w:pPr>
        <w:spacing w:after="0" w:line="240" w:lineRule="auto"/>
        <w:jc w:val="both"/>
        <w:rPr>
          <w:i/>
          <w:sz w:val="24"/>
          <w:szCs w:val="24"/>
        </w:rPr>
      </w:pPr>
      <w:r w:rsidRPr="007A741A">
        <w:rPr>
          <w:sz w:val="24"/>
          <w:szCs w:val="24"/>
          <w:u w:val="single"/>
        </w:rPr>
        <w:t>LinkedIn page</w:t>
      </w:r>
      <w:r w:rsidRPr="00F41B82">
        <w:rPr>
          <w:i/>
          <w:sz w:val="24"/>
          <w:szCs w:val="24"/>
        </w:rPr>
        <w:t>.</w:t>
      </w:r>
      <w:r w:rsidR="005471B2">
        <w:rPr>
          <w:i/>
          <w:sz w:val="24"/>
          <w:szCs w:val="24"/>
        </w:rPr>
        <w:t xml:space="preserve"> </w:t>
      </w:r>
      <w:r w:rsidR="005471B2" w:rsidRPr="005471B2">
        <w:rPr>
          <w:sz w:val="24"/>
          <w:szCs w:val="24"/>
        </w:rPr>
        <w:t xml:space="preserve">Main updates will be distributed through EAPN’s company page. </w:t>
      </w:r>
    </w:p>
    <w:p w:rsidR="00F41B82" w:rsidRDefault="00F41B82" w:rsidP="003E4AF1">
      <w:pPr>
        <w:spacing w:after="0" w:line="240" w:lineRule="auto"/>
        <w:jc w:val="both"/>
        <w:rPr>
          <w:sz w:val="24"/>
          <w:szCs w:val="24"/>
        </w:rPr>
      </w:pPr>
    </w:p>
    <w:p w:rsidR="00F41B82" w:rsidRPr="005B74A2" w:rsidRDefault="00F41B82" w:rsidP="003E4AF1">
      <w:pPr>
        <w:spacing w:after="0" w:line="240" w:lineRule="auto"/>
        <w:jc w:val="both"/>
        <w:rPr>
          <w:sz w:val="24"/>
          <w:szCs w:val="24"/>
        </w:rPr>
      </w:pPr>
      <w:r w:rsidRPr="007A741A">
        <w:rPr>
          <w:sz w:val="24"/>
          <w:szCs w:val="24"/>
          <w:u w:val="single"/>
        </w:rPr>
        <w:t>Static page on the EAPN website.</w:t>
      </w:r>
      <w:r w:rsidRPr="00F41B82">
        <w:rPr>
          <w:i/>
          <w:sz w:val="24"/>
          <w:szCs w:val="24"/>
        </w:rPr>
        <w:t xml:space="preserve"> </w:t>
      </w:r>
      <w:r w:rsidR="005B74A2">
        <w:rPr>
          <w:sz w:val="24"/>
          <w:szCs w:val="24"/>
        </w:rPr>
        <w:t xml:space="preserve">Reference (under What we do, or Campaigns, etc) a paragraoh or two explaining the action and </w:t>
      </w:r>
      <w:r w:rsidR="005B74A2" w:rsidRPr="00D219B4">
        <w:rPr>
          <w:sz w:val="24"/>
          <w:szCs w:val="24"/>
        </w:rPr>
        <w:t>pointing</w:t>
      </w:r>
      <w:r w:rsidR="005B74A2">
        <w:rPr>
          <w:sz w:val="24"/>
          <w:szCs w:val="24"/>
        </w:rPr>
        <w:t xml:space="preserve"> to the logo, tools, Facebook page etc. </w:t>
      </w:r>
    </w:p>
    <w:p w:rsidR="00F41B82" w:rsidRDefault="00F41B82" w:rsidP="003E4AF1">
      <w:pPr>
        <w:spacing w:after="0" w:line="240" w:lineRule="auto"/>
        <w:jc w:val="both"/>
        <w:rPr>
          <w:sz w:val="24"/>
          <w:szCs w:val="24"/>
        </w:rPr>
      </w:pPr>
    </w:p>
    <w:p w:rsidR="005471B2" w:rsidRDefault="005471B2" w:rsidP="003E4AF1">
      <w:pPr>
        <w:spacing w:after="0" w:line="240" w:lineRule="auto"/>
        <w:jc w:val="both"/>
        <w:rPr>
          <w:sz w:val="24"/>
          <w:szCs w:val="24"/>
        </w:rPr>
      </w:pPr>
      <w:r w:rsidRPr="007A741A">
        <w:rPr>
          <w:sz w:val="24"/>
          <w:szCs w:val="24"/>
          <w:u w:val="single"/>
        </w:rPr>
        <w:t>2-pager.</w:t>
      </w:r>
      <w:r>
        <w:rPr>
          <w:sz w:val="24"/>
          <w:szCs w:val="24"/>
        </w:rPr>
        <w:t xml:space="preserve"> </w:t>
      </w:r>
      <w:r w:rsidR="005B74A2">
        <w:rPr>
          <w:sz w:val="24"/>
          <w:szCs w:val="24"/>
        </w:rPr>
        <w:t>Short description of what is living wage, what is the model for the campaign, why is it relevant for EAPN.</w:t>
      </w:r>
      <w:r w:rsidR="00163711">
        <w:rPr>
          <w:sz w:val="24"/>
          <w:szCs w:val="24"/>
        </w:rPr>
        <w:t xml:space="preserve"> The Task Force will review this, even if their mandate will be over. </w:t>
      </w:r>
    </w:p>
    <w:p w:rsidR="005471B2" w:rsidRDefault="005471B2" w:rsidP="003E4AF1">
      <w:pPr>
        <w:spacing w:after="0" w:line="240" w:lineRule="auto"/>
        <w:jc w:val="both"/>
        <w:rPr>
          <w:sz w:val="24"/>
          <w:szCs w:val="24"/>
        </w:rPr>
      </w:pPr>
    </w:p>
    <w:p w:rsidR="00D219B4" w:rsidRPr="00D219B4" w:rsidRDefault="00D219B4" w:rsidP="00D219B4">
      <w:pPr>
        <w:spacing w:after="0" w:line="240" w:lineRule="auto"/>
        <w:jc w:val="both"/>
        <w:rPr>
          <w:b/>
          <w:sz w:val="24"/>
          <w:szCs w:val="24"/>
          <w:u w:val="single"/>
        </w:rPr>
      </w:pPr>
      <w:r w:rsidRPr="00D219B4">
        <w:rPr>
          <w:b/>
          <w:sz w:val="24"/>
          <w:szCs w:val="24"/>
          <w:u w:val="single"/>
        </w:rPr>
        <w:t>Action points:</w:t>
      </w:r>
    </w:p>
    <w:p w:rsidR="00D219B4" w:rsidRPr="00D219B4" w:rsidRDefault="00D219B4" w:rsidP="00D219B4">
      <w:pPr>
        <w:pStyle w:val="ListParagraph"/>
        <w:numPr>
          <w:ilvl w:val="0"/>
          <w:numId w:val="1"/>
        </w:numPr>
        <w:spacing w:after="0" w:line="240" w:lineRule="auto"/>
        <w:jc w:val="both"/>
        <w:rPr>
          <w:b/>
          <w:i/>
          <w:sz w:val="24"/>
          <w:szCs w:val="24"/>
        </w:rPr>
      </w:pPr>
      <w:r w:rsidRPr="00D219B4">
        <w:rPr>
          <w:b/>
          <w:i/>
          <w:sz w:val="24"/>
          <w:szCs w:val="24"/>
        </w:rPr>
        <w:t>These tools to be incorporated in the Campaign Guide;</w:t>
      </w:r>
    </w:p>
    <w:p w:rsidR="00D219B4" w:rsidRPr="00D219B4" w:rsidRDefault="00D219B4" w:rsidP="00D219B4">
      <w:pPr>
        <w:pStyle w:val="ListParagraph"/>
        <w:numPr>
          <w:ilvl w:val="0"/>
          <w:numId w:val="1"/>
        </w:numPr>
        <w:spacing w:after="0" w:line="240" w:lineRule="auto"/>
        <w:jc w:val="both"/>
        <w:rPr>
          <w:b/>
          <w:i/>
          <w:sz w:val="24"/>
          <w:szCs w:val="24"/>
        </w:rPr>
      </w:pPr>
      <w:r w:rsidRPr="00D219B4">
        <w:rPr>
          <w:b/>
          <w:i/>
          <w:sz w:val="24"/>
          <w:szCs w:val="24"/>
        </w:rPr>
        <w:t>The logo proposals to be done and presented to the EU ISG</w:t>
      </w:r>
    </w:p>
    <w:p w:rsidR="00D219B4" w:rsidRDefault="00D219B4" w:rsidP="003E4AF1">
      <w:pPr>
        <w:spacing w:after="0" w:line="240" w:lineRule="auto"/>
        <w:jc w:val="both"/>
        <w:rPr>
          <w:sz w:val="24"/>
          <w:szCs w:val="24"/>
        </w:rPr>
      </w:pPr>
    </w:p>
    <w:p w:rsidR="00D219B4" w:rsidRPr="00D219B4" w:rsidRDefault="00D219B4" w:rsidP="003E4AF1">
      <w:pPr>
        <w:spacing w:after="0" w:line="240" w:lineRule="auto"/>
        <w:jc w:val="both"/>
        <w:rPr>
          <w:b/>
          <w:sz w:val="24"/>
          <w:szCs w:val="24"/>
        </w:rPr>
      </w:pPr>
      <w:r w:rsidRPr="00D219B4">
        <w:rPr>
          <w:b/>
          <w:sz w:val="24"/>
          <w:szCs w:val="24"/>
        </w:rPr>
        <w:t>The Concept and Feasibility Note</w:t>
      </w:r>
    </w:p>
    <w:p w:rsidR="00186CF4" w:rsidRDefault="00255C5C" w:rsidP="00255C5C">
      <w:pPr>
        <w:pStyle w:val="ListParagraph"/>
        <w:numPr>
          <w:ilvl w:val="0"/>
          <w:numId w:val="2"/>
        </w:numPr>
        <w:spacing w:after="0" w:line="240" w:lineRule="auto"/>
        <w:jc w:val="both"/>
        <w:rPr>
          <w:sz w:val="24"/>
          <w:szCs w:val="24"/>
        </w:rPr>
      </w:pPr>
      <w:r>
        <w:rPr>
          <w:sz w:val="24"/>
          <w:szCs w:val="24"/>
        </w:rPr>
        <w:t>It would be good to introduce a section on the relevance for EAPN – why is our network doing it now</w:t>
      </w:r>
      <w:r w:rsidR="00186CF4">
        <w:rPr>
          <w:sz w:val="24"/>
          <w:szCs w:val="24"/>
        </w:rPr>
        <w:t xml:space="preserve">, what are the objectives, why is it important for both policy and network; </w:t>
      </w:r>
    </w:p>
    <w:p w:rsidR="00186CF4" w:rsidRDefault="00CE5482" w:rsidP="00255C5C">
      <w:pPr>
        <w:pStyle w:val="ListParagraph"/>
        <w:numPr>
          <w:ilvl w:val="0"/>
          <w:numId w:val="2"/>
        </w:numPr>
        <w:spacing w:after="0" w:line="240" w:lineRule="auto"/>
        <w:jc w:val="both"/>
        <w:rPr>
          <w:sz w:val="24"/>
          <w:szCs w:val="24"/>
        </w:rPr>
      </w:pPr>
      <w:r>
        <w:rPr>
          <w:sz w:val="24"/>
          <w:szCs w:val="24"/>
        </w:rPr>
        <w:t xml:space="preserve">Structure of the first part: </w:t>
      </w:r>
    </w:p>
    <w:p w:rsidR="00CE5482" w:rsidRDefault="00CE5482" w:rsidP="00CE5482">
      <w:pPr>
        <w:pStyle w:val="ListParagraph"/>
        <w:numPr>
          <w:ilvl w:val="0"/>
          <w:numId w:val="3"/>
        </w:numPr>
        <w:spacing w:after="0" w:line="240" w:lineRule="auto"/>
        <w:jc w:val="both"/>
        <w:rPr>
          <w:sz w:val="24"/>
          <w:szCs w:val="24"/>
        </w:rPr>
      </w:pPr>
      <w:r>
        <w:rPr>
          <w:sz w:val="24"/>
          <w:szCs w:val="24"/>
        </w:rPr>
        <w:t>What is the Concept and Feasibility Note</w:t>
      </w:r>
    </w:p>
    <w:p w:rsidR="00CE5482" w:rsidRDefault="00CE5482" w:rsidP="00CE5482">
      <w:pPr>
        <w:pStyle w:val="ListParagraph"/>
        <w:numPr>
          <w:ilvl w:val="0"/>
          <w:numId w:val="3"/>
        </w:numPr>
        <w:spacing w:after="0" w:line="240" w:lineRule="auto"/>
        <w:jc w:val="both"/>
        <w:rPr>
          <w:sz w:val="24"/>
          <w:szCs w:val="24"/>
        </w:rPr>
      </w:pPr>
      <w:r>
        <w:rPr>
          <w:sz w:val="24"/>
          <w:szCs w:val="24"/>
        </w:rPr>
        <w:t>Why do this campaign in EAPN now</w:t>
      </w:r>
    </w:p>
    <w:p w:rsidR="00CE5482" w:rsidRDefault="00CE5482" w:rsidP="00CE5482">
      <w:pPr>
        <w:pStyle w:val="ListParagraph"/>
        <w:numPr>
          <w:ilvl w:val="0"/>
          <w:numId w:val="3"/>
        </w:numPr>
        <w:spacing w:after="0" w:line="240" w:lineRule="auto"/>
        <w:jc w:val="both"/>
        <w:rPr>
          <w:sz w:val="24"/>
          <w:szCs w:val="24"/>
        </w:rPr>
      </w:pPr>
      <w:r>
        <w:rPr>
          <w:sz w:val="24"/>
          <w:szCs w:val="24"/>
        </w:rPr>
        <w:t>Background: the issue of low pay</w:t>
      </w:r>
    </w:p>
    <w:p w:rsidR="00CE5482" w:rsidRDefault="00CE5482" w:rsidP="00CE5482">
      <w:pPr>
        <w:pStyle w:val="ListParagraph"/>
        <w:numPr>
          <w:ilvl w:val="0"/>
          <w:numId w:val="3"/>
        </w:numPr>
        <w:spacing w:after="0" w:line="240" w:lineRule="auto"/>
        <w:jc w:val="both"/>
        <w:rPr>
          <w:sz w:val="24"/>
          <w:szCs w:val="24"/>
        </w:rPr>
      </w:pPr>
      <w:r>
        <w:rPr>
          <w:sz w:val="24"/>
          <w:szCs w:val="24"/>
        </w:rPr>
        <w:t>The concept of a living wage</w:t>
      </w:r>
    </w:p>
    <w:p w:rsidR="00CE5482" w:rsidRDefault="00CE5482" w:rsidP="00CE5482">
      <w:pPr>
        <w:pStyle w:val="ListParagraph"/>
        <w:numPr>
          <w:ilvl w:val="0"/>
          <w:numId w:val="3"/>
        </w:numPr>
        <w:spacing w:after="0" w:line="240" w:lineRule="auto"/>
        <w:jc w:val="both"/>
        <w:rPr>
          <w:sz w:val="24"/>
          <w:szCs w:val="24"/>
        </w:rPr>
      </w:pPr>
      <w:r>
        <w:rPr>
          <w:sz w:val="24"/>
          <w:szCs w:val="24"/>
        </w:rPr>
        <w:t>Approaches to address low pay and the link to Living Wage</w:t>
      </w:r>
    </w:p>
    <w:p w:rsidR="00CE5482" w:rsidRDefault="00CE5482" w:rsidP="00CE5482">
      <w:pPr>
        <w:pStyle w:val="ListParagraph"/>
        <w:numPr>
          <w:ilvl w:val="0"/>
          <w:numId w:val="3"/>
        </w:numPr>
        <w:spacing w:after="0" w:line="240" w:lineRule="auto"/>
        <w:jc w:val="both"/>
        <w:rPr>
          <w:sz w:val="24"/>
          <w:szCs w:val="24"/>
        </w:rPr>
      </w:pPr>
      <w:r>
        <w:rPr>
          <w:sz w:val="24"/>
          <w:szCs w:val="24"/>
        </w:rPr>
        <w:t>Context of the Living Wage campaign – Living Wage Agenda</w:t>
      </w:r>
    </w:p>
    <w:p w:rsidR="00CE5482" w:rsidRPr="00CE5482" w:rsidRDefault="00CE5482" w:rsidP="00CE5482">
      <w:pPr>
        <w:spacing w:after="0" w:line="240" w:lineRule="auto"/>
        <w:ind w:left="360"/>
        <w:jc w:val="both"/>
        <w:rPr>
          <w:sz w:val="24"/>
          <w:szCs w:val="24"/>
        </w:rPr>
      </w:pPr>
      <w:r>
        <w:rPr>
          <w:sz w:val="24"/>
          <w:szCs w:val="24"/>
        </w:rPr>
        <w:lastRenderedPageBreak/>
        <w:t>+ BOX with country examples (of both campaigns and other related initiatives)</w:t>
      </w:r>
    </w:p>
    <w:p w:rsidR="00186CF4" w:rsidRDefault="008B07B2" w:rsidP="008B07B2">
      <w:pPr>
        <w:pStyle w:val="ListParagraph"/>
        <w:numPr>
          <w:ilvl w:val="0"/>
          <w:numId w:val="2"/>
        </w:numPr>
        <w:spacing w:after="0" w:line="240" w:lineRule="auto"/>
        <w:jc w:val="both"/>
        <w:rPr>
          <w:sz w:val="24"/>
          <w:szCs w:val="24"/>
        </w:rPr>
      </w:pPr>
      <w:r>
        <w:rPr>
          <w:sz w:val="24"/>
          <w:szCs w:val="24"/>
        </w:rPr>
        <w:t>Second part – Put point 7 (feasibility)</w:t>
      </w:r>
      <w:r w:rsidR="00401E86">
        <w:rPr>
          <w:sz w:val="24"/>
          <w:szCs w:val="24"/>
        </w:rPr>
        <w:t xml:space="preserve"> before point 6 (Factors to address…)</w:t>
      </w:r>
    </w:p>
    <w:p w:rsidR="00401E86" w:rsidRDefault="00401E86" w:rsidP="008B07B2">
      <w:pPr>
        <w:pStyle w:val="ListParagraph"/>
        <w:numPr>
          <w:ilvl w:val="0"/>
          <w:numId w:val="2"/>
        </w:numPr>
        <w:spacing w:after="0" w:line="240" w:lineRule="auto"/>
        <w:jc w:val="both"/>
        <w:rPr>
          <w:sz w:val="24"/>
          <w:szCs w:val="24"/>
        </w:rPr>
      </w:pPr>
      <w:r>
        <w:rPr>
          <w:sz w:val="24"/>
          <w:szCs w:val="24"/>
        </w:rPr>
        <w:t xml:space="preserve">Point about Feasibility – include an introductory paragraph about how we collected the information, the survey (and add survey in annex), and present below the main conclusions (in the points a), b), c) etc) and proposed action plan that would fit what EAPN can do; </w:t>
      </w:r>
    </w:p>
    <w:p w:rsidR="00186CF4" w:rsidRDefault="00186CF4" w:rsidP="00186CF4">
      <w:pPr>
        <w:spacing w:after="0" w:line="240" w:lineRule="auto"/>
        <w:ind w:left="360"/>
        <w:jc w:val="both"/>
        <w:rPr>
          <w:sz w:val="24"/>
          <w:szCs w:val="24"/>
        </w:rPr>
      </w:pPr>
    </w:p>
    <w:p w:rsidR="00186CF4" w:rsidRPr="00186CF4" w:rsidRDefault="00186CF4" w:rsidP="00186CF4">
      <w:pPr>
        <w:spacing w:after="0" w:line="240" w:lineRule="auto"/>
        <w:jc w:val="both"/>
        <w:rPr>
          <w:b/>
          <w:sz w:val="24"/>
          <w:szCs w:val="24"/>
          <w:u w:val="single"/>
        </w:rPr>
      </w:pPr>
      <w:r w:rsidRPr="00186CF4">
        <w:rPr>
          <w:b/>
          <w:sz w:val="24"/>
          <w:szCs w:val="24"/>
          <w:u w:val="single"/>
        </w:rPr>
        <w:t xml:space="preserve">Action points: </w:t>
      </w:r>
    </w:p>
    <w:p w:rsidR="00234F4D" w:rsidRDefault="00186CF4" w:rsidP="00186CF4">
      <w:pPr>
        <w:pStyle w:val="ListParagraph"/>
        <w:numPr>
          <w:ilvl w:val="0"/>
          <w:numId w:val="1"/>
        </w:numPr>
        <w:spacing w:after="0" w:line="240" w:lineRule="auto"/>
        <w:jc w:val="both"/>
        <w:rPr>
          <w:b/>
          <w:i/>
          <w:sz w:val="24"/>
          <w:szCs w:val="24"/>
        </w:rPr>
      </w:pPr>
      <w:r w:rsidRPr="00186CF4">
        <w:rPr>
          <w:b/>
          <w:i/>
          <w:sz w:val="24"/>
          <w:szCs w:val="24"/>
        </w:rPr>
        <w:t xml:space="preserve">Amana to provide some language on the Rationale </w:t>
      </w:r>
      <w:r w:rsidR="002153A8" w:rsidRPr="00186CF4">
        <w:rPr>
          <w:b/>
          <w:i/>
          <w:sz w:val="24"/>
          <w:szCs w:val="24"/>
        </w:rPr>
        <w:t xml:space="preserve"> </w:t>
      </w:r>
    </w:p>
    <w:p w:rsidR="00CE5482" w:rsidRDefault="00CE5482" w:rsidP="00186CF4">
      <w:pPr>
        <w:pStyle w:val="ListParagraph"/>
        <w:numPr>
          <w:ilvl w:val="0"/>
          <w:numId w:val="1"/>
        </w:numPr>
        <w:spacing w:after="0" w:line="240" w:lineRule="auto"/>
        <w:jc w:val="both"/>
        <w:rPr>
          <w:b/>
          <w:i/>
          <w:sz w:val="24"/>
          <w:szCs w:val="24"/>
        </w:rPr>
      </w:pPr>
      <w:r>
        <w:rPr>
          <w:b/>
          <w:i/>
          <w:sz w:val="24"/>
          <w:szCs w:val="24"/>
        </w:rPr>
        <w:t>Loraine to liaise with Dave</w:t>
      </w:r>
      <w:r w:rsidR="007A741A">
        <w:rPr>
          <w:b/>
          <w:i/>
          <w:sz w:val="24"/>
          <w:szCs w:val="24"/>
        </w:rPr>
        <w:t>/Amana</w:t>
      </w:r>
      <w:r>
        <w:rPr>
          <w:b/>
          <w:i/>
          <w:sz w:val="24"/>
          <w:szCs w:val="24"/>
        </w:rPr>
        <w:t xml:space="preserve"> about eliminating bits from the Campaign Guide, which will be incorporated in the Concept Note</w:t>
      </w:r>
    </w:p>
    <w:p w:rsidR="00401E86" w:rsidRDefault="00401E86" w:rsidP="00186CF4">
      <w:pPr>
        <w:pStyle w:val="ListParagraph"/>
        <w:numPr>
          <w:ilvl w:val="0"/>
          <w:numId w:val="1"/>
        </w:numPr>
        <w:spacing w:after="0" w:line="240" w:lineRule="auto"/>
        <w:jc w:val="both"/>
        <w:rPr>
          <w:b/>
          <w:i/>
          <w:sz w:val="24"/>
          <w:szCs w:val="24"/>
        </w:rPr>
      </w:pPr>
      <w:r>
        <w:rPr>
          <w:b/>
          <w:i/>
          <w:sz w:val="24"/>
          <w:szCs w:val="24"/>
        </w:rPr>
        <w:t>Amana to provide a paragraph for the introduction to Feasibility</w:t>
      </w:r>
    </w:p>
    <w:p w:rsidR="00401E86" w:rsidRDefault="005404F5" w:rsidP="00186CF4">
      <w:pPr>
        <w:pStyle w:val="ListParagraph"/>
        <w:numPr>
          <w:ilvl w:val="0"/>
          <w:numId w:val="1"/>
        </w:numPr>
        <w:spacing w:after="0" w:line="240" w:lineRule="auto"/>
        <w:jc w:val="both"/>
        <w:rPr>
          <w:b/>
          <w:i/>
          <w:sz w:val="24"/>
          <w:szCs w:val="24"/>
        </w:rPr>
      </w:pPr>
      <w:r>
        <w:rPr>
          <w:b/>
          <w:i/>
          <w:sz w:val="24"/>
          <w:szCs w:val="24"/>
        </w:rPr>
        <w:t>Amana to provide an ending</w:t>
      </w:r>
      <w:r w:rsidR="007259BD">
        <w:rPr>
          <w:b/>
          <w:i/>
          <w:sz w:val="24"/>
          <w:szCs w:val="24"/>
        </w:rPr>
        <w:t xml:space="preserve"> – Next Steps</w:t>
      </w:r>
    </w:p>
    <w:p w:rsidR="006E2815" w:rsidRDefault="006E2815" w:rsidP="006E2815">
      <w:pPr>
        <w:spacing w:after="0" w:line="240" w:lineRule="auto"/>
        <w:jc w:val="both"/>
        <w:rPr>
          <w:b/>
          <w:i/>
          <w:sz w:val="24"/>
          <w:szCs w:val="24"/>
        </w:rPr>
      </w:pPr>
    </w:p>
    <w:p w:rsidR="006E2815" w:rsidRDefault="006E2815" w:rsidP="006E2815">
      <w:pPr>
        <w:spacing w:after="0" w:line="240" w:lineRule="auto"/>
        <w:jc w:val="both"/>
        <w:rPr>
          <w:b/>
          <w:sz w:val="24"/>
          <w:szCs w:val="24"/>
        </w:rPr>
      </w:pPr>
      <w:r>
        <w:rPr>
          <w:b/>
          <w:sz w:val="24"/>
          <w:szCs w:val="24"/>
        </w:rPr>
        <w:t>Campaign Guide</w:t>
      </w:r>
    </w:p>
    <w:p w:rsidR="00091F79" w:rsidRDefault="00091F79" w:rsidP="00091F79">
      <w:pPr>
        <w:pStyle w:val="ListParagraph"/>
        <w:numPr>
          <w:ilvl w:val="0"/>
          <w:numId w:val="1"/>
        </w:numPr>
        <w:spacing w:after="0" w:line="240" w:lineRule="auto"/>
        <w:jc w:val="both"/>
        <w:rPr>
          <w:b/>
          <w:sz w:val="24"/>
          <w:szCs w:val="24"/>
        </w:rPr>
      </w:pPr>
      <w:r>
        <w:rPr>
          <w:b/>
          <w:sz w:val="24"/>
          <w:szCs w:val="24"/>
        </w:rPr>
        <w:t>Amana to amend the language to make it sound more EAPN-like</w:t>
      </w:r>
    </w:p>
    <w:p w:rsidR="00091F79" w:rsidRDefault="00091F79" w:rsidP="00091F79">
      <w:pPr>
        <w:pStyle w:val="ListParagraph"/>
        <w:numPr>
          <w:ilvl w:val="0"/>
          <w:numId w:val="1"/>
        </w:numPr>
        <w:spacing w:after="0" w:line="240" w:lineRule="auto"/>
        <w:jc w:val="both"/>
        <w:rPr>
          <w:b/>
          <w:sz w:val="24"/>
          <w:szCs w:val="24"/>
        </w:rPr>
      </w:pPr>
      <w:r>
        <w:rPr>
          <w:b/>
          <w:sz w:val="24"/>
          <w:szCs w:val="24"/>
        </w:rPr>
        <w:t>Amana to re-arrange Dave’s text to adequately reflect the 5 steps agreed upon, and add additional elements discussed today (around the communication tools)</w:t>
      </w:r>
    </w:p>
    <w:p w:rsidR="00091F79" w:rsidRDefault="00091F79" w:rsidP="00091F79">
      <w:pPr>
        <w:spacing w:after="0" w:line="240" w:lineRule="auto"/>
        <w:jc w:val="both"/>
        <w:rPr>
          <w:b/>
          <w:sz w:val="24"/>
          <w:szCs w:val="24"/>
        </w:rPr>
      </w:pPr>
    </w:p>
    <w:p w:rsidR="00091F79" w:rsidRDefault="00091F79" w:rsidP="00091F79">
      <w:pPr>
        <w:spacing w:after="0" w:line="240" w:lineRule="auto"/>
        <w:jc w:val="both"/>
        <w:rPr>
          <w:sz w:val="24"/>
          <w:szCs w:val="24"/>
          <w:u w:val="single"/>
        </w:rPr>
      </w:pPr>
      <w:r w:rsidRPr="00091F79">
        <w:rPr>
          <w:sz w:val="24"/>
          <w:szCs w:val="24"/>
          <w:u w:val="single"/>
        </w:rPr>
        <w:t>Timeline:</w:t>
      </w:r>
    </w:p>
    <w:p w:rsidR="00091F79" w:rsidRPr="00091F79" w:rsidRDefault="00091F79" w:rsidP="00091F79">
      <w:pPr>
        <w:pStyle w:val="ListParagraph"/>
        <w:numPr>
          <w:ilvl w:val="0"/>
          <w:numId w:val="2"/>
        </w:numPr>
        <w:spacing w:after="0" w:line="240" w:lineRule="auto"/>
        <w:jc w:val="both"/>
        <w:rPr>
          <w:sz w:val="24"/>
          <w:szCs w:val="24"/>
        </w:rPr>
      </w:pPr>
      <w:r w:rsidRPr="00091F79">
        <w:rPr>
          <w:sz w:val="24"/>
          <w:szCs w:val="24"/>
        </w:rPr>
        <w:t>Amana to send Loraine amendments to the Concept Note – Monday, September 22</w:t>
      </w:r>
      <w:r w:rsidRPr="00091F79">
        <w:rPr>
          <w:sz w:val="24"/>
          <w:szCs w:val="24"/>
          <w:vertAlign w:val="superscript"/>
        </w:rPr>
        <w:t>nd</w:t>
      </w:r>
    </w:p>
    <w:p w:rsidR="00091F79" w:rsidRPr="00091F79" w:rsidRDefault="00091F79" w:rsidP="00091F79">
      <w:pPr>
        <w:pStyle w:val="ListParagraph"/>
        <w:numPr>
          <w:ilvl w:val="0"/>
          <w:numId w:val="2"/>
        </w:numPr>
        <w:spacing w:after="0" w:line="240" w:lineRule="auto"/>
        <w:jc w:val="both"/>
        <w:rPr>
          <w:sz w:val="24"/>
          <w:szCs w:val="24"/>
        </w:rPr>
      </w:pPr>
      <w:r w:rsidRPr="00091F79">
        <w:rPr>
          <w:sz w:val="24"/>
          <w:szCs w:val="24"/>
        </w:rPr>
        <w:t>Loraine and Amana to finalise Concept Note / Campaign Guide – Friday, September 26</w:t>
      </w:r>
      <w:r w:rsidRPr="00091F79">
        <w:rPr>
          <w:sz w:val="24"/>
          <w:szCs w:val="24"/>
          <w:vertAlign w:val="superscript"/>
        </w:rPr>
        <w:t>th</w:t>
      </w:r>
      <w:r w:rsidRPr="00091F79">
        <w:rPr>
          <w:sz w:val="24"/>
          <w:szCs w:val="24"/>
        </w:rPr>
        <w:t xml:space="preserve"> </w:t>
      </w:r>
    </w:p>
    <w:p w:rsidR="00541107" w:rsidRPr="00541107" w:rsidRDefault="00541107" w:rsidP="00541107">
      <w:pPr>
        <w:pStyle w:val="ListParagraph"/>
        <w:numPr>
          <w:ilvl w:val="0"/>
          <w:numId w:val="2"/>
        </w:numPr>
        <w:spacing w:after="0" w:line="240" w:lineRule="auto"/>
        <w:jc w:val="both"/>
        <w:rPr>
          <w:sz w:val="24"/>
          <w:szCs w:val="24"/>
        </w:rPr>
      </w:pPr>
      <w:r w:rsidRPr="00541107">
        <w:rPr>
          <w:sz w:val="24"/>
          <w:szCs w:val="24"/>
        </w:rPr>
        <w:t xml:space="preserve">Amana to provide input on the PowerPoint presentation top Loraine – Friday, September the 26th. </w:t>
      </w:r>
    </w:p>
    <w:p w:rsidR="00091F79" w:rsidRDefault="00091F79" w:rsidP="00091F79">
      <w:pPr>
        <w:pStyle w:val="ListParagraph"/>
        <w:numPr>
          <w:ilvl w:val="0"/>
          <w:numId w:val="2"/>
        </w:numPr>
        <w:spacing w:after="0" w:line="240" w:lineRule="auto"/>
        <w:jc w:val="both"/>
        <w:rPr>
          <w:sz w:val="24"/>
          <w:szCs w:val="24"/>
        </w:rPr>
      </w:pPr>
      <w:r w:rsidRPr="00091F79">
        <w:rPr>
          <w:sz w:val="24"/>
          <w:szCs w:val="24"/>
        </w:rPr>
        <w:lastRenderedPageBreak/>
        <w:t xml:space="preserve">Task Force members to </w:t>
      </w:r>
      <w:r>
        <w:rPr>
          <w:sz w:val="24"/>
          <w:szCs w:val="24"/>
        </w:rPr>
        <w:t>approve documents by Monday, September 29</w:t>
      </w:r>
      <w:r w:rsidRPr="00091F79">
        <w:rPr>
          <w:sz w:val="24"/>
          <w:szCs w:val="24"/>
          <w:vertAlign w:val="superscript"/>
        </w:rPr>
        <w:t>th</w:t>
      </w:r>
      <w:r>
        <w:rPr>
          <w:sz w:val="24"/>
          <w:szCs w:val="24"/>
        </w:rPr>
        <w:t xml:space="preserve"> at noon</w:t>
      </w:r>
    </w:p>
    <w:p w:rsidR="00091F79" w:rsidRDefault="00091F79" w:rsidP="00091F79">
      <w:pPr>
        <w:pStyle w:val="ListParagraph"/>
        <w:numPr>
          <w:ilvl w:val="0"/>
          <w:numId w:val="2"/>
        </w:numPr>
        <w:spacing w:after="0" w:line="240" w:lineRule="auto"/>
        <w:jc w:val="both"/>
        <w:rPr>
          <w:sz w:val="24"/>
          <w:szCs w:val="24"/>
        </w:rPr>
      </w:pPr>
      <w:r>
        <w:rPr>
          <w:sz w:val="24"/>
          <w:szCs w:val="24"/>
        </w:rPr>
        <w:t>Amana to finalise lay-out and send out documents to the EU ISG</w:t>
      </w:r>
      <w:r w:rsidR="007A741A">
        <w:rPr>
          <w:sz w:val="24"/>
          <w:szCs w:val="24"/>
        </w:rPr>
        <w:t>.</w:t>
      </w:r>
    </w:p>
    <w:p w:rsidR="00217485" w:rsidRDefault="00971F0F" w:rsidP="00091F79">
      <w:pPr>
        <w:spacing w:after="0" w:line="240" w:lineRule="auto"/>
        <w:jc w:val="both"/>
        <w:rPr>
          <w:sz w:val="24"/>
          <w:szCs w:val="24"/>
        </w:rPr>
      </w:pPr>
      <w:r>
        <w:rPr>
          <w:sz w:val="24"/>
          <w:szCs w:val="24"/>
        </w:rPr>
        <w:t xml:space="preserve"> </w:t>
      </w:r>
    </w:p>
    <w:p w:rsidR="00091F79" w:rsidRPr="00217485" w:rsidRDefault="00217485" w:rsidP="00091F79">
      <w:pPr>
        <w:spacing w:after="0" w:line="240" w:lineRule="auto"/>
        <w:jc w:val="both"/>
        <w:rPr>
          <w:b/>
          <w:sz w:val="24"/>
          <w:szCs w:val="24"/>
        </w:rPr>
      </w:pPr>
      <w:r w:rsidRPr="00217485">
        <w:rPr>
          <w:b/>
          <w:sz w:val="24"/>
          <w:szCs w:val="24"/>
        </w:rPr>
        <w:t>Presentation to the EU ISG</w:t>
      </w:r>
    </w:p>
    <w:p w:rsidR="00091F79" w:rsidRDefault="009B30DE" w:rsidP="009B30DE">
      <w:pPr>
        <w:pStyle w:val="ListParagraph"/>
        <w:numPr>
          <w:ilvl w:val="0"/>
          <w:numId w:val="2"/>
        </w:numPr>
        <w:spacing w:after="0" w:line="240" w:lineRule="auto"/>
        <w:jc w:val="both"/>
        <w:rPr>
          <w:sz w:val="24"/>
          <w:szCs w:val="24"/>
        </w:rPr>
      </w:pPr>
      <w:r w:rsidRPr="009B30DE">
        <w:rPr>
          <w:sz w:val="24"/>
          <w:szCs w:val="24"/>
        </w:rPr>
        <w:t>Introduce a slide reminding people about the purpose of the Task Force, the methodology</w:t>
      </w:r>
      <w:r>
        <w:rPr>
          <w:sz w:val="24"/>
          <w:szCs w:val="24"/>
        </w:rPr>
        <w:t xml:space="preserve">, the members, the number of meetings etc; </w:t>
      </w:r>
    </w:p>
    <w:p w:rsidR="009B30DE" w:rsidRDefault="009B30DE" w:rsidP="009B30DE">
      <w:pPr>
        <w:spacing w:after="0" w:line="240" w:lineRule="auto"/>
        <w:ind w:left="360"/>
        <w:jc w:val="both"/>
        <w:rPr>
          <w:sz w:val="24"/>
          <w:szCs w:val="24"/>
        </w:rPr>
      </w:pPr>
    </w:p>
    <w:p w:rsidR="009B30DE" w:rsidRPr="00D17CA6" w:rsidRDefault="009B30DE" w:rsidP="009B30DE">
      <w:pPr>
        <w:spacing w:after="0" w:line="240" w:lineRule="auto"/>
        <w:jc w:val="both"/>
        <w:rPr>
          <w:b/>
          <w:sz w:val="24"/>
          <w:szCs w:val="24"/>
          <w:u w:val="single"/>
        </w:rPr>
      </w:pPr>
      <w:r w:rsidRPr="00D17CA6">
        <w:rPr>
          <w:b/>
          <w:sz w:val="24"/>
          <w:szCs w:val="24"/>
          <w:u w:val="single"/>
        </w:rPr>
        <w:t xml:space="preserve">Action Points: </w:t>
      </w:r>
    </w:p>
    <w:p w:rsidR="009B30DE" w:rsidRPr="00D17CA6" w:rsidRDefault="00D17CA6" w:rsidP="009B30DE">
      <w:pPr>
        <w:pStyle w:val="ListParagraph"/>
        <w:numPr>
          <w:ilvl w:val="0"/>
          <w:numId w:val="1"/>
        </w:numPr>
        <w:spacing w:after="0" w:line="240" w:lineRule="auto"/>
        <w:jc w:val="both"/>
        <w:rPr>
          <w:b/>
          <w:i/>
          <w:sz w:val="24"/>
          <w:szCs w:val="24"/>
        </w:rPr>
      </w:pPr>
      <w:r w:rsidRPr="00D17CA6">
        <w:rPr>
          <w:b/>
          <w:i/>
          <w:sz w:val="24"/>
          <w:szCs w:val="24"/>
        </w:rPr>
        <w:t>Amana &amp; Loraine to finalise according to the structure on the flipchart</w:t>
      </w:r>
    </w:p>
    <w:p w:rsidR="00D17CA6" w:rsidRDefault="00D17CA6" w:rsidP="00D17CA6">
      <w:pPr>
        <w:spacing w:after="0" w:line="240" w:lineRule="auto"/>
        <w:jc w:val="both"/>
        <w:rPr>
          <w:sz w:val="24"/>
          <w:szCs w:val="24"/>
        </w:rPr>
      </w:pPr>
    </w:p>
    <w:p w:rsidR="00D17CA6" w:rsidRPr="00D17CA6" w:rsidRDefault="00D17CA6" w:rsidP="00D17CA6">
      <w:pPr>
        <w:spacing w:after="0" w:line="240" w:lineRule="auto"/>
        <w:jc w:val="both"/>
        <w:rPr>
          <w:b/>
          <w:sz w:val="24"/>
          <w:szCs w:val="24"/>
        </w:rPr>
      </w:pPr>
      <w:r w:rsidRPr="00D17CA6">
        <w:rPr>
          <w:b/>
          <w:sz w:val="24"/>
          <w:szCs w:val="24"/>
        </w:rPr>
        <w:t>Evaluation</w:t>
      </w:r>
    </w:p>
    <w:p w:rsidR="00D17CA6" w:rsidRDefault="00D17CA6" w:rsidP="00D17CA6">
      <w:pPr>
        <w:pStyle w:val="ListParagraph"/>
        <w:numPr>
          <w:ilvl w:val="0"/>
          <w:numId w:val="2"/>
        </w:numPr>
        <w:spacing w:after="0" w:line="240" w:lineRule="auto"/>
        <w:jc w:val="both"/>
        <w:rPr>
          <w:sz w:val="24"/>
          <w:szCs w:val="24"/>
        </w:rPr>
      </w:pPr>
      <w:r>
        <w:rPr>
          <w:sz w:val="24"/>
          <w:szCs w:val="24"/>
        </w:rPr>
        <w:t>Participation was sketchy and not very consistent, including in answering the survey;</w:t>
      </w:r>
    </w:p>
    <w:p w:rsidR="00D17CA6" w:rsidRDefault="00D17CA6" w:rsidP="00D17CA6">
      <w:pPr>
        <w:pStyle w:val="ListParagraph"/>
        <w:numPr>
          <w:ilvl w:val="0"/>
          <w:numId w:val="2"/>
        </w:numPr>
        <w:spacing w:after="0" w:line="240" w:lineRule="auto"/>
        <w:jc w:val="both"/>
        <w:rPr>
          <w:sz w:val="24"/>
          <w:szCs w:val="24"/>
        </w:rPr>
      </w:pPr>
      <w:r>
        <w:rPr>
          <w:sz w:val="24"/>
          <w:szCs w:val="24"/>
        </w:rPr>
        <w:t xml:space="preserve">Meetings could be two days, sometimes it takes the whole first meeting just to understand the main points and task at hand; </w:t>
      </w:r>
    </w:p>
    <w:p w:rsidR="00D17CA6" w:rsidRDefault="001E0D1F" w:rsidP="00D17CA6">
      <w:pPr>
        <w:pStyle w:val="ListParagraph"/>
        <w:numPr>
          <w:ilvl w:val="0"/>
          <w:numId w:val="2"/>
        </w:numPr>
        <w:spacing w:after="0" w:line="240" w:lineRule="auto"/>
        <w:jc w:val="both"/>
        <w:rPr>
          <w:sz w:val="24"/>
          <w:szCs w:val="24"/>
        </w:rPr>
      </w:pPr>
      <w:r>
        <w:rPr>
          <w:sz w:val="24"/>
          <w:szCs w:val="24"/>
        </w:rPr>
        <w:t>Secretariat was supportive and helpful;</w:t>
      </w:r>
    </w:p>
    <w:p w:rsidR="001E0D1F" w:rsidRPr="00D17CA6" w:rsidRDefault="007A741A" w:rsidP="00D17CA6">
      <w:pPr>
        <w:pStyle w:val="ListParagraph"/>
        <w:numPr>
          <w:ilvl w:val="0"/>
          <w:numId w:val="2"/>
        </w:numPr>
        <w:spacing w:after="0" w:line="240" w:lineRule="auto"/>
        <w:jc w:val="both"/>
        <w:rPr>
          <w:sz w:val="24"/>
          <w:szCs w:val="24"/>
        </w:rPr>
      </w:pPr>
      <w:r>
        <w:rPr>
          <w:sz w:val="24"/>
          <w:szCs w:val="24"/>
        </w:rPr>
        <w:t>Participants thank</w:t>
      </w:r>
      <w:r w:rsidR="001E0D1F">
        <w:rPr>
          <w:sz w:val="24"/>
          <w:szCs w:val="24"/>
        </w:rPr>
        <w:t xml:space="preserve"> Loraine for excellent chairing and running of the Task Force. </w:t>
      </w:r>
    </w:p>
    <w:p w:rsidR="00217485" w:rsidRDefault="00217485" w:rsidP="00091F79">
      <w:pPr>
        <w:spacing w:after="0" w:line="240" w:lineRule="auto"/>
        <w:jc w:val="both"/>
        <w:rPr>
          <w:b/>
          <w:sz w:val="24"/>
          <w:szCs w:val="24"/>
        </w:rPr>
      </w:pPr>
    </w:p>
    <w:p w:rsidR="007A741A" w:rsidRPr="00D17CA6" w:rsidRDefault="007A741A" w:rsidP="007A741A">
      <w:pPr>
        <w:spacing w:after="0" w:line="240" w:lineRule="auto"/>
        <w:jc w:val="both"/>
        <w:rPr>
          <w:b/>
          <w:sz w:val="24"/>
          <w:szCs w:val="24"/>
          <w:u w:val="single"/>
        </w:rPr>
      </w:pPr>
      <w:r w:rsidRPr="00D17CA6">
        <w:rPr>
          <w:b/>
          <w:sz w:val="24"/>
          <w:szCs w:val="24"/>
          <w:u w:val="single"/>
        </w:rPr>
        <w:t xml:space="preserve">Action Points: </w:t>
      </w:r>
    </w:p>
    <w:p w:rsidR="00217485" w:rsidRPr="00C51B10" w:rsidRDefault="00C51B10" w:rsidP="00091F79">
      <w:pPr>
        <w:pStyle w:val="ListParagraph"/>
        <w:numPr>
          <w:ilvl w:val="0"/>
          <w:numId w:val="1"/>
        </w:numPr>
        <w:spacing w:after="0" w:line="240" w:lineRule="auto"/>
        <w:jc w:val="both"/>
        <w:rPr>
          <w:b/>
          <w:sz w:val="24"/>
          <w:szCs w:val="24"/>
        </w:rPr>
      </w:pPr>
      <w:r w:rsidRPr="00C51B10">
        <w:rPr>
          <w:b/>
          <w:i/>
          <w:sz w:val="24"/>
          <w:szCs w:val="24"/>
        </w:rPr>
        <w:t xml:space="preserve">Raluca, Vito and Dave to fill in the Evaluation Form and send it by email to </w:t>
      </w:r>
      <w:r w:rsidR="007A741A" w:rsidRPr="00C51B10">
        <w:rPr>
          <w:b/>
          <w:i/>
          <w:sz w:val="24"/>
          <w:szCs w:val="24"/>
        </w:rPr>
        <w:t>Amana</w:t>
      </w:r>
    </w:p>
    <w:sectPr w:rsidR="00217485" w:rsidRPr="00C51B10" w:rsidSect="000F1F1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A47C8"/>
    <w:multiLevelType w:val="hybridMultilevel"/>
    <w:tmpl w:val="E96A2A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1A5DEA"/>
    <w:multiLevelType w:val="hybridMultilevel"/>
    <w:tmpl w:val="D7EACA4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32355EB2"/>
    <w:multiLevelType w:val="hybridMultilevel"/>
    <w:tmpl w:val="B9706D5C"/>
    <w:lvl w:ilvl="0" w:tplc="4A24AD44">
      <w:start w:val="2"/>
      <w:numFmt w:val="bullet"/>
      <w:lvlText w:val=""/>
      <w:lvlJc w:val="left"/>
      <w:pPr>
        <w:ind w:left="720" w:hanging="360"/>
      </w:pPr>
      <w:rPr>
        <w:rFonts w:ascii="Wingdings" w:eastAsiaTheme="minorHAnsi" w:hAnsi="Wingdings"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5A99609F"/>
    <w:multiLevelType w:val="hybridMultilevel"/>
    <w:tmpl w:val="83D04136"/>
    <w:lvl w:ilvl="0" w:tplc="ED8A654C">
      <w:numFmt w:val="bullet"/>
      <w:lvlText w:val="-"/>
      <w:lvlJc w:val="left"/>
      <w:pPr>
        <w:ind w:left="720" w:hanging="360"/>
      </w:pPr>
      <w:rPr>
        <w:rFonts w:ascii="Calibri" w:eastAsiaTheme="minorHAns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7FA36F20"/>
    <w:multiLevelType w:val="hybridMultilevel"/>
    <w:tmpl w:val="27E00FB2"/>
    <w:lvl w:ilvl="0" w:tplc="F04087B2">
      <w:start w:val="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AF1"/>
    <w:rsid w:val="00091F79"/>
    <w:rsid w:val="000F1F11"/>
    <w:rsid w:val="00163711"/>
    <w:rsid w:val="00183F9C"/>
    <w:rsid w:val="00186CF4"/>
    <w:rsid w:val="001E0D1F"/>
    <w:rsid w:val="002153A8"/>
    <w:rsid w:val="00217485"/>
    <w:rsid w:val="00234F4D"/>
    <w:rsid w:val="00255C5C"/>
    <w:rsid w:val="003E4AF1"/>
    <w:rsid w:val="00401E86"/>
    <w:rsid w:val="00480CB7"/>
    <w:rsid w:val="004A3833"/>
    <w:rsid w:val="005404F5"/>
    <w:rsid w:val="00541107"/>
    <w:rsid w:val="005471B2"/>
    <w:rsid w:val="00581FD1"/>
    <w:rsid w:val="005B74A2"/>
    <w:rsid w:val="00686D2E"/>
    <w:rsid w:val="006E2815"/>
    <w:rsid w:val="007259BD"/>
    <w:rsid w:val="00747B13"/>
    <w:rsid w:val="007A741A"/>
    <w:rsid w:val="00802357"/>
    <w:rsid w:val="008B07B2"/>
    <w:rsid w:val="008F5BC9"/>
    <w:rsid w:val="00971F0F"/>
    <w:rsid w:val="009B30DE"/>
    <w:rsid w:val="00A31880"/>
    <w:rsid w:val="00C51B10"/>
    <w:rsid w:val="00CE5482"/>
    <w:rsid w:val="00D17CA6"/>
    <w:rsid w:val="00D219B4"/>
    <w:rsid w:val="00ED4D9A"/>
    <w:rsid w:val="00F41B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B8C31B-838D-4AF3-8628-D603DAC70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19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231895">
      <w:bodyDiv w:val="1"/>
      <w:marLeft w:val="0"/>
      <w:marRight w:val="0"/>
      <w:marTop w:val="0"/>
      <w:marBottom w:val="0"/>
      <w:divBdr>
        <w:top w:val="none" w:sz="0" w:space="0" w:color="auto"/>
        <w:left w:val="none" w:sz="0" w:space="0" w:color="auto"/>
        <w:bottom w:val="none" w:sz="0" w:space="0" w:color="auto"/>
        <w:right w:val="none" w:sz="0" w:space="0" w:color="auto"/>
      </w:divBdr>
    </w:div>
    <w:div w:id="645359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1182</Words>
  <Characters>6505</Characters>
  <Application>Microsoft Office Word</Application>
  <DocSecurity>0</DocSecurity>
  <Lines>54</Lines>
  <Paragraphs>15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7672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Amana Ferro</dc:creator>
  <cp:lastModifiedBy>Eapn Bruxelles</cp:lastModifiedBy>
  <cp:revision>2</cp:revision>
  <dcterms:created xsi:type="dcterms:W3CDTF">2015-02-25T11:15:00Z</dcterms:created>
  <dcterms:modified xsi:type="dcterms:W3CDTF">2015-02-25T11:15:00Z</dcterms:modified>
</cp:coreProperties>
</file>