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CD" w:rsidRDefault="00694ECD" w:rsidP="00DE0D27">
      <w:pPr>
        <w:spacing w:after="0" w:line="240" w:lineRule="auto"/>
        <w:jc w:val="center"/>
        <w:rPr>
          <w:b/>
          <w:sz w:val="28"/>
          <w:szCs w:val="28"/>
        </w:rPr>
      </w:pPr>
    </w:p>
    <w:p w:rsidR="009C4645" w:rsidRPr="00DE0D27" w:rsidRDefault="00DE0D27" w:rsidP="00DE0D27">
      <w:pPr>
        <w:spacing w:after="0" w:line="240" w:lineRule="auto"/>
        <w:jc w:val="center"/>
        <w:rPr>
          <w:b/>
          <w:sz w:val="28"/>
          <w:szCs w:val="28"/>
        </w:rPr>
      </w:pPr>
      <w:r w:rsidRPr="00DE0D27">
        <w:rPr>
          <w:b/>
          <w:sz w:val="28"/>
          <w:szCs w:val="28"/>
        </w:rPr>
        <w:t>EAPN DECENT WORK TASK FORCE</w:t>
      </w:r>
    </w:p>
    <w:p w:rsidR="00DE0D27" w:rsidRPr="00DE0D27" w:rsidRDefault="00DE0D27" w:rsidP="00DE0D27">
      <w:pPr>
        <w:spacing w:after="0" w:line="240" w:lineRule="auto"/>
        <w:jc w:val="center"/>
        <w:rPr>
          <w:b/>
          <w:i/>
          <w:sz w:val="28"/>
          <w:szCs w:val="28"/>
        </w:rPr>
      </w:pPr>
      <w:r w:rsidRPr="00DE0D27">
        <w:rPr>
          <w:b/>
          <w:i/>
          <w:sz w:val="28"/>
          <w:szCs w:val="28"/>
        </w:rPr>
        <w:t>Towards a Living Wage Campaign</w:t>
      </w:r>
    </w:p>
    <w:p w:rsidR="00694ECD" w:rsidRDefault="00694ECD" w:rsidP="00DE0D27">
      <w:pPr>
        <w:spacing w:after="0" w:line="240" w:lineRule="auto"/>
        <w:jc w:val="center"/>
        <w:rPr>
          <w:i/>
          <w:sz w:val="28"/>
          <w:szCs w:val="28"/>
        </w:rPr>
      </w:pPr>
    </w:p>
    <w:p w:rsidR="00DE0D27" w:rsidRPr="00DE0D27" w:rsidRDefault="00DE0D27" w:rsidP="00DE0D27">
      <w:pPr>
        <w:spacing w:after="0" w:line="240" w:lineRule="auto"/>
        <w:jc w:val="center"/>
        <w:rPr>
          <w:i/>
          <w:sz w:val="28"/>
          <w:szCs w:val="28"/>
        </w:rPr>
      </w:pPr>
      <w:r w:rsidRPr="00DE0D27">
        <w:rPr>
          <w:i/>
          <w:sz w:val="28"/>
          <w:szCs w:val="28"/>
        </w:rPr>
        <w:t>28 February 2014</w:t>
      </w:r>
    </w:p>
    <w:p w:rsidR="00694ECD" w:rsidRDefault="00694ECD" w:rsidP="00694ECD">
      <w:pPr>
        <w:spacing w:after="0" w:line="240" w:lineRule="auto"/>
        <w:rPr>
          <w:b/>
          <w:sz w:val="24"/>
          <w:szCs w:val="24"/>
        </w:rPr>
      </w:pPr>
    </w:p>
    <w:p w:rsidR="00694ECD" w:rsidRDefault="00694ECD" w:rsidP="00E94A0F">
      <w:pPr>
        <w:spacing w:after="0" w:line="240" w:lineRule="auto"/>
        <w:jc w:val="both"/>
        <w:rPr>
          <w:sz w:val="24"/>
          <w:szCs w:val="24"/>
        </w:rPr>
      </w:pPr>
      <w:r>
        <w:rPr>
          <w:b/>
          <w:sz w:val="24"/>
          <w:szCs w:val="24"/>
        </w:rPr>
        <w:t xml:space="preserve">Attending: </w:t>
      </w:r>
      <w:r w:rsidRPr="00694ECD">
        <w:rPr>
          <w:sz w:val="24"/>
          <w:szCs w:val="24"/>
        </w:rPr>
        <w:t>Loraine Mulligan (C</w:t>
      </w:r>
      <w:r>
        <w:rPr>
          <w:sz w:val="24"/>
          <w:szCs w:val="24"/>
        </w:rPr>
        <w:t xml:space="preserve">hair, EAPN IE), Vito </w:t>
      </w:r>
      <w:proofErr w:type="spellStart"/>
      <w:r>
        <w:rPr>
          <w:sz w:val="24"/>
          <w:szCs w:val="24"/>
        </w:rPr>
        <w:t>Telesca</w:t>
      </w:r>
      <w:proofErr w:type="spellEnd"/>
      <w:r>
        <w:rPr>
          <w:sz w:val="24"/>
          <w:szCs w:val="24"/>
        </w:rPr>
        <w:t xml:space="preserve"> (EAPN IT), </w:t>
      </w:r>
      <w:proofErr w:type="spellStart"/>
      <w:r>
        <w:rPr>
          <w:sz w:val="24"/>
          <w:szCs w:val="24"/>
        </w:rPr>
        <w:t>Greete</w:t>
      </w:r>
      <w:proofErr w:type="spellEnd"/>
      <w:r>
        <w:rPr>
          <w:sz w:val="24"/>
          <w:szCs w:val="24"/>
        </w:rPr>
        <w:t xml:space="preserve"> </w:t>
      </w:r>
      <w:proofErr w:type="spellStart"/>
      <w:r>
        <w:rPr>
          <w:sz w:val="24"/>
          <w:szCs w:val="24"/>
        </w:rPr>
        <w:t>Vesalu</w:t>
      </w:r>
      <w:proofErr w:type="spellEnd"/>
      <w:r>
        <w:rPr>
          <w:sz w:val="24"/>
          <w:szCs w:val="24"/>
        </w:rPr>
        <w:t xml:space="preserve"> (EAPN EE), Dave </w:t>
      </w:r>
      <w:proofErr w:type="spellStart"/>
      <w:r>
        <w:rPr>
          <w:sz w:val="24"/>
          <w:szCs w:val="24"/>
        </w:rPr>
        <w:t>Moxham</w:t>
      </w:r>
      <w:proofErr w:type="spellEnd"/>
      <w:r>
        <w:rPr>
          <w:sz w:val="24"/>
          <w:szCs w:val="24"/>
        </w:rPr>
        <w:t xml:space="preserve"> (EAPN UK), </w:t>
      </w:r>
      <w:proofErr w:type="spellStart"/>
      <w:r w:rsidR="00E94A0F">
        <w:rPr>
          <w:sz w:val="24"/>
          <w:szCs w:val="24"/>
        </w:rPr>
        <w:t>Júlio</w:t>
      </w:r>
      <w:proofErr w:type="spellEnd"/>
      <w:r w:rsidR="00E94A0F">
        <w:rPr>
          <w:sz w:val="24"/>
          <w:szCs w:val="24"/>
        </w:rPr>
        <w:t xml:space="preserve"> Paiva (EAPN PT), Raluca </w:t>
      </w:r>
      <w:proofErr w:type="spellStart"/>
      <w:r w:rsidR="00E94A0F">
        <w:rPr>
          <w:sz w:val="24"/>
          <w:szCs w:val="24"/>
        </w:rPr>
        <w:t>Mănăilă</w:t>
      </w:r>
      <w:proofErr w:type="spellEnd"/>
      <w:r>
        <w:rPr>
          <w:sz w:val="24"/>
          <w:szCs w:val="24"/>
        </w:rPr>
        <w:t xml:space="preserve"> (EAPN RO), Amana Ferro (EAPN Secretariat).</w:t>
      </w:r>
    </w:p>
    <w:p w:rsidR="00694ECD" w:rsidRDefault="00694ECD" w:rsidP="00E94A0F">
      <w:pPr>
        <w:spacing w:after="0" w:line="240" w:lineRule="auto"/>
        <w:jc w:val="both"/>
        <w:rPr>
          <w:b/>
          <w:sz w:val="24"/>
          <w:szCs w:val="24"/>
        </w:rPr>
      </w:pPr>
      <w:r w:rsidRPr="00694ECD">
        <w:rPr>
          <w:b/>
          <w:sz w:val="24"/>
          <w:szCs w:val="24"/>
        </w:rPr>
        <w:t>Apologies:</w:t>
      </w:r>
      <w:r>
        <w:rPr>
          <w:sz w:val="24"/>
          <w:szCs w:val="24"/>
        </w:rPr>
        <w:t xml:space="preserve"> PICUM, who is withdrawing from the Task Force because of lack of resources. </w:t>
      </w:r>
    </w:p>
    <w:p w:rsidR="00694ECD" w:rsidRDefault="00694ECD" w:rsidP="00694ECD">
      <w:pPr>
        <w:spacing w:after="0" w:line="240" w:lineRule="auto"/>
        <w:rPr>
          <w:b/>
          <w:sz w:val="24"/>
          <w:szCs w:val="24"/>
        </w:rPr>
      </w:pPr>
    </w:p>
    <w:p w:rsidR="00DE0D27" w:rsidRPr="00DE0D27" w:rsidRDefault="00DE0D27" w:rsidP="00DE0D27">
      <w:pPr>
        <w:spacing w:after="0" w:line="240" w:lineRule="auto"/>
        <w:jc w:val="both"/>
        <w:rPr>
          <w:b/>
          <w:sz w:val="24"/>
          <w:szCs w:val="24"/>
        </w:rPr>
      </w:pPr>
      <w:r w:rsidRPr="00DE0D27">
        <w:rPr>
          <w:b/>
          <w:sz w:val="24"/>
          <w:szCs w:val="24"/>
        </w:rPr>
        <w:t>Introduction session</w:t>
      </w:r>
    </w:p>
    <w:p w:rsidR="00DE0D27" w:rsidRPr="00DE0D27" w:rsidRDefault="00DE0D27" w:rsidP="00DE0D27">
      <w:pPr>
        <w:spacing w:after="0" w:line="240" w:lineRule="auto"/>
        <w:jc w:val="both"/>
        <w:rPr>
          <w:sz w:val="24"/>
          <w:szCs w:val="24"/>
        </w:rPr>
      </w:pPr>
      <w:r w:rsidRPr="00DE0D27">
        <w:rPr>
          <w:sz w:val="24"/>
          <w:szCs w:val="24"/>
        </w:rPr>
        <w:t>Minutes adopted.</w:t>
      </w:r>
      <w:r w:rsidR="00E94A0F">
        <w:rPr>
          <w:sz w:val="24"/>
          <w:szCs w:val="24"/>
        </w:rPr>
        <w:t xml:space="preserve"> </w:t>
      </w:r>
      <w:r w:rsidRPr="00DE0D27">
        <w:rPr>
          <w:sz w:val="24"/>
          <w:szCs w:val="24"/>
        </w:rPr>
        <w:t>Agenda adopted</w:t>
      </w:r>
    </w:p>
    <w:p w:rsidR="00DE0D27" w:rsidRDefault="00DE0D27" w:rsidP="00DE0D27">
      <w:pPr>
        <w:spacing w:after="0" w:line="240" w:lineRule="auto"/>
        <w:jc w:val="both"/>
        <w:rPr>
          <w:b/>
          <w:sz w:val="24"/>
          <w:szCs w:val="24"/>
        </w:rPr>
      </w:pPr>
    </w:p>
    <w:p w:rsidR="00DE0D27" w:rsidRPr="00DE0D27" w:rsidRDefault="00DE0D27" w:rsidP="00DE0D27">
      <w:pPr>
        <w:spacing w:after="0" w:line="240" w:lineRule="auto"/>
        <w:jc w:val="both"/>
        <w:rPr>
          <w:b/>
          <w:sz w:val="24"/>
          <w:szCs w:val="24"/>
        </w:rPr>
      </w:pPr>
      <w:r w:rsidRPr="00DE0D27">
        <w:rPr>
          <w:b/>
          <w:sz w:val="24"/>
          <w:szCs w:val="24"/>
        </w:rPr>
        <w:t>The Concept and Feasibility Note</w:t>
      </w:r>
    </w:p>
    <w:p w:rsidR="002C3889" w:rsidRDefault="002C3889" w:rsidP="002C3889">
      <w:pPr>
        <w:spacing w:after="0" w:line="240" w:lineRule="auto"/>
        <w:jc w:val="both"/>
        <w:rPr>
          <w:sz w:val="24"/>
          <w:szCs w:val="24"/>
        </w:rPr>
      </w:pPr>
    </w:p>
    <w:p w:rsidR="002C3889" w:rsidRPr="002C3889" w:rsidRDefault="002C3889" w:rsidP="002C3889">
      <w:pPr>
        <w:spacing w:after="0" w:line="240" w:lineRule="auto"/>
        <w:jc w:val="both"/>
        <w:rPr>
          <w:sz w:val="24"/>
          <w:szCs w:val="24"/>
          <w:u w:val="single"/>
        </w:rPr>
      </w:pPr>
      <w:r w:rsidRPr="002C3889">
        <w:rPr>
          <w:sz w:val="24"/>
          <w:szCs w:val="24"/>
          <w:u w:val="single"/>
        </w:rPr>
        <w:t>Questionnaire Results</w:t>
      </w:r>
    </w:p>
    <w:p w:rsidR="00DE0D27" w:rsidRDefault="00DE0D27" w:rsidP="00DE0D27">
      <w:pPr>
        <w:pStyle w:val="ListParagraph"/>
        <w:numPr>
          <w:ilvl w:val="0"/>
          <w:numId w:val="1"/>
        </w:numPr>
        <w:spacing w:after="0" w:line="240" w:lineRule="auto"/>
        <w:jc w:val="both"/>
        <w:rPr>
          <w:sz w:val="24"/>
          <w:szCs w:val="24"/>
        </w:rPr>
      </w:pPr>
      <w:r w:rsidRPr="00DE0D27">
        <w:rPr>
          <w:sz w:val="24"/>
          <w:szCs w:val="24"/>
        </w:rPr>
        <w:t xml:space="preserve">Only Germany, Ireland, Italy, </w:t>
      </w:r>
      <w:r w:rsidR="00694ECD">
        <w:rPr>
          <w:sz w:val="24"/>
          <w:szCs w:val="24"/>
        </w:rPr>
        <w:t xml:space="preserve">Poland, </w:t>
      </w:r>
      <w:r w:rsidRPr="00DE0D27">
        <w:rPr>
          <w:sz w:val="24"/>
          <w:szCs w:val="24"/>
        </w:rPr>
        <w:t xml:space="preserve">Portugal, Romania, Sweden and PICUM responded. </w:t>
      </w:r>
      <w:r>
        <w:rPr>
          <w:sz w:val="24"/>
          <w:szCs w:val="24"/>
        </w:rPr>
        <w:t xml:space="preserve">Estonia promised to send something soon. </w:t>
      </w:r>
      <w:r w:rsidRPr="00DE0D27">
        <w:rPr>
          <w:sz w:val="24"/>
          <w:szCs w:val="24"/>
        </w:rPr>
        <w:t>FEANTSA wrote that they won’t do it.</w:t>
      </w:r>
    </w:p>
    <w:p w:rsidR="00E94A0F" w:rsidRPr="00E94A0F" w:rsidRDefault="00E94A0F" w:rsidP="00E94A0F">
      <w:pPr>
        <w:pStyle w:val="ListParagraph"/>
        <w:spacing w:after="0" w:line="240" w:lineRule="auto"/>
        <w:jc w:val="both"/>
        <w:rPr>
          <w:color w:val="FF0000"/>
          <w:sz w:val="24"/>
          <w:szCs w:val="24"/>
        </w:rPr>
      </w:pPr>
      <w:r w:rsidRPr="00E94A0F">
        <w:rPr>
          <w:color w:val="FF0000"/>
          <w:sz w:val="24"/>
          <w:szCs w:val="24"/>
        </w:rPr>
        <w:t xml:space="preserve">Post-meeting update: responses were received from Estonia, Finland and Malta. </w:t>
      </w:r>
      <w:r>
        <w:rPr>
          <w:color w:val="FF0000"/>
          <w:sz w:val="24"/>
          <w:szCs w:val="24"/>
        </w:rPr>
        <w:t xml:space="preserve">Netherlands wrote to say they don’t have the capacity to do the Questionnaire. </w:t>
      </w:r>
    </w:p>
    <w:p w:rsidR="00DE0D27" w:rsidRDefault="00DE0D27" w:rsidP="00DE0D27">
      <w:pPr>
        <w:pStyle w:val="ListParagraph"/>
        <w:numPr>
          <w:ilvl w:val="0"/>
          <w:numId w:val="1"/>
        </w:numPr>
        <w:spacing w:after="0" w:line="240" w:lineRule="auto"/>
        <w:jc w:val="both"/>
        <w:rPr>
          <w:sz w:val="24"/>
          <w:szCs w:val="24"/>
        </w:rPr>
      </w:pPr>
      <w:r w:rsidRPr="00DE0D27">
        <w:rPr>
          <w:sz w:val="24"/>
          <w:szCs w:val="24"/>
        </w:rPr>
        <w:t>Difficult to launch a third appeal, maybe individual members to some specific countries?</w:t>
      </w:r>
    </w:p>
    <w:p w:rsidR="00DE0D27" w:rsidRDefault="00DE0D27" w:rsidP="00DE0D27">
      <w:pPr>
        <w:pStyle w:val="ListParagraph"/>
        <w:numPr>
          <w:ilvl w:val="0"/>
          <w:numId w:val="1"/>
        </w:numPr>
        <w:spacing w:after="0" w:line="240" w:lineRule="auto"/>
        <w:jc w:val="both"/>
        <w:rPr>
          <w:sz w:val="24"/>
          <w:szCs w:val="24"/>
        </w:rPr>
      </w:pPr>
      <w:r w:rsidRPr="00DE0D27">
        <w:rPr>
          <w:sz w:val="24"/>
          <w:szCs w:val="24"/>
        </w:rPr>
        <w:t>UK to do it as well, maybe in an adapted version, about the issues. Important to get France on board (SMIC), also Spain, one Nordic country, the Netherlands.</w:t>
      </w:r>
      <w:r w:rsidR="00694ECD">
        <w:rPr>
          <w:sz w:val="24"/>
          <w:szCs w:val="24"/>
        </w:rPr>
        <w:t xml:space="preserve"> </w:t>
      </w:r>
    </w:p>
    <w:p w:rsidR="00694ECD" w:rsidRDefault="00694ECD" w:rsidP="002C3889">
      <w:pPr>
        <w:spacing w:after="0" w:line="240" w:lineRule="auto"/>
        <w:jc w:val="both"/>
        <w:rPr>
          <w:sz w:val="24"/>
          <w:szCs w:val="24"/>
        </w:rPr>
      </w:pPr>
    </w:p>
    <w:p w:rsidR="002C3889" w:rsidRDefault="002C3889" w:rsidP="002C3889">
      <w:pPr>
        <w:spacing w:after="0" w:line="240" w:lineRule="auto"/>
        <w:jc w:val="both"/>
        <w:rPr>
          <w:sz w:val="24"/>
          <w:szCs w:val="24"/>
          <w:u w:val="single"/>
        </w:rPr>
      </w:pPr>
      <w:r w:rsidRPr="002C3889">
        <w:rPr>
          <w:sz w:val="24"/>
          <w:szCs w:val="24"/>
          <w:u w:val="single"/>
        </w:rPr>
        <w:t>Discussion on Responses</w:t>
      </w:r>
    </w:p>
    <w:p w:rsidR="00E75EB9" w:rsidRPr="00E75EB9" w:rsidRDefault="00E75EB9" w:rsidP="002C3889">
      <w:pPr>
        <w:pStyle w:val="ListParagraph"/>
        <w:numPr>
          <w:ilvl w:val="0"/>
          <w:numId w:val="1"/>
        </w:numPr>
        <w:spacing w:after="0" w:line="240" w:lineRule="auto"/>
        <w:jc w:val="both"/>
        <w:rPr>
          <w:sz w:val="24"/>
          <w:szCs w:val="24"/>
        </w:rPr>
      </w:pPr>
      <w:r w:rsidRPr="00E75EB9">
        <w:rPr>
          <w:sz w:val="24"/>
          <w:szCs w:val="24"/>
        </w:rPr>
        <w:t xml:space="preserve">Important to </w:t>
      </w:r>
      <w:r>
        <w:rPr>
          <w:sz w:val="24"/>
          <w:szCs w:val="24"/>
        </w:rPr>
        <w:t xml:space="preserve">come up with a definition of living wage, as a lot of people, EAPN members </w:t>
      </w:r>
      <w:proofErr w:type="gramStart"/>
      <w:r>
        <w:rPr>
          <w:sz w:val="24"/>
          <w:szCs w:val="24"/>
        </w:rPr>
        <w:t>included,</w:t>
      </w:r>
      <w:proofErr w:type="gramEnd"/>
      <w:r>
        <w:rPr>
          <w:sz w:val="24"/>
          <w:szCs w:val="24"/>
        </w:rPr>
        <w:t xml:space="preserve"> mix it up with minimum wage; take into account specificities – different definitions when approaching trade unions, employers, politicians etc. </w:t>
      </w:r>
    </w:p>
    <w:p w:rsidR="002C3889" w:rsidRPr="002C3889" w:rsidRDefault="002C3889" w:rsidP="002C3889">
      <w:pPr>
        <w:pStyle w:val="ListParagraph"/>
        <w:numPr>
          <w:ilvl w:val="0"/>
          <w:numId w:val="1"/>
        </w:numPr>
        <w:spacing w:after="0" w:line="240" w:lineRule="auto"/>
        <w:jc w:val="both"/>
        <w:rPr>
          <w:sz w:val="24"/>
          <w:szCs w:val="24"/>
          <w:u w:val="single"/>
        </w:rPr>
      </w:pPr>
      <w:r>
        <w:rPr>
          <w:sz w:val="24"/>
          <w:szCs w:val="24"/>
        </w:rPr>
        <w:t>Role of trade unions is clearly emphasized by most respondents</w:t>
      </w:r>
      <w:r w:rsidR="00E75EB9">
        <w:rPr>
          <w:sz w:val="24"/>
          <w:szCs w:val="24"/>
        </w:rPr>
        <w:t>, but also quite a few say that they don’t have a history of cooperating with them</w:t>
      </w:r>
      <w:r w:rsidR="00623925">
        <w:rPr>
          <w:sz w:val="24"/>
          <w:szCs w:val="24"/>
        </w:rPr>
        <w:t>.</w:t>
      </w:r>
    </w:p>
    <w:p w:rsidR="002C3889" w:rsidRPr="002C3889" w:rsidRDefault="002C3889" w:rsidP="002C3889">
      <w:pPr>
        <w:pStyle w:val="ListParagraph"/>
        <w:numPr>
          <w:ilvl w:val="0"/>
          <w:numId w:val="1"/>
        </w:numPr>
        <w:spacing w:after="0" w:line="240" w:lineRule="auto"/>
        <w:jc w:val="both"/>
        <w:rPr>
          <w:sz w:val="24"/>
          <w:szCs w:val="24"/>
          <w:u w:val="single"/>
        </w:rPr>
      </w:pPr>
      <w:r>
        <w:rPr>
          <w:sz w:val="24"/>
          <w:szCs w:val="24"/>
        </w:rPr>
        <w:t xml:space="preserve">Many networks refer that the climate is not supportive of a discussion on wage increases, but this could be precisely the argument for doing it, as the statutory paths are closed; </w:t>
      </w:r>
    </w:p>
    <w:p w:rsidR="002C3889" w:rsidRDefault="00BD31AB" w:rsidP="002C3889">
      <w:pPr>
        <w:pStyle w:val="ListParagraph"/>
        <w:numPr>
          <w:ilvl w:val="0"/>
          <w:numId w:val="1"/>
        </w:numPr>
        <w:spacing w:after="0" w:line="240" w:lineRule="auto"/>
        <w:jc w:val="both"/>
        <w:rPr>
          <w:sz w:val="24"/>
          <w:szCs w:val="24"/>
        </w:rPr>
      </w:pPr>
      <w:r w:rsidRPr="00BD31AB">
        <w:rPr>
          <w:sz w:val="24"/>
          <w:szCs w:val="24"/>
        </w:rPr>
        <w:t xml:space="preserve">Methodology </w:t>
      </w:r>
      <w:r>
        <w:rPr>
          <w:sz w:val="24"/>
          <w:szCs w:val="24"/>
        </w:rPr>
        <w:t>–</w:t>
      </w:r>
      <w:r w:rsidRPr="00BD31AB">
        <w:rPr>
          <w:sz w:val="24"/>
          <w:szCs w:val="24"/>
        </w:rPr>
        <w:t xml:space="preserve"> most</w:t>
      </w:r>
      <w:r>
        <w:rPr>
          <w:sz w:val="24"/>
          <w:szCs w:val="24"/>
        </w:rPr>
        <w:t xml:space="preserve"> responses mention reference budgets…</w:t>
      </w:r>
    </w:p>
    <w:p w:rsidR="00BD31AB" w:rsidRDefault="00623925" w:rsidP="002C3889">
      <w:pPr>
        <w:pStyle w:val="ListParagraph"/>
        <w:numPr>
          <w:ilvl w:val="0"/>
          <w:numId w:val="1"/>
        </w:numPr>
        <w:spacing w:after="0" w:line="240" w:lineRule="auto"/>
        <w:jc w:val="both"/>
        <w:rPr>
          <w:sz w:val="24"/>
          <w:szCs w:val="24"/>
        </w:rPr>
      </w:pPr>
      <w:r>
        <w:rPr>
          <w:sz w:val="24"/>
          <w:szCs w:val="24"/>
        </w:rPr>
        <w:t xml:space="preserve">Rights-based approach – it is about a decent standard of living. </w:t>
      </w:r>
    </w:p>
    <w:p w:rsidR="00623925" w:rsidRDefault="00623925" w:rsidP="002C3889">
      <w:pPr>
        <w:pStyle w:val="ListParagraph"/>
        <w:numPr>
          <w:ilvl w:val="0"/>
          <w:numId w:val="1"/>
        </w:numPr>
        <w:spacing w:after="0" w:line="240" w:lineRule="auto"/>
        <w:jc w:val="both"/>
        <w:rPr>
          <w:sz w:val="24"/>
          <w:szCs w:val="24"/>
        </w:rPr>
      </w:pPr>
      <w:r>
        <w:rPr>
          <w:sz w:val="24"/>
          <w:szCs w:val="24"/>
        </w:rPr>
        <w:t>Great difference between countries that do have a statutory minimum wage and those who don’t, in terms of how to calculate it (minimum wage plus, versus starting from scratch), who to approach, how, and who are we waging the struggle on behalf of.</w:t>
      </w:r>
    </w:p>
    <w:p w:rsidR="00623925" w:rsidRDefault="00623925" w:rsidP="002C3889">
      <w:pPr>
        <w:pStyle w:val="ListParagraph"/>
        <w:numPr>
          <w:ilvl w:val="0"/>
          <w:numId w:val="1"/>
        </w:numPr>
        <w:spacing w:after="0" w:line="240" w:lineRule="auto"/>
        <w:jc w:val="both"/>
        <w:rPr>
          <w:sz w:val="24"/>
          <w:szCs w:val="24"/>
        </w:rPr>
      </w:pPr>
      <w:r>
        <w:rPr>
          <w:sz w:val="24"/>
          <w:szCs w:val="24"/>
        </w:rPr>
        <w:t xml:space="preserve">Some employers are already </w:t>
      </w:r>
      <w:r w:rsidR="00864912">
        <w:rPr>
          <w:sz w:val="24"/>
          <w:szCs w:val="24"/>
        </w:rPr>
        <w:t>living w</w:t>
      </w:r>
      <w:r>
        <w:rPr>
          <w:sz w:val="24"/>
          <w:szCs w:val="24"/>
        </w:rPr>
        <w:t xml:space="preserve">age employers de facto, they don’t need convincing, just recognition and </w:t>
      </w:r>
      <w:proofErr w:type="spellStart"/>
      <w:r>
        <w:rPr>
          <w:sz w:val="24"/>
          <w:szCs w:val="24"/>
        </w:rPr>
        <w:t>publicising</w:t>
      </w:r>
      <w:proofErr w:type="spellEnd"/>
      <w:r>
        <w:rPr>
          <w:sz w:val="24"/>
          <w:szCs w:val="24"/>
        </w:rPr>
        <w:t xml:space="preserve">; </w:t>
      </w:r>
    </w:p>
    <w:p w:rsidR="00864912" w:rsidRDefault="00864912" w:rsidP="00864912">
      <w:pPr>
        <w:spacing w:after="0" w:line="240" w:lineRule="auto"/>
        <w:ind w:left="360"/>
        <w:jc w:val="both"/>
        <w:rPr>
          <w:sz w:val="24"/>
          <w:szCs w:val="24"/>
        </w:rPr>
      </w:pPr>
    </w:p>
    <w:p w:rsidR="00864912" w:rsidRPr="00864912" w:rsidRDefault="00864912" w:rsidP="00864912">
      <w:pPr>
        <w:spacing w:after="0" w:line="240" w:lineRule="auto"/>
        <w:jc w:val="both"/>
        <w:rPr>
          <w:sz w:val="24"/>
          <w:szCs w:val="24"/>
          <w:u w:val="single"/>
        </w:rPr>
      </w:pPr>
      <w:r w:rsidRPr="00864912">
        <w:rPr>
          <w:sz w:val="24"/>
          <w:szCs w:val="24"/>
          <w:u w:val="single"/>
        </w:rPr>
        <w:t>Discussion on the Concept Note</w:t>
      </w:r>
    </w:p>
    <w:p w:rsidR="001E075B" w:rsidRDefault="001E075B" w:rsidP="001E075B">
      <w:pPr>
        <w:spacing w:after="0" w:line="240" w:lineRule="auto"/>
        <w:jc w:val="both"/>
        <w:rPr>
          <w:sz w:val="24"/>
          <w:szCs w:val="24"/>
        </w:rPr>
      </w:pPr>
    </w:p>
    <w:p w:rsidR="001E075B" w:rsidRPr="001E075B" w:rsidRDefault="001E075B" w:rsidP="001E075B">
      <w:pPr>
        <w:spacing w:after="0" w:line="240" w:lineRule="auto"/>
        <w:jc w:val="both"/>
        <w:rPr>
          <w:i/>
          <w:sz w:val="24"/>
          <w:szCs w:val="24"/>
        </w:rPr>
      </w:pPr>
      <w:r w:rsidRPr="001E075B">
        <w:rPr>
          <w:i/>
          <w:sz w:val="24"/>
          <w:szCs w:val="24"/>
        </w:rPr>
        <w:t>Living Wage Concept</w:t>
      </w:r>
    </w:p>
    <w:p w:rsidR="00623925" w:rsidRDefault="00623925" w:rsidP="002C3889">
      <w:pPr>
        <w:pStyle w:val="ListParagraph"/>
        <w:numPr>
          <w:ilvl w:val="0"/>
          <w:numId w:val="1"/>
        </w:numPr>
        <w:spacing w:after="0" w:line="240" w:lineRule="auto"/>
        <w:jc w:val="both"/>
        <w:rPr>
          <w:sz w:val="24"/>
          <w:szCs w:val="24"/>
        </w:rPr>
      </w:pPr>
      <w:r>
        <w:rPr>
          <w:sz w:val="24"/>
          <w:szCs w:val="24"/>
        </w:rPr>
        <w:t xml:space="preserve">A living wage is a wage rate for a certain individual, it does not take into account household composition; </w:t>
      </w:r>
    </w:p>
    <w:p w:rsidR="00864912" w:rsidRDefault="00864912" w:rsidP="002C3889">
      <w:pPr>
        <w:pStyle w:val="ListParagraph"/>
        <w:numPr>
          <w:ilvl w:val="0"/>
          <w:numId w:val="1"/>
        </w:numPr>
        <w:spacing w:after="0" w:line="240" w:lineRule="auto"/>
        <w:jc w:val="both"/>
        <w:rPr>
          <w:sz w:val="24"/>
          <w:szCs w:val="24"/>
        </w:rPr>
      </w:pPr>
      <w:r>
        <w:rPr>
          <w:sz w:val="24"/>
          <w:szCs w:val="24"/>
        </w:rPr>
        <w:t xml:space="preserve">One ay Governments could do it is thorough tax cuts for the low income bracket; </w:t>
      </w:r>
    </w:p>
    <w:p w:rsidR="00864912" w:rsidRDefault="00864912" w:rsidP="002C3889">
      <w:pPr>
        <w:pStyle w:val="ListParagraph"/>
        <w:numPr>
          <w:ilvl w:val="0"/>
          <w:numId w:val="1"/>
        </w:numPr>
        <w:spacing w:after="0" w:line="240" w:lineRule="auto"/>
        <w:jc w:val="both"/>
        <w:rPr>
          <w:sz w:val="24"/>
          <w:szCs w:val="24"/>
        </w:rPr>
      </w:pPr>
      <w:r>
        <w:rPr>
          <w:sz w:val="24"/>
          <w:szCs w:val="24"/>
        </w:rPr>
        <w:lastRenderedPageBreak/>
        <w:t>Living wage – one that ensures enough for an individual to live a dignified life, or that ensures that he or she can support a family in dignity? Employers should grant equal pay for equal work, otherwise wages would discriminate between workers based on household composition or other factors, which have nothing to do with the work carried out;</w:t>
      </w:r>
    </w:p>
    <w:p w:rsidR="001E075B" w:rsidRDefault="001E075B" w:rsidP="001E075B">
      <w:pPr>
        <w:spacing w:after="0" w:line="240" w:lineRule="auto"/>
        <w:ind w:left="360"/>
        <w:jc w:val="both"/>
        <w:rPr>
          <w:sz w:val="24"/>
          <w:szCs w:val="24"/>
        </w:rPr>
      </w:pPr>
    </w:p>
    <w:p w:rsidR="001E075B" w:rsidRPr="001E075B" w:rsidRDefault="001E075B" w:rsidP="001E075B">
      <w:pPr>
        <w:spacing w:after="0" w:line="240" w:lineRule="auto"/>
        <w:ind w:left="360"/>
        <w:jc w:val="both"/>
        <w:rPr>
          <w:i/>
          <w:sz w:val="24"/>
          <w:szCs w:val="24"/>
        </w:rPr>
      </w:pPr>
      <w:r w:rsidRPr="001E075B">
        <w:rPr>
          <w:i/>
          <w:sz w:val="24"/>
          <w:szCs w:val="24"/>
        </w:rPr>
        <w:t>The Living Wage – Integrated approach</w:t>
      </w:r>
    </w:p>
    <w:p w:rsidR="00864912" w:rsidRDefault="008952DF" w:rsidP="002C3889">
      <w:pPr>
        <w:pStyle w:val="ListParagraph"/>
        <w:numPr>
          <w:ilvl w:val="0"/>
          <w:numId w:val="1"/>
        </w:numPr>
        <w:spacing w:after="0" w:line="240" w:lineRule="auto"/>
        <w:jc w:val="both"/>
        <w:rPr>
          <w:sz w:val="24"/>
          <w:szCs w:val="24"/>
        </w:rPr>
      </w:pPr>
      <w:r>
        <w:rPr>
          <w:sz w:val="24"/>
          <w:szCs w:val="24"/>
        </w:rPr>
        <w:t>Very important to clarify that our target audience are employers, not the State (or the State only as employer, not as legislator), and it is not up to the employer to solve issues connected to household composition, but to pay a living wage for the individual.</w:t>
      </w:r>
    </w:p>
    <w:p w:rsidR="008952DF" w:rsidRDefault="006A1DBE" w:rsidP="002C3889">
      <w:pPr>
        <w:pStyle w:val="ListParagraph"/>
        <w:numPr>
          <w:ilvl w:val="0"/>
          <w:numId w:val="1"/>
        </w:numPr>
        <w:spacing w:after="0" w:line="240" w:lineRule="auto"/>
        <w:jc w:val="both"/>
        <w:rPr>
          <w:sz w:val="24"/>
          <w:szCs w:val="24"/>
        </w:rPr>
      </w:pPr>
      <w:r>
        <w:rPr>
          <w:sz w:val="24"/>
          <w:szCs w:val="24"/>
        </w:rPr>
        <w:t xml:space="preserve">Although the label says “living wage employer”, accreditation should have some additional criteria, such as recognition of trade unions, no unpaid overtime or other of the sort; however, we should retain some flexibility in what each country will ask for; </w:t>
      </w:r>
    </w:p>
    <w:p w:rsidR="006A1DBE" w:rsidRPr="00BE71DF" w:rsidRDefault="00BE71DF" w:rsidP="00BE71DF">
      <w:pPr>
        <w:pStyle w:val="ListParagraph"/>
        <w:numPr>
          <w:ilvl w:val="0"/>
          <w:numId w:val="2"/>
        </w:numPr>
        <w:spacing w:after="0" w:line="240" w:lineRule="auto"/>
        <w:jc w:val="both"/>
        <w:rPr>
          <w:b/>
          <w:i/>
          <w:sz w:val="24"/>
          <w:szCs w:val="24"/>
        </w:rPr>
      </w:pPr>
      <w:r w:rsidRPr="00BE71DF">
        <w:rPr>
          <w:b/>
          <w:i/>
          <w:sz w:val="24"/>
          <w:szCs w:val="24"/>
        </w:rPr>
        <w:t>Dave to send the accreditation model in Scotland</w:t>
      </w:r>
    </w:p>
    <w:p w:rsidR="00BE71DF" w:rsidRDefault="00BE71DF" w:rsidP="00BE71DF">
      <w:pPr>
        <w:pStyle w:val="ListParagraph"/>
        <w:numPr>
          <w:ilvl w:val="0"/>
          <w:numId w:val="2"/>
        </w:numPr>
        <w:spacing w:after="0" w:line="240" w:lineRule="auto"/>
        <w:jc w:val="both"/>
        <w:rPr>
          <w:b/>
          <w:i/>
          <w:sz w:val="24"/>
          <w:szCs w:val="24"/>
        </w:rPr>
      </w:pPr>
      <w:r w:rsidRPr="00BE71DF">
        <w:rPr>
          <w:b/>
          <w:i/>
          <w:sz w:val="24"/>
          <w:szCs w:val="24"/>
        </w:rPr>
        <w:t xml:space="preserve">Raluca to send the ILO </w:t>
      </w:r>
      <w:r>
        <w:rPr>
          <w:b/>
          <w:i/>
          <w:sz w:val="24"/>
          <w:szCs w:val="24"/>
        </w:rPr>
        <w:t>Decent Work Agenda</w:t>
      </w:r>
    </w:p>
    <w:p w:rsidR="00BE71DF" w:rsidRDefault="00BE71DF" w:rsidP="00BE71DF">
      <w:pPr>
        <w:pStyle w:val="ListParagraph"/>
        <w:numPr>
          <w:ilvl w:val="0"/>
          <w:numId w:val="2"/>
        </w:numPr>
        <w:spacing w:after="0" w:line="240" w:lineRule="auto"/>
        <w:jc w:val="both"/>
        <w:rPr>
          <w:b/>
          <w:i/>
          <w:sz w:val="24"/>
          <w:szCs w:val="24"/>
        </w:rPr>
      </w:pPr>
      <w:r>
        <w:rPr>
          <w:b/>
          <w:i/>
          <w:sz w:val="24"/>
          <w:szCs w:val="24"/>
        </w:rPr>
        <w:t>Also use the EAPN 10 Principles on Quality Work</w:t>
      </w:r>
    </w:p>
    <w:p w:rsidR="001E075B" w:rsidRDefault="001E075B" w:rsidP="001E075B">
      <w:pPr>
        <w:spacing w:after="0" w:line="240" w:lineRule="auto"/>
        <w:ind w:left="360"/>
        <w:jc w:val="both"/>
        <w:rPr>
          <w:b/>
          <w:i/>
          <w:sz w:val="24"/>
          <w:szCs w:val="24"/>
        </w:rPr>
      </w:pPr>
    </w:p>
    <w:p w:rsidR="001E075B" w:rsidRPr="001E075B" w:rsidRDefault="001E075B" w:rsidP="001E075B">
      <w:pPr>
        <w:spacing w:after="0" w:line="240" w:lineRule="auto"/>
        <w:ind w:left="360"/>
        <w:jc w:val="both"/>
        <w:rPr>
          <w:i/>
          <w:sz w:val="24"/>
          <w:szCs w:val="24"/>
        </w:rPr>
      </w:pPr>
      <w:r w:rsidRPr="001E075B">
        <w:rPr>
          <w:i/>
          <w:sz w:val="24"/>
          <w:szCs w:val="24"/>
        </w:rPr>
        <w:t>Issues to consider when approaching a living wage campaign</w:t>
      </w:r>
    </w:p>
    <w:p w:rsidR="00FD1872" w:rsidRPr="001E075B" w:rsidRDefault="009776EC" w:rsidP="00FD1872">
      <w:pPr>
        <w:pStyle w:val="ListParagraph"/>
        <w:numPr>
          <w:ilvl w:val="0"/>
          <w:numId w:val="1"/>
        </w:numPr>
        <w:spacing w:after="0" w:line="240" w:lineRule="auto"/>
        <w:jc w:val="both"/>
        <w:rPr>
          <w:b/>
          <w:i/>
          <w:sz w:val="24"/>
          <w:szCs w:val="24"/>
        </w:rPr>
      </w:pPr>
      <w:r>
        <w:rPr>
          <w:sz w:val="24"/>
          <w:szCs w:val="24"/>
        </w:rPr>
        <w:t xml:space="preserve">Structure comments: start with </w:t>
      </w:r>
      <w:r w:rsidR="00FD1872">
        <w:rPr>
          <w:sz w:val="24"/>
          <w:szCs w:val="24"/>
        </w:rPr>
        <w:t>“What is the nature of the problem”</w:t>
      </w:r>
      <w:r>
        <w:rPr>
          <w:sz w:val="24"/>
          <w:szCs w:val="24"/>
        </w:rPr>
        <w:t>, continue with “What kind of living wage campaign”, followed by “Wage bargaining”, “Attitude of employers”, “Political support”, “Methodology / Calculation”, “Building alliances / capacity issues”, and end with “How it will be monitored”</w:t>
      </w:r>
      <w:r w:rsidR="00FD1872">
        <w:rPr>
          <w:sz w:val="24"/>
          <w:szCs w:val="24"/>
        </w:rPr>
        <w:t>;</w:t>
      </w:r>
    </w:p>
    <w:p w:rsidR="001E075B" w:rsidRPr="001E075B" w:rsidRDefault="001E075B" w:rsidP="001E075B">
      <w:pPr>
        <w:pStyle w:val="ListParagraph"/>
        <w:numPr>
          <w:ilvl w:val="0"/>
          <w:numId w:val="1"/>
        </w:numPr>
        <w:spacing w:after="0" w:line="240" w:lineRule="auto"/>
        <w:jc w:val="both"/>
        <w:rPr>
          <w:b/>
          <w:i/>
          <w:sz w:val="24"/>
          <w:szCs w:val="24"/>
        </w:rPr>
      </w:pPr>
      <w:r>
        <w:rPr>
          <w:sz w:val="24"/>
          <w:szCs w:val="24"/>
        </w:rPr>
        <w:t xml:space="preserve">Point out that the living wage is complementary to, not undermining of, collective bargaining; </w:t>
      </w:r>
    </w:p>
    <w:p w:rsidR="001E075B" w:rsidRPr="001E075B" w:rsidRDefault="001E075B" w:rsidP="001E075B">
      <w:pPr>
        <w:pStyle w:val="ListParagraph"/>
        <w:numPr>
          <w:ilvl w:val="0"/>
          <w:numId w:val="1"/>
        </w:numPr>
        <w:spacing w:after="0" w:line="240" w:lineRule="auto"/>
        <w:jc w:val="both"/>
        <w:rPr>
          <w:b/>
          <w:i/>
          <w:sz w:val="24"/>
          <w:szCs w:val="24"/>
        </w:rPr>
      </w:pPr>
      <w:r>
        <w:rPr>
          <w:sz w:val="24"/>
          <w:szCs w:val="24"/>
        </w:rPr>
        <w:t xml:space="preserve">Useful to give some examples of concrete actions under each </w:t>
      </w:r>
      <w:proofErr w:type="spellStart"/>
      <w:r>
        <w:rPr>
          <w:sz w:val="24"/>
          <w:szCs w:val="24"/>
        </w:rPr>
        <w:t>subpoint</w:t>
      </w:r>
      <w:proofErr w:type="spellEnd"/>
      <w:r>
        <w:rPr>
          <w:sz w:val="24"/>
          <w:szCs w:val="24"/>
        </w:rPr>
        <w:t xml:space="preserve"> – what is the general direction we want to go in, and what is happening in this and that country;</w:t>
      </w:r>
    </w:p>
    <w:p w:rsidR="001E075B" w:rsidRPr="001E075B" w:rsidRDefault="001E075B" w:rsidP="001E075B">
      <w:pPr>
        <w:pStyle w:val="ListParagraph"/>
        <w:numPr>
          <w:ilvl w:val="0"/>
          <w:numId w:val="1"/>
        </w:numPr>
        <w:spacing w:after="0" w:line="240" w:lineRule="auto"/>
        <w:jc w:val="both"/>
        <w:rPr>
          <w:b/>
          <w:i/>
          <w:sz w:val="24"/>
          <w:szCs w:val="24"/>
        </w:rPr>
      </w:pPr>
      <w:r>
        <w:rPr>
          <w:sz w:val="24"/>
          <w:szCs w:val="24"/>
        </w:rPr>
        <w:t>Be mindful that this is not a silver bullet campaign, it can’t solve all issues, but has a very specific mandate</w:t>
      </w:r>
      <w:r w:rsidR="006C498D">
        <w:rPr>
          <w:sz w:val="24"/>
          <w:szCs w:val="24"/>
        </w:rPr>
        <w:t xml:space="preserve">, it does not aim to solve the full decent work agenda; </w:t>
      </w:r>
    </w:p>
    <w:p w:rsidR="001E075B" w:rsidRPr="009776EC" w:rsidRDefault="00FD1872" w:rsidP="001E075B">
      <w:pPr>
        <w:pStyle w:val="ListParagraph"/>
        <w:numPr>
          <w:ilvl w:val="0"/>
          <w:numId w:val="1"/>
        </w:numPr>
        <w:spacing w:after="0" w:line="240" w:lineRule="auto"/>
        <w:jc w:val="both"/>
        <w:rPr>
          <w:b/>
          <w:i/>
          <w:sz w:val="24"/>
          <w:szCs w:val="24"/>
        </w:rPr>
      </w:pPr>
      <w:r>
        <w:rPr>
          <w:sz w:val="24"/>
          <w:szCs w:val="24"/>
        </w:rPr>
        <w:t>Issue of the bogus self-employed, who are not dependents – what about their wages?</w:t>
      </w:r>
      <w:r w:rsidR="009776EC">
        <w:rPr>
          <w:sz w:val="24"/>
          <w:szCs w:val="24"/>
        </w:rPr>
        <w:t xml:space="preserve"> This is also, indirectly, a procurement issue, with some EU limitations;</w:t>
      </w:r>
    </w:p>
    <w:p w:rsidR="009776EC" w:rsidRPr="009776EC" w:rsidRDefault="009776EC" w:rsidP="001E075B">
      <w:pPr>
        <w:pStyle w:val="ListParagraph"/>
        <w:numPr>
          <w:ilvl w:val="0"/>
          <w:numId w:val="1"/>
        </w:numPr>
        <w:spacing w:after="0" w:line="240" w:lineRule="auto"/>
        <w:jc w:val="both"/>
        <w:rPr>
          <w:b/>
          <w:i/>
          <w:sz w:val="24"/>
          <w:szCs w:val="24"/>
        </w:rPr>
      </w:pPr>
      <w:r>
        <w:rPr>
          <w:sz w:val="24"/>
          <w:szCs w:val="24"/>
        </w:rPr>
        <w:t xml:space="preserve">First step of the campaign needs to be putting the concept out that – get it in people’s minds that </w:t>
      </w:r>
      <w:r w:rsidR="00BD5FAC">
        <w:rPr>
          <w:sz w:val="24"/>
          <w:szCs w:val="24"/>
        </w:rPr>
        <w:t>it exists, what it is, why it is important, and get a debate running – but this might be more a point for the Campaign Guide than the Concept &amp; Feasibility Note;</w:t>
      </w:r>
    </w:p>
    <w:p w:rsidR="009776EC" w:rsidRPr="00BD5FAC" w:rsidRDefault="00BD5FAC" w:rsidP="001E075B">
      <w:pPr>
        <w:pStyle w:val="ListParagraph"/>
        <w:numPr>
          <w:ilvl w:val="0"/>
          <w:numId w:val="1"/>
        </w:numPr>
        <w:spacing w:after="0" w:line="240" w:lineRule="auto"/>
        <w:jc w:val="both"/>
        <w:rPr>
          <w:b/>
          <w:i/>
          <w:sz w:val="24"/>
          <w:szCs w:val="24"/>
        </w:rPr>
      </w:pPr>
      <w:r>
        <w:rPr>
          <w:sz w:val="24"/>
          <w:szCs w:val="24"/>
        </w:rPr>
        <w:t xml:space="preserve">Need to clarify that each country has to choose the approach that best fits with their national realities – we are just offering a set of tools, and everybody has to come up with their own approach; </w:t>
      </w:r>
    </w:p>
    <w:p w:rsidR="00BD5FAC" w:rsidRPr="00BD5FAC" w:rsidRDefault="00BD5FAC" w:rsidP="001E075B">
      <w:pPr>
        <w:pStyle w:val="ListParagraph"/>
        <w:numPr>
          <w:ilvl w:val="0"/>
          <w:numId w:val="1"/>
        </w:numPr>
        <w:spacing w:after="0" w:line="240" w:lineRule="auto"/>
        <w:jc w:val="both"/>
        <w:rPr>
          <w:b/>
          <w:i/>
          <w:sz w:val="24"/>
          <w:szCs w:val="24"/>
        </w:rPr>
      </w:pPr>
      <w:r>
        <w:rPr>
          <w:sz w:val="24"/>
          <w:szCs w:val="24"/>
        </w:rPr>
        <w:t>Second step of the campaign needs to be identifying/mapping what similar initiatives already exist in their countries – and we could provide some examples for some countries, but this Task Force can’t undertake such specific research across 30 European countries;</w:t>
      </w:r>
    </w:p>
    <w:p w:rsidR="00BD5FAC" w:rsidRPr="00BC0271" w:rsidRDefault="00BC0271" w:rsidP="001E075B">
      <w:pPr>
        <w:pStyle w:val="ListParagraph"/>
        <w:numPr>
          <w:ilvl w:val="0"/>
          <w:numId w:val="1"/>
        </w:numPr>
        <w:spacing w:after="0" w:line="240" w:lineRule="auto"/>
        <w:jc w:val="both"/>
        <w:rPr>
          <w:b/>
          <w:i/>
          <w:sz w:val="24"/>
          <w:szCs w:val="24"/>
        </w:rPr>
      </w:pPr>
      <w:r>
        <w:rPr>
          <w:sz w:val="24"/>
          <w:szCs w:val="24"/>
        </w:rPr>
        <w:t>Some ways to go about it: the US community model; using living wage as a comparator to minimum wage discussions; consumer approach – ethical consumption; the bargaining approach – incorporating the living wage; the supply chain model - procurement; the corporate social responsibility approach;</w:t>
      </w:r>
    </w:p>
    <w:p w:rsidR="002C3889" w:rsidRPr="00C96CB7" w:rsidRDefault="00054F22" w:rsidP="002C3889">
      <w:pPr>
        <w:pStyle w:val="ListParagraph"/>
        <w:numPr>
          <w:ilvl w:val="0"/>
          <w:numId w:val="1"/>
        </w:numPr>
        <w:spacing w:after="0" w:line="240" w:lineRule="auto"/>
        <w:jc w:val="both"/>
        <w:rPr>
          <w:sz w:val="24"/>
          <w:szCs w:val="24"/>
          <w:u w:val="single"/>
        </w:rPr>
      </w:pPr>
      <w:r w:rsidRPr="00054F22">
        <w:rPr>
          <w:sz w:val="24"/>
          <w:szCs w:val="24"/>
        </w:rPr>
        <w:t>Include a brief reference to the procurement rules &amp; social clause recently voted by the European Parliament.</w:t>
      </w:r>
    </w:p>
    <w:p w:rsidR="00C96CB7" w:rsidRPr="00C96CB7" w:rsidRDefault="00C96CB7" w:rsidP="002C3889">
      <w:pPr>
        <w:pStyle w:val="ListParagraph"/>
        <w:numPr>
          <w:ilvl w:val="0"/>
          <w:numId w:val="1"/>
        </w:numPr>
        <w:spacing w:after="0" w:line="240" w:lineRule="auto"/>
        <w:jc w:val="both"/>
        <w:rPr>
          <w:sz w:val="24"/>
          <w:szCs w:val="24"/>
          <w:u w:val="single"/>
        </w:rPr>
      </w:pPr>
      <w:r>
        <w:rPr>
          <w:sz w:val="24"/>
          <w:szCs w:val="24"/>
        </w:rPr>
        <w:t>Need to consider big multinationals, as well as small SMES – while SMEs might be more reluctant as they have less margin of maneuver, t</w:t>
      </w:r>
      <w:r w:rsidR="00A47086">
        <w:rPr>
          <w:sz w:val="24"/>
          <w:szCs w:val="24"/>
        </w:rPr>
        <w:t xml:space="preserve">hey will also have </w:t>
      </w:r>
      <w:proofErr w:type="gramStart"/>
      <w:r w:rsidR="00A47086">
        <w:rPr>
          <w:sz w:val="24"/>
          <w:szCs w:val="24"/>
        </w:rPr>
        <w:t>less</w:t>
      </w:r>
      <w:proofErr w:type="gramEnd"/>
      <w:r w:rsidR="00A47086">
        <w:rPr>
          <w:sz w:val="24"/>
          <w:szCs w:val="24"/>
        </w:rPr>
        <w:t xml:space="preserve"> employee</w:t>
      </w:r>
      <w:r>
        <w:rPr>
          <w:sz w:val="24"/>
          <w:szCs w:val="24"/>
        </w:rPr>
        <w:t>s paid under what is deeded as a living wage.</w:t>
      </w:r>
    </w:p>
    <w:p w:rsidR="00C96CB7" w:rsidRDefault="00C96CB7" w:rsidP="00C96CB7">
      <w:pPr>
        <w:pStyle w:val="ListParagraph"/>
        <w:numPr>
          <w:ilvl w:val="0"/>
          <w:numId w:val="2"/>
        </w:numPr>
        <w:spacing w:after="0" w:line="240" w:lineRule="auto"/>
        <w:jc w:val="both"/>
        <w:rPr>
          <w:b/>
          <w:i/>
          <w:sz w:val="24"/>
          <w:szCs w:val="24"/>
        </w:rPr>
      </w:pPr>
      <w:r w:rsidRPr="00C96CB7">
        <w:rPr>
          <w:b/>
          <w:i/>
          <w:sz w:val="24"/>
          <w:szCs w:val="24"/>
        </w:rPr>
        <w:t>Raluca to get more information on CSR</w:t>
      </w:r>
      <w:r>
        <w:rPr>
          <w:b/>
          <w:i/>
          <w:sz w:val="24"/>
          <w:szCs w:val="24"/>
        </w:rPr>
        <w:t xml:space="preserve"> and share with the group</w:t>
      </w:r>
    </w:p>
    <w:p w:rsidR="00C96CB7" w:rsidRDefault="00C96CB7" w:rsidP="00C96CB7">
      <w:pPr>
        <w:pStyle w:val="ListParagraph"/>
        <w:numPr>
          <w:ilvl w:val="0"/>
          <w:numId w:val="2"/>
        </w:numPr>
        <w:spacing w:after="0" w:line="240" w:lineRule="auto"/>
        <w:jc w:val="both"/>
        <w:rPr>
          <w:b/>
          <w:i/>
          <w:sz w:val="24"/>
          <w:szCs w:val="24"/>
        </w:rPr>
      </w:pPr>
      <w:r>
        <w:rPr>
          <w:b/>
          <w:i/>
          <w:sz w:val="24"/>
          <w:szCs w:val="24"/>
        </w:rPr>
        <w:lastRenderedPageBreak/>
        <w:t>Dave to share information about the recently EP-approved procurement law</w:t>
      </w:r>
    </w:p>
    <w:p w:rsidR="00C96CB7" w:rsidRPr="002A7614" w:rsidRDefault="002A7614" w:rsidP="002A7614">
      <w:pPr>
        <w:pStyle w:val="ListParagraph"/>
        <w:numPr>
          <w:ilvl w:val="0"/>
          <w:numId w:val="1"/>
        </w:numPr>
        <w:spacing w:after="0" w:line="240" w:lineRule="auto"/>
        <w:jc w:val="both"/>
        <w:rPr>
          <w:b/>
          <w:i/>
          <w:sz w:val="24"/>
          <w:szCs w:val="24"/>
        </w:rPr>
      </w:pPr>
      <w:r>
        <w:rPr>
          <w:sz w:val="24"/>
          <w:szCs w:val="24"/>
        </w:rPr>
        <w:t>Political support – any country could probably easily round up some MPs etc willing to support it, but, if these are rather fringe radicals, it would alienate the center and right of center politicians, who are actually the ones we try to convince;</w:t>
      </w:r>
    </w:p>
    <w:p w:rsidR="002A7614" w:rsidRPr="002A7614" w:rsidRDefault="002A7614" w:rsidP="002A7614">
      <w:pPr>
        <w:pStyle w:val="ListParagraph"/>
        <w:numPr>
          <w:ilvl w:val="0"/>
          <w:numId w:val="1"/>
        </w:numPr>
        <w:spacing w:after="0" w:line="240" w:lineRule="auto"/>
        <w:jc w:val="both"/>
        <w:rPr>
          <w:b/>
          <w:i/>
          <w:sz w:val="24"/>
          <w:szCs w:val="24"/>
        </w:rPr>
      </w:pPr>
      <w:r>
        <w:rPr>
          <w:sz w:val="24"/>
          <w:szCs w:val="24"/>
        </w:rPr>
        <w:t>The campaign has to link up to whatever debates on wages are happening in your countries – need not to be prescriptive;</w:t>
      </w:r>
    </w:p>
    <w:p w:rsidR="002A7614" w:rsidRDefault="00F35770" w:rsidP="00F35770">
      <w:pPr>
        <w:pStyle w:val="ListParagraph"/>
        <w:numPr>
          <w:ilvl w:val="0"/>
          <w:numId w:val="2"/>
        </w:numPr>
        <w:spacing w:after="0" w:line="240" w:lineRule="auto"/>
        <w:jc w:val="both"/>
        <w:rPr>
          <w:b/>
          <w:i/>
          <w:sz w:val="24"/>
          <w:szCs w:val="24"/>
        </w:rPr>
      </w:pPr>
      <w:r>
        <w:rPr>
          <w:b/>
          <w:i/>
          <w:sz w:val="24"/>
          <w:szCs w:val="24"/>
        </w:rPr>
        <w:t>Everybody to send some input for the political support part.</w:t>
      </w:r>
    </w:p>
    <w:p w:rsidR="002A7614" w:rsidRPr="00F35770" w:rsidRDefault="00F35770" w:rsidP="002A7614">
      <w:pPr>
        <w:pStyle w:val="ListParagraph"/>
        <w:numPr>
          <w:ilvl w:val="0"/>
          <w:numId w:val="1"/>
        </w:numPr>
        <w:spacing w:after="0" w:line="240" w:lineRule="auto"/>
        <w:jc w:val="both"/>
        <w:rPr>
          <w:b/>
          <w:i/>
          <w:sz w:val="24"/>
          <w:szCs w:val="24"/>
        </w:rPr>
      </w:pPr>
      <w:r>
        <w:rPr>
          <w:sz w:val="24"/>
          <w:szCs w:val="24"/>
        </w:rPr>
        <w:t>Methodology – outline some possibilities of calculating – reference budgets, academic studies, minimum wage plus, focus groups etc.</w:t>
      </w:r>
    </w:p>
    <w:p w:rsidR="00F35770" w:rsidRPr="00555290" w:rsidRDefault="00555290" w:rsidP="002A7614">
      <w:pPr>
        <w:pStyle w:val="ListParagraph"/>
        <w:numPr>
          <w:ilvl w:val="0"/>
          <w:numId w:val="1"/>
        </w:numPr>
        <w:spacing w:after="0" w:line="240" w:lineRule="auto"/>
        <w:jc w:val="both"/>
        <w:rPr>
          <w:b/>
          <w:i/>
          <w:sz w:val="24"/>
          <w:szCs w:val="24"/>
        </w:rPr>
      </w:pPr>
      <w:r>
        <w:rPr>
          <w:sz w:val="24"/>
          <w:szCs w:val="24"/>
        </w:rPr>
        <w:t>The living wage is the same across the country, independent of the sector – as it has to do with human dignity, not with what job someone is doing;</w:t>
      </w:r>
    </w:p>
    <w:p w:rsidR="00555290" w:rsidRPr="00C96CB7" w:rsidRDefault="006A7E55" w:rsidP="002A7614">
      <w:pPr>
        <w:pStyle w:val="ListParagraph"/>
        <w:numPr>
          <w:ilvl w:val="0"/>
          <w:numId w:val="1"/>
        </w:numPr>
        <w:spacing w:after="0" w:line="240" w:lineRule="auto"/>
        <w:jc w:val="both"/>
        <w:rPr>
          <w:b/>
          <w:i/>
          <w:sz w:val="24"/>
          <w:szCs w:val="24"/>
        </w:rPr>
      </w:pPr>
      <w:r>
        <w:rPr>
          <w:sz w:val="24"/>
          <w:szCs w:val="24"/>
        </w:rPr>
        <w:t xml:space="preserve">The process of mapping is the beginning of alliance-building; </w:t>
      </w:r>
    </w:p>
    <w:p w:rsidR="00C96CB7" w:rsidRDefault="00C96CB7" w:rsidP="00C96CB7">
      <w:pPr>
        <w:spacing w:after="0" w:line="240" w:lineRule="auto"/>
        <w:jc w:val="both"/>
        <w:rPr>
          <w:sz w:val="24"/>
          <w:szCs w:val="24"/>
          <w:u w:val="single"/>
        </w:rPr>
      </w:pPr>
    </w:p>
    <w:p w:rsidR="007F0FA8" w:rsidRPr="00E541C8" w:rsidRDefault="007F0FA8" w:rsidP="00C96CB7">
      <w:pPr>
        <w:spacing w:after="0" w:line="240" w:lineRule="auto"/>
        <w:jc w:val="both"/>
        <w:rPr>
          <w:b/>
          <w:sz w:val="24"/>
          <w:szCs w:val="24"/>
        </w:rPr>
      </w:pPr>
      <w:r w:rsidRPr="00E541C8">
        <w:rPr>
          <w:b/>
          <w:sz w:val="24"/>
          <w:szCs w:val="24"/>
        </w:rPr>
        <w:t>Other campaign materials</w:t>
      </w:r>
    </w:p>
    <w:p w:rsidR="007F0FA8" w:rsidRDefault="007F0FA8" w:rsidP="00C96CB7">
      <w:pPr>
        <w:spacing w:after="0" w:line="240" w:lineRule="auto"/>
        <w:jc w:val="both"/>
        <w:rPr>
          <w:sz w:val="24"/>
          <w:szCs w:val="24"/>
          <w:u w:val="single"/>
        </w:rPr>
      </w:pPr>
    </w:p>
    <w:p w:rsidR="007F0FA8" w:rsidRDefault="007F0FA8" w:rsidP="007F0FA8">
      <w:pPr>
        <w:pStyle w:val="ListParagraph"/>
        <w:numPr>
          <w:ilvl w:val="0"/>
          <w:numId w:val="3"/>
        </w:numPr>
        <w:spacing w:after="0" w:line="240" w:lineRule="auto"/>
        <w:jc w:val="both"/>
        <w:rPr>
          <w:sz w:val="24"/>
          <w:szCs w:val="24"/>
        </w:rPr>
      </w:pPr>
      <w:r w:rsidRPr="007F0FA8">
        <w:rPr>
          <w:sz w:val="24"/>
          <w:szCs w:val="24"/>
        </w:rPr>
        <w:t>Mapping of similar initiatives in one’s country and identifying potential partners in the process</w:t>
      </w:r>
    </w:p>
    <w:p w:rsidR="007F0FA8" w:rsidRDefault="007F0FA8" w:rsidP="007F0FA8">
      <w:pPr>
        <w:pStyle w:val="ListParagraph"/>
        <w:numPr>
          <w:ilvl w:val="0"/>
          <w:numId w:val="3"/>
        </w:numPr>
        <w:spacing w:after="0" w:line="240" w:lineRule="auto"/>
        <w:jc w:val="both"/>
        <w:rPr>
          <w:sz w:val="24"/>
          <w:szCs w:val="24"/>
        </w:rPr>
      </w:pPr>
      <w:r w:rsidRPr="007F0FA8">
        <w:rPr>
          <w:sz w:val="24"/>
          <w:szCs w:val="24"/>
        </w:rPr>
        <w:t xml:space="preserve">Putting the concept out there </w:t>
      </w:r>
      <w:r>
        <w:rPr>
          <w:sz w:val="24"/>
          <w:szCs w:val="24"/>
        </w:rPr>
        <w:t>–</w:t>
      </w:r>
      <w:r w:rsidRPr="007F0FA8">
        <w:rPr>
          <w:sz w:val="24"/>
          <w:szCs w:val="24"/>
        </w:rPr>
        <w:t xml:space="preserve"> visibility</w:t>
      </w:r>
    </w:p>
    <w:p w:rsidR="007F0FA8" w:rsidRDefault="007F0FA8" w:rsidP="007F0FA8">
      <w:pPr>
        <w:pStyle w:val="ListParagraph"/>
        <w:numPr>
          <w:ilvl w:val="0"/>
          <w:numId w:val="1"/>
        </w:numPr>
        <w:spacing w:after="0" w:line="240" w:lineRule="auto"/>
        <w:jc w:val="both"/>
        <w:rPr>
          <w:sz w:val="24"/>
          <w:szCs w:val="24"/>
        </w:rPr>
      </w:pPr>
      <w:r>
        <w:rPr>
          <w:sz w:val="24"/>
          <w:szCs w:val="24"/>
        </w:rPr>
        <w:t xml:space="preserve">Common webpage (Facebook, </w:t>
      </w:r>
      <w:proofErr w:type="spellStart"/>
      <w:r>
        <w:rPr>
          <w:sz w:val="24"/>
          <w:szCs w:val="24"/>
        </w:rPr>
        <w:t>wordpress</w:t>
      </w:r>
      <w:proofErr w:type="spellEnd"/>
      <w:r>
        <w:rPr>
          <w:sz w:val="24"/>
          <w:szCs w:val="24"/>
        </w:rPr>
        <w:t>, free platform, EAPN website?)</w:t>
      </w:r>
    </w:p>
    <w:p w:rsidR="007F0FA8" w:rsidRDefault="007F0FA8" w:rsidP="007F0FA8">
      <w:pPr>
        <w:pStyle w:val="ListParagraph"/>
        <w:numPr>
          <w:ilvl w:val="0"/>
          <w:numId w:val="1"/>
        </w:numPr>
        <w:spacing w:after="0" w:line="240" w:lineRule="auto"/>
        <w:jc w:val="both"/>
        <w:rPr>
          <w:sz w:val="24"/>
          <w:szCs w:val="24"/>
        </w:rPr>
      </w:pPr>
      <w:r>
        <w:rPr>
          <w:sz w:val="24"/>
          <w:szCs w:val="24"/>
        </w:rPr>
        <w:t>Common logo (preferably without words) and slogan (short and translatable)</w:t>
      </w:r>
    </w:p>
    <w:p w:rsidR="007F0FA8" w:rsidRDefault="007F0FA8" w:rsidP="007F0FA8">
      <w:pPr>
        <w:pStyle w:val="ListParagraph"/>
        <w:numPr>
          <w:ilvl w:val="0"/>
          <w:numId w:val="1"/>
        </w:numPr>
        <w:spacing w:after="0" w:line="240" w:lineRule="auto"/>
        <w:jc w:val="both"/>
        <w:rPr>
          <w:sz w:val="24"/>
          <w:szCs w:val="24"/>
        </w:rPr>
      </w:pPr>
      <w:r>
        <w:rPr>
          <w:sz w:val="24"/>
          <w:szCs w:val="24"/>
        </w:rPr>
        <w:t xml:space="preserve">Targeted events and contacts </w:t>
      </w:r>
    </w:p>
    <w:p w:rsidR="007F0FA8" w:rsidRDefault="007F0FA8" w:rsidP="007F0FA8">
      <w:pPr>
        <w:pStyle w:val="ListParagraph"/>
        <w:numPr>
          <w:ilvl w:val="0"/>
          <w:numId w:val="1"/>
        </w:numPr>
        <w:spacing w:after="0" w:line="240" w:lineRule="auto"/>
        <w:jc w:val="both"/>
        <w:rPr>
          <w:sz w:val="24"/>
          <w:szCs w:val="24"/>
        </w:rPr>
      </w:pPr>
      <w:r>
        <w:rPr>
          <w:sz w:val="24"/>
          <w:szCs w:val="24"/>
        </w:rPr>
        <w:t>2-pager briefing to hand out – who we are, what we’re doing who’s endorsing us etc (template can be provided by the Secretariat, adaptable to national realities)</w:t>
      </w:r>
    </w:p>
    <w:p w:rsidR="007F0FA8" w:rsidRDefault="007F0FA8" w:rsidP="007F0FA8">
      <w:pPr>
        <w:pStyle w:val="ListParagraph"/>
        <w:numPr>
          <w:ilvl w:val="0"/>
          <w:numId w:val="3"/>
        </w:numPr>
        <w:spacing w:after="0" w:line="240" w:lineRule="auto"/>
        <w:jc w:val="both"/>
        <w:rPr>
          <w:sz w:val="24"/>
          <w:szCs w:val="24"/>
        </w:rPr>
      </w:pPr>
      <w:r>
        <w:rPr>
          <w:sz w:val="24"/>
          <w:szCs w:val="24"/>
        </w:rPr>
        <w:t>Developing own national campaign model – what particular debate would it link up to? What approach? What hooks? What methodology for deciding amount? What accreditation criteria for the “living wage employer” badge?</w:t>
      </w:r>
    </w:p>
    <w:p w:rsidR="00E73307" w:rsidRDefault="00E73307" w:rsidP="007F0FA8">
      <w:pPr>
        <w:pStyle w:val="ListParagraph"/>
        <w:numPr>
          <w:ilvl w:val="0"/>
          <w:numId w:val="3"/>
        </w:numPr>
        <w:spacing w:after="0" w:line="240" w:lineRule="auto"/>
        <w:jc w:val="both"/>
        <w:rPr>
          <w:sz w:val="24"/>
          <w:szCs w:val="24"/>
        </w:rPr>
      </w:pPr>
      <w:r>
        <w:rPr>
          <w:sz w:val="24"/>
          <w:szCs w:val="24"/>
        </w:rPr>
        <w:t xml:space="preserve">Identify existing employers which already satisfy the criteria, give them the badge, and </w:t>
      </w:r>
      <w:proofErr w:type="spellStart"/>
      <w:r>
        <w:rPr>
          <w:sz w:val="24"/>
          <w:szCs w:val="24"/>
        </w:rPr>
        <w:t>publicise</w:t>
      </w:r>
      <w:proofErr w:type="spellEnd"/>
      <w:r>
        <w:rPr>
          <w:sz w:val="24"/>
          <w:szCs w:val="24"/>
        </w:rPr>
        <w:t xml:space="preserve"> them as successes.</w:t>
      </w:r>
    </w:p>
    <w:p w:rsidR="007F0FA8" w:rsidRDefault="007F0FA8" w:rsidP="00E73307">
      <w:pPr>
        <w:pStyle w:val="ListParagraph"/>
        <w:numPr>
          <w:ilvl w:val="0"/>
          <w:numId w:val="3"/>
        </w:numPr>
        <w:spacing w:after="0" w:line="240" w:lineRule="auto"/>
        <w:jc w:val="both"/>
        <w:rPr>
          <w:sz w:val="24"/>
          <w:szCs w:val="24"/>
        </w:rPr>
      </w:pPr>
      <w:r>
        <w:rPr>
          <w:sz w:val="24"/>
          <w:szCs w:val="24"/>
        </w:rPr>
        <w:t xml:space="preserve"> </w:t>
      </w:r>
      <w:r w:rsidR="00E73307">
        <w:rPr>
          <w:sz w:val="24"/>
          <w:szCs w:val="24"/>
        </w:rPr>
        <w:t>Attempt convincing other employers to join the ranks.</w:t>
      </w:r>
    </w:p>
    <w:p w:rsidR="00E73307" w:rsidRDefault="00E73307" w:rsidP="00E73307">
      <w:pPr>
        <w:spacing w:after="0" w:line="240" w:lineRule="auto"/>
        <w:ind w:left="360"/>
        <w:rPr>
          <w:sz w:val="24"/>
          <w:szCs w:val="24"/>
        </w:rPr>
      </w:pPr>
    </w:p>
    <w:p w:rsidR="00E73307" w:rsidRPr="00E73307" w:rsidRDefault="00E73307" w:rsidP="00E541C8">
      <w:pPr>
        <w:spacing w:after="0" w:line="240" w:lineRule="auto"/>
        <w:rPr>
          <w:sz w:val="24"/>
          <w:szCs w:val="24"/>
          <w:u w:val="single"/>
        </w:rPr>
      </w:pPr>
      <w:r w:rsidRPr="00E73307">
        <w:rPr>
          <w:sz w:val="24"/>
          <w:szCs w:val="24"/>
          <w:u w:val="single"/>
        </w:rPr>
        <w:t>Discussion</w:t>
      </w:r>
    </w:p>
    <w:p w:rsidR="00E73307" w:rsidRDefault="00E73307" w:rsidP="00E73307">
      <w:pPr>
        <w:pStyle w:val="ListParagraph"/>
        <w:numPr>
          <w:ilvl w:val="0"/>
          <w:numId w:val="1"/>
        </w:numPr>
        <w:spacing w:after="0" w:line="240" w:lineRule="auto"/>
        <w:rPr>
          <w:sz w:val="24"/>
          <w:szCs w:val="24"/>
        </w:rPr>
      </w:pPr>
      <w:r>
        <w:rPr>
          <w:sz w:val="24"/>
          <w:szCs w:val="24"/>
        </w:rPr>
        <w:t xml:space="preserve">Building consensus and capacity building and a knowledge bank in the network is already a success and an indicator of achievement; </w:t>
      </w:r>
    </w:p>
    <w:p w:rsidR="00E73307" w:rsidRDefault="00E73307" w:rsidP="00E73307">
      <w:pPr>
        <w:pStyle w:val="ListParagraph"/>
        <w:numPr>
          <w:ilvl w:val="0"/>
          <w:numId w:val="1"/>
        </w:numPr>
        <w:spacing w:after="0" w:line="240" w:lineRule="auto"/>
        <w:rPr>
          <w:sz w:val="24"/>
          <w:szCs w:val="24"/>
        </w:rPr>
      </w:pPr>
      <w:r>
        <w:rPr>
          <w:sz w:val="24"/>
          <w:szCs w:val="24"/>
        </w:rPr>
        <w:t>Social enterprises, NGOs and trade unions are a great place to start - as employers who already ;</w:t>
      </w:r>
    </w:p>
    <w:p w:rsidR="00E73307" w:rsidRDefault="00E73307" w:rsidP="00E541C8">
      <w:pPr>
        <w:pStyle w:val="ListParagraph"/>
        <w:spacing w:after="0" w:line="240" w:lineRule="auto"/>
        <w:rPr>
          <w:sz w:val="24"/>
          <w:szCs w:val="24"/>
        </w:rPr>
      </w:pPr>
      <w:r>
        <w:rPr>
          <w:sz w:val="24"/>
          <w:szCs w:val="24"/>
        </w:rPr>
        <w:t xml:space="preserve"> </w:t>
      </w:r>
    </w:p>
    <w:p w:rsidR="00E73307" w:rsidRPr="00E541C8" w:rsidRDefault="00E541C8" w:rsidP="00E541C8">
      <w:pPr>
        <w:spacing w:after="0" w:line="240" w:lineRule="auto"/>
        <w:rPr>
          <w:b/>
          <w:sz w:val="24"/>
          <w:szCs w:val="24"/>
        </w:rPr>
      </w:pPr>
      <w:r w:rsidRPr="00E541C8">
        <w:rPr>
          <w:b/>
          <w:sz w:val="24"/>
          <w:szCs w:val="24"/>
        </w:rPr>
        <w:t>Campaign Guide</w:t>
      </w:r>
    </w:p>
    <w:p w:rsidR="00E73307" w:rsidRDefault="00E541C8" w:rsidP="00E541C8">
      <w:pPr>
        <w:pStyle w:val="ListParagraph"/>
        <w:numPr>
          <w:ilvl w:val="0"/>
          <w:numId w:val="1"/>
        </w:numPr>
        <w:spacing w:after="0" w:line="240" w:lineRule="auto"/>
        <w:jc w:val="both"/>
        <w:rPr>
          <w:sz w:val="24"/>
          <w:szCs w:val="24"/>
        </w:rPr>
      </w:pPr>
      <w:r>
        <w:rPr>
          <w:sz w:val="24"/>
          <w:szCs w:val="24"/>
        </w:rPr>
        <w:t>Useful to include funding tips? It might put people off, thinking that it’s bigger job than they are able to handle;</w:t>
      </w:r>
    </w:p>
    <w:p w:rsidR="00E541C8" w:rsidRDefault="00E541C8" w:rsidP="00E541C8">
      <w:pPr>
        <w:pStyle w:val="ListParagraph"/>
        <w:numPr>
          <w:ilvl w:val="0"/>
          <w:numId w:val="1"/>
        </w:numPr>
        <w:spacing w:after="0" w:line="240" w:lineRule="auto"/>
        <w:jc w:val="both"/>
        <w:rPr>
          <w:sz w:val="24"/>
          <w:szCs w:val="24"/>
        </w:rPr>
      </w:pPr>
      <w:r>
        <w:rPr>
          <w:sz w:val="24"/>
          <w:szCs w:val="24"/>
        </w:rPr>
        <w:t>People get encouraged by victories – once the phone starts ringing with requests, people will be motivated to seek funding;</w:t>
      </w:r>
    </w:p>
    <w:p w:rsidR="00E541C8" w:rsidRDefault="003B056E" w:rsidP="00E541C8">
      <w:pPr>
        <w:pStyle w:val="ListParagraph"/>
        <w:numPr>
          <w:ilvl w:val="0"/>
          <w:numId w:val="1"/>
        </w:numPr>
        <w:spacing w:after="0" w:line="240" w:lineRule="auto"/>
        <w:jc w:val="both"/>
        <w:rPr>
          <w:sz w:val="24"/>
          <w:szCs w:val="24"/>
        </w:rPr>
      </w:pPr>
      <w:r>
        <w:rPr>
          <w:sz w:val="24"/>
          <w:szCs w:val="24"/>
        </w:rPr>
        <w:t xml:space="preserve">The </w:t>
      </w:r>
      <w:r w:rsidR="00E541C8">
        <w:rPr>
          <w:sz w:val="24"/>
          <w:szCs w:val="24"/>
        </w:rPr>
        <w:t xml:space="preserve">Campaign Guide </w:t>
      </w:r>
      <w:r>
        <w:rPr>
          <w:sz w:val="24"/>
          <w:szCs w:val="24"/>
        </w:rPr>
        <w:t xml:space="preserve">will have fixed headings, indicating the steps to be followed by each country; under each heading, it </w:t>
      </w:r>
      <w:r w:rsidR="00E541C8">
        <w:rPr>
          <w:sz w:val="24"/>
          <w:szCs w:val="24"/>
        </w:rPr>
        <w:t>should include all possible ideas and ti</w:t>
      </w:r>
      <w:r>
        <w:rPr>
          <w:sz w:val="24"/>
          <w:szCs w:val="24"/>
        </w:rPr>
        <w:t>ps, and highlight what are the</w:t>
      </w:r>
      <w:r w:rsidR="00E541C8">
        <w:rPr>
          <w:sz w:val="24"/>
          <w:szCs w:val="24"/>
        </w:rPr>
        <w:t xml:space="preserve"> risks and limitations; it should provide options that people can choose from;</w:t>
      </w:r>
    </w:p>
    <w:p w:rsidR="00FC760C" w:rsidRDefault="00FC760C" w:rsidP="003B056E">
      <w:pPr>
        <w:spacing w:after="0" w:line="240" w:lineRule="auto"/>
        <w:jc w:val="both"/>
        <w:rPr>
          <w:sz w:val="24"/>
          <w:szCs w:val="24"/>
        </w:rPr>
      </w:pPr>
    </w:p>
    <w:p w:rsidR="00307417" w:rsidRDefault="00307417" w:rsidP="003B056E">
      <w:pPr>
        <w:spacing w:after="0" w:line="240" w:lineRule="auto"/>
        <w:jc w:val="both"/>
        <w:rPr>
          <w:sz w:val="24"/>
          <w:szCs w:val="24"/>
        </w:rPr>
      </w:pPr>
    </w:p>
    <w:p w:rsidR="00307417" w:rsidRDefault="00307417" w:rsidP="003B056E">
      <w:pPr>
        <w:spacing w:after="0" w:line="240" w:lineRule="auto"/>
        <w:jc w:val="both"/>
        <w:rPr>
          <w:sz w:val="24"/>
          <w:szCs w:val="24"/>
        </w:rPr>
      </w:pPr>
    </w:p>
    <w:p w:rsidR="00307417" w:rsidRDefault="00307417" w:rsidP="003B056E">
      <w:pPr>
        <w:spacing w:after="0" w:line="240" w:lineRule="auto"/>
        <w:jc w:val="both"/>
        <w:rPr>
          <w:sz w:val="24"/>
          <w:szCs w:val="24"/>
        </w:rPr>
      </w:pPr>
    </w:p>
    <w:p w:rsidR="00307417" w:rsidRPr="00307417" w:rsidRDefault="00FC760C" w:rsidP="003B056E">
      <w:pPr>
        <w:spacing w:after="0" w:line="240" w:lineRule="auto"/>
        <w:jc w:val="both"/>
        <w:rPr>
          <w:b/>
          <w:sz w:val="24"/>
          <w:szCs w:val="24"/>
        </w:rPr>
      </w:pPr>
      <w:r w:rsidRPr="00307417">
        <w:rPr>
          <w:b/>
          <w:sz w:val="24"/>
          <w:szCs w:val="24"/>
        </w:rPr>
        <w:lastRenderedPageBreak/>
        <w:t>Next steps</w:t>
      </w:r>
    </w:p>
    <w:p w:rsidR="00307417" w:rsidRDefault="00307417" w:rsidP="003B056E">
      <w:pPr>
        <w:spacing w:after="0" w:line="240" w:lineRule="auto"/>
        <w:jc w:val="both"/>
        <w:rPr>
          <w:sz w:val="24"/>
          <w:szCs w:val="24"/>
        </w:rPr>
      </w:pPr>
    </w:p>
    <w:tbl>
      <w:tblPr>
        <w:tblStyle w:val="TableGrid"/>
        <w:tblW w:w="9747" w:type="dxa"/>
        <w:tblLook w:val="04A0" w:firstRow="1" w:lastRow="0" w:firstColumn="1" w:lastColumn="0" w:noHBand="0" w:noVBand="1"/>
      </w:tblPr>
      <w:tblGrid>
        <w:gridCol w:w="1200"/>
        <w:gridCol w:w="3303"/>
        <w:gridCol w:w="3049"/>
        <w:gridCol w:w="2195"/>
      </w:tblGrid>
      <w:tr w:rsidR="00A47086" w:rsidTr="00A47086">
        <w:tc>
          <w:tcPr>
            <w:tcW w:w="1200" w:type="dxa"/>
          </w:tcPr>
          <w:p w:rsidR="00A47086" w:rsidRPr="00912926" w:rsidRDefault="00A47086" w:rsidP="00A47086">
            <w:pPr>
              <w:jc w:val="center"/>
              <w:rPr>
                <w:b/>
                <w:sz w:val="24"/>
                <w:szCs w:val="24"/>
              </w:rPr>
            </w:pPr>
            <w:r w:rsidRPr="00912926">
              <w:rPr>
                <w:b/>
                <w:sz w:val="24"/>
                <w:szCs w:val="24"/>
              </w:rPr>
              <w:t>When?</w:t>
            </w:r>
          </w:p>
        </w:tc>
        <w:tc>
          <w:tcPr>
            <w:tcW w:w="3303" w:type="dxa"/>
          </w:tcPr>
          <w:p w:rsidR="00A47086" w:rsidRPr="00A47086" w:rsidRDefault="00A47086" w:rsidP="00A47086">
            <w:pPr>
              <w:jc w:val="center"/>
              <w:rPr>
                <w:b/>
                <w:sz w:val="24"/>
                <w:szCs w:val="24"/>
              </w:rPr>
            </w:pPr>
            <w:r w:rsidRPr="00A47086">
              <w:rPr>
                <w:b/>
                <w:sz w:val="24"/>
                <w:szCs w:val="24"/>
              </w:rPr>
              <w:t>CONCEPT &amp; FEASIBILITY NOTE</w:t>
            </w:r>
          </w:p>
        </w:tc>
        <w:tc>
          <w:tcPr>
            <w:tcW w:w="3049" w:type="dxa"/>
          </w:tcPr>
          <w:p w:rsidR="00A47086" w:rsidRPr="00A47086" w:rsidRDefault="00A47086" w:rsidP="00A47086">
            <w:pPr>
              <w:jc w:val="center"/>
              <w:rPr>
                <w:b/>
                <w:sz w:val="24"/>
                <w:szCs w:val="24"/>
              </w:rPr>
            </w:pPr>
            <w:r w:rsidRPr="00A47086">
              <w:rPr>
                <w:b/>
                <w:sz w:val="24"/>
                <w:szCs w:val="24"/>
              </w:rPr>
              <w:t>CAMPAIGN GUIDE</w:t>
            </w:r>
          </w:p>
        </w:tc>
        <w:tc>
          <w:tcPr>
            <w:tcW w:w="2195" w:type="dxa"/>
          </w:tcPr>
          <w:p w:rsidR="00A47086" w:rsidRPr="00A47086" w:rsidRDefault="00A47086" w:rsidP="00A47086">
            <w:pPr>
              <w:jc w:val="center"/>
              <w:rPr>
                <w:b/>
                <w:sz w:val="24"/>
                <w:szCs w:val="24"/>
              </w:rPr>
            </w:pPr>
            <w:r>
              <w:rPr>
                <w:b/>
                <w:sz w:val="24"/>
                <w:szCs w:val="24"/>
              </w:rPr>
              <w:t>CAMPAIGN TOOLS</w:t>
            </w:r>
          </w:p>
        </w:tc>
      </w:tr>
      <w:tr w:rsidR="00A47086" w:rsidRPr="00A47086" w:rsidTr="00A47086">
        <w:tc>
          <w:tcPr>
            <w:tcW w:w="1200" w:type="dxa"/>
          </w:tcPr>
          <w:p w:rsidR="00A47086" w:rsidRPr="00912926" w:rsidRDefault="00A47086" w:rsidP="00A47086">
            <w:pPr>
              <w:jc w:val="both"/>
              <w:rPr>
                <w:b/>
                <w:sz w:val="24"/>
                <w:szCs w:val="24"/>
              </w:rPr>
            </w:pPr>
            <w:r w:rsidRPr="00912926">
              <w:rPr>
                <w:b/>
                <w:sz w:val="24"/>
                <w:szCs w:val="24"/>
              </w:rPr>
              <w:t>17 March</w:t>
            </w:r>
          </w:p>
        </w:tc>
        <w:tc>
          <w:tcPr>
            <w:tcW w:w="3303" w:type="dxa"/>
          </w:tcPr>
          <w:p w:rsidR="00A47086" w:rsidRPr="00A47086" w:rsidRDefault="00A47086" w:rsidP="00307417">
            <w:pPr>
              <w:jc w:val="both"/>
              <w:rPr>
                <w:sz w:val="24"/>
                <w:szCs w:val="24"/>
              </w:rPr>
            </w:pPr>
            <w:r>
              <w:rPr>
                <w:sz w:val="24"/>
                <w:szCs w:val="24"/>
              </w:rPr>
              <w:t>Amana sends Lorraine comments</w:t>
            </w:r>
          </w:p>
        </w:tc>
        <w:tc>
          <w:tcPr>
            <w:tcW w:w="3049" w:type="dxa"/>
          </w:tcPr>
          <w:p w:rsidR="00A47086" w:rsidRPr="00A47086" w:rsidRDefault="00A47086" w:rsidP="00A47086">
            <w:pPr>
              <w:jc w:val="both"/>
              <w:rPr>
                <w:sz w:val="24"/>
                <w:szCs w:val="24"/>
              </w:rPr>
            </w:pPr>
            <w:r>
              <w:rPr>
                <w:sz w:val="24"/>
                <w:szCs w:val="24"/>
              </w:rPr>
              <w:t>Dave sends Amana a revised draft structure</w:t>
            </w:r>
          </w:p>
        </w:tc>
        <w:tc>
          <w:tcPr>
            <w:tcW w:w="2195" w:type="dxa"/>
            <w:vMerge w:val="restart"/>
          </w:tcPr>
          <w:p w:rsidR="00A47086" w:rsidRDefault="00A47086" w:rsidP="00A47086">
            <w:pPr>
              <w:jc w:val="both"/>
              <w:rPr>
                <w:sz w:val="24"/>
                <w:szCs w:val="24"/>
              </w:rPr>
            </w:pPr>
            <w:r>
              <w:rPr>
                <w:sz w:val="24"/>
                <w:szCs w:val="24"/>
              </w:rPr>
              <w:t xml:space="preserve">Amana researches possibilities and creates tools as much as possible  - website, logo </w:t>
            </w:r>
            <w:proofErr w:type="spellStart"/>
            <w:r>
              <w:rPr>
                <w:sz w:val="24"/>
                <w:szCs w:val="24"/>
              </w:rPr>
              <w:t>etc</w:t>
            </w:r>
            <w:proofErr w:type="spellEnd"/>
          </w:p>
        </w:tc>
      </w:tr>
      <w:tr w:rsidR="00A47086" w:rsidRPr="00A47086" w:rsidTr="00A47086">
        <w:tc>
          <w:tcPr>
            <w:tcW w:w="1200" w:type="dxa"/>
          </w:tcPr>
          <w:p w:rsidR="00A47086" w:rsidRPr="00912926" w:rsidRDefault="00A47086" w:rsidP="00307417">
            <w:pPr>
              <w:jc w:val="both"/>
              <w:rPr>
                <w:b/>
                <w:sz w:val="24"/>
                <w:szCs w:val="24"/>
              </w:rPr>
            </w:pPr>
            <w:r w:rsidRPr="00912926">
              <w:rPr>
                <w:b/>
                <w:sz w:val="24"/>
                <w:szCs w:val="24"/>
              </w:rPr>
              <w:t>1</w:t>
            </w:r>
            <w:r w:rsidRPr="00912926">
              <w:rPr>
                <w:b/>
                <w:sz w:val="24"/>
                <w:szCs w:val="24"/>
                <w:vertAlign w:val="superscript"/>
              </w:rPr>
              <w:t>st</w:t>
            </w:r>
            <w:r w:rsidRPr="00912926">
              <w:rPr>
                <w:b/>
                <w:sz w:val="24"/>
                <w:szCs w:val="24"/>
              </w:rPr>
              <w:t xml:space="preserve"> April</w:t>
            </w:r>
          </w:p>
        </w:tc>
        <w:tc>
          <w:tcPr>
            <w:tcW w:w="3303" w:type="dxa"/>
          </w:tcPr>
          <w:p w:rsidR="00A47086" w:rsidRPr="00A47086" w:rsidRDefault="00A47086" w:rsidP="00307417">
            <w:pPr>
              <w:jc w:val="both"/>
              <w:rPr>
                <w:sz w:val="24"/>
                <w:szCs w:val="24"/>
              </w:rPr>
            </w:pPr>
            <w:r>
              <w:rPr>
                <w:sz w:val="24"/>
                <w:szCs w:val="24"/>
              </w:rPr>
              <w:t>Loraine sends out a second version</w:t>
            </w:r>
          </w:p>
        </w:tc>
        <w:tc>
          <w:tcPr>
            <w:tcW w:w="3049" w:type="dxa"/>
          </w:tcPr>
          <w:p w:rsidR="00A47086" w:rsidRPr="00A47086" w:rsidRDefault="00A47086" w:rsidP="00307417">
            <w:pPr>
              <w:jc w:val="both"/>
              <w:rPr>
                <w:sz w:val="24"/>
                <w:szCs w:val="24"/>
              </w:rPr>
            </w:pPr>
            <w:r>
              <w:rPr>
                <w:sz w:val="24"/>
                <w:szCs w:val="24"/>
              </w:rPr>
              <w:t>Amana sends out a second version</w:t>
            </w:r>
          </w:p>
        </w:tc>
        <w:tc>
          <w:tcPr>
            <w:tcW w:w="2195" w:type="dxa"/>
            <w:vMerge/>
          </w:tcPr>
          <w:p w:rsidR="00A47086" w:rsidRDefault="00A47086" w:rsidP="00307417">
            <w:pPr>
              <w:jc w:val="both"/>
              <w:rPr>
                <w:sz w:val="24"/>
                <w:szCs w:val="24"/>
              </w:rPr>
            </w:pPr>
          </w:p>
        </w:tc>
      </w:tr>
      <w:tr w:rsidR="00A47086" w:rsidRPr="00A47086" w:rsidTr="00A47086">
        <w:tc>
          <w:tcPr>
            <w:tcW w:w="1200" w:type="dxa"/>
          </w:tcPr>
          <w:p w:rsidR="00A47086" w:rsidRPr="00912926" w:rsidRDefault="00A47086" w:rsidP="00307417">
            <w:pPr>
              <w:jc w:val="both"/>
              <w:rPr>
                <w:b/>
                <w:sz w:val="24"/>
                <w:szCs w:val="24"/>
              </w:rPr>
            </w:pPr>
            <w:r w:rsidRPr="00912926">
              <w:rPr>
                <w:b/>
                <w:sz w:val="24"/>
                <w:szCs w:val="24"/>
              </w:rPr>
              <w:t xml:space="preserve">Easter </w:t>
            </w:r>
          </w:p>
        </w:tc>
        <w:tc>
          <w:tcPr>
            <w:tcW w:w="6352" w:type="dxa"/>
            <w:gridSpan w:val="2"/>
          </w:tcPr>
          <w:p w:rsidR="00A47086" w:rsidRPr="00A47086" w:rsidRDefault="00A47086" w:rsidP="00A47086">
            <w:pPr>
              <w:jc w:val="center"/>
              <w:rPr>
                <w:sz w:val="24"/>
                <w:szCs w:val="24"/>
              </w:rPr>
            </w:pPr>
            <w:r>
              <w:rPr>
                <w:sz w:val="24"/>
                <w:szCs w:val="24"/>
              </w:rPr>
              <w:t>Members send comments on both documents</w:t>
            </w:r>
          </w:p>
        </w:tc>
        <w:tc>
          <w:tcPr>
            <w:tcW w:w="2195" w:type="dxa"/>
            <w:vMerge/>
          </w:tcPr>
          <w:p w:rsidR="00A47086" w:rsidRDefault="00A47086" w:rsidP="00A47086">
            <w:pPr>
              <w:jc w:val="center"/>
              <w:rPr>
                <w:sz w:val="24"/>
                <w:szCs w:val="24"/>
              </w:rPr>
            </w:pPr>
          </w:p>
        </w:tc>
      </w:tr>
      <w:tr w:rsidR="00A47086" w:rsidRPr="00A47086" w:rsidTr="00A47086">
        <w:tc>
          <w:tcPr>
            <w:tcW w:w="1200" w:type="dxa"/>
          </w:tcPr>
          <w:p w:rsidR="00A47086" w:rsidRPr="00912926" w:rsidRDefault="00A47086" w:rsidP="00307417">
            <w:pPr>
              <w:jc w:val="both"/>
              <w:rPr>
                <w:b/>
                <w:sz w:val="24"/>
                <w:szCs w:val="24"/>
              </w:rPr>
            </w:pPr>
            <w:r w:rsidRPr="00912926">
              <w:rPr>
                <w:b/>
                <w:sz w:val="24"/>
                <w:szCs w:val="24"/>
              </w:rPr>
              <w:t>1</w:t>
            </w:r>
            <w:r w:rsidRPr="00912926">
              <w:rPr>
                <w:b/>
                <w:sz w:val="24"/>
                <w:szCs w:val="24"/>
                <w:vertAlign w:val="superscript"/>
              </w:rPr>
              <w:t>st</w:t>
            </w:r>
            <w:r w:rsidRPr="00912926">
              <w:rPr>
                <w:b/>
                <w:sz w:val="24"/>
                <w:szCs w:val="24"/>
              </w:rPr>
              <w:t xml:space="preserve"> June</w:t>
            </w:r>
          </w:p>
        </w:tc>
        <w:tc>
          <w:tcPr>
            <w:tcW w:w="3303" w:type="dxa"/>
          </w:tcPr>
          <w:p w:rsidR="00A47086" w:rsidRPr="00A47086" w:rsidRDefault="00A47086" w:rsidP="00307417">
            <w:pPr>
              <w:jc w:val="both"/>
              <w:rPr>
                <w:sz w:val="24"/>
                <w:szCs w:val="24"/>
              </w:rPr>
            </w:pPr>
            <w:r>
              <w:rPr>
                <w:sz w:val="24"/>
                <w:szCs w:val="24"/>
              </w:rPr>
              <w:t>Loraine incorporates comments and sends out a final version (with Secretariat support from Amana)</w:t>
            </w:r>
          </w:p>
        </w:tc>
        <w:tc>
          <w:tcPr>
            <w:tcW w:w="3049" w:type="dxa"/>
          </w:tcPr>
          <w:p w:rsidR="00A47086" w:rsidRPr="00A47086" w:rsidRDefault="00A47086" w:rsidP="00307417">
            <w:pPr>
              <w:jc w:val="both"/>
              <w:rPr>
                <w:sz w:val="24"/>
                <w:szCs w:val="24"/>
              </w:rPr>
            </w:pPr>
            <w:r>
              <w:rPr>
                <w:sz w:val="24"/>
                <w:szCs w:val="24"/>
              </w:rPr>
              <w:t xml:space="preserve">Dave incorporates comments and sends out a final version </w:t>
            </w:r>
            <w:r>
              <w:rPr>
                <w:sz w:val="24"/>
                <w:szCs w:val="24"/>
              </w:rPr>
              <w:t>(with Secretariat support from Amana)</w:t>
            </w:r>
          </w:p>
        </w:tc>
        <w:tc>
          <w:tcPr>
            <w:tcW w:w="2195" w:type="dxa"/>
          </w:tcPr>
          <w:p w:rsidR="00A47086" w:rsidRDefault="00A47086" w:rsidP="00307417">
            <w:pPr>
              <w:jc w:val="both"/>
              <w:rPr>
                <w:sz w:val="24"/>
                <w:szCs w:val="24"/>
              </w:rPr>
            </w:pPr>
            <w:r>
              <w:rPr>
                <w:sz w:val="24"/>
                <w:szCs w:val="24"/>
              </w:rPr>
              <w:t xml:space="preserve">Amana sends out a proposal &amp; state of play for tools. </w:t>
            </w:r>
          </w:p>
        </w:tc>
      </w:tr>
      <w:tr w:rsidR="00A47086" w:rsidRPr="00A47086" w:rsidTr="00625B29">
        <w:tc>
          <w:tcPr>
            <w:tcW w:w="1200" w:type="dxa"/>
          </w:tcPr>
          <w:p w:rsidR="00A47086" w:rsidRPr="00912926" w:rsidRDefault="00A47086" w:rsidP="00307417">
            <w:pPr>
              <w:jc w:val="both"/>
              <w:rPr>
                <w:b/>
                <w:sz w:val="24"/>
                <w:szCs w:val="24"/>
              </w:rPr>
            </w:pPr>
            <w:r w:rsidRPr="00912926">
              <w:rPr>
                <w:b/>
                <w:sz w:val="24"/>
                <w:szCs w:val="24"/>
              </w:rPr>
              <w:t>12</w:t>
            </w:r>
            <w:r w:rsidRPr="00912926">
              <w:rPr>
                <w:b/>
                <w:sz w:val="24"/>
                <w:szCs w:val="24"/>
                <w:vertAlign w:val="superscript"/>
              </w:rPr>
              <w:t>th</w:t>
            </w:r>
            <w:r w:rsidRPr="00912926">
              <w:rPr>
                <w:b/>
                <w:sz w:val="24"/>
                <w:szCs w:val="24"/>
              </w:rPr>
              <w:t xml:space="preserve"> June PM</w:t>
            </w:r>
          </w:p>
        </w:tc>
        <w:tc>
          <w:tcPr>
            <w:tcW w:w="8547" w:type="dxa"/>
            <w:gridSpan w:val="3"/>
          </w:tcPr>
          <w:p w:rsidR="00A47086" w:rsidRPr="00A47086" w:rsidRDefault="00A47086" w:rsidP="00A47086">
            <w:pPr>
              <w:jc w:val="center"/>
              <w:rPr>
                <w:sz w:val="24"/>
                <w:szCs w:val="24"/>
              </w:rPr>
            </w:pPr>
            <w:r>
              <w:rPr>
                <w:sz w:val="24"/>
                <w:szCs w:val="24"/>
              </w:rPr>
              <w:t>Brussels event on Decent Work, including the EAPN Quality of Work and Employment and the work of the Task Force</w:t>
            </w:r>
            <w:bookmarkStart w:id="0" w:name="_GoBack"/>
            <w:bookmarkEnd w:id="0"/>
            <w:r>
              <w:rPr>
                <w:sz w:val="24"/>
                <w:szCs w:val="24"/>
              </w:rPr>
              <w:t>, with TF members attending</w:t>
            </w:r>
          </w:p>
        </w:tc>
      </w:tr>
      <w:tr w:rsidR="00A47086" w:rsidRPr="00A47086" w:rsidTr="001F3586">
        <w:tc>
          <w:tcPr>
            <w:tcW w:w="1200" w:type="dxa"/>
          </w:tcPr>
          <w:p w:rsidR="00A47086" w:rsidRPr="00912926" w:rsidRDefault="00A47086" w:rsidP="00307417">
            <w:pPr>
              <w:jc w:val="both"/>
              <w:rPr>
                <w:b/>
                <w:sz w:val="24"/>
                <w:szCs w:val="24"/>
              </w:rPr>
            </w:pPr>
            <w:r w:rsidRPr="00912926">
              <w:rPr>
                <w:b/>
                <w:sz w:val="24"/>
                <w:szCs w:val="24"/>
              </w:rPr>
              <w:t>13</w:t>
            </w:r>
            <w:r w:rsidRPr="00912926">
              <w:rPr>
                <w:b/>
                <w:sz w:val="24"/>
                <w:szCs w:val="24"/>
                <w:vertAlign w:val="superscript"/>
              </w:rPr>
              <w:t>th</w:t>
            </w:r>
            <w:r w:rsidRPr="00912926">
              <w:rPr>
                <w:b/>
                <w:sz w:val="24"/>
                <w:szCs w:val="24"/>
              </w:rPr>
              <w:t xml:space="preserve"> June</w:t>
            </w:r>
          </w:p>
        </w:tc>
        <w:tc>
          <w:tcPr>
            <w:tcW w:w="8547" w:type="dxa"/>
            <w:gridSpan w:val="3"/>
          </w:tcPr>
          <w:p w:rsidR="00A47086" w:rsidRPr="00A47086" w:rsidRDefault="00912926" w:rsidP="00912926">
            <w:pPr>
              <w:jc w:val="center"/>
              <w:rPr>
                <w:sz w:val="24"/>
                <w:szCs w:val="24"/>
              </w:rPr>
            </w:pPr>
            <w:r>
              <w:rPr>
                <w:sz w:val="24"/>
                <w:szCs w:val="24"/>
              </w:rPr>
              <w:t>Third (and final) meeting of the Task Force, to discuss / endorse the above</w:t>
            </w:r>
          </w:p>
        </w:tc>
      </w:tr>
      <w:tr w:rsidR="00A47086" w:rsidRPr="00A47086" w:rsidTr="001F3586">
        <w:tc>
          <w:tcPr>
            <w:tcW w:w="1200" w:type="dxa"/>
          </w:tcPr>
          <w:p w:rsidR="00A47086" w:rsidRPr="00912926" w:rsidRDefault="00A47086" w:rsidP="00307417">
            <w:pPr>
              <w:jc w:val="both"/>
              <w:rPr>
                <w:b/>
                <w:sz w:val="24"/>
                <w:szCs w:val="24"/>
              </w:rPr>
            </w:pPr>
            <w:r w:rsidRPr="00912926">
              <w:rPr>
                <w:b/>
                <w:sz w:val="24"/>
                <w:szCs w:val="24"/>
              </w:rPr>
              <w:t xml:space="preserve">3-4 October </w:t>
            </w:r>
          </w:p>
        </w:tc>
        <w:tc>
          <w:tcPr>
            <w:tcW w:w="8547" w:type="dxa"/>
            <w:gridSpan w:val="3"/>
          </w:tcPr>
          <w:p w:rsidR="00A47086" w:rsidRPr="00A47086" w:rsidRDefault="00912926" w:rsidP="00912926">
            <w:pPr>
              <w:jc w:val="center"/>
              <w:rPr>
                <w:sz w:val="24"/>
                <w:szCs w:val="24"/>
              </w:rPr>
            </w:pPr>
            <w:r>
              <w:rPr>
                <w:sz w:val="24"/>
                <w:szCs w:val="24"/>
              </w:rPr>
              <w:t>Meeting of EAPN’s EU Inclusion Strategies Group, where the results of the work of the task Force will be presented, discussed and (hopefully) endorsed.</w:t>
            </w:r>
          </w:p>
        </w:tc>
      </w:tr>
    </w:tbl>
    <w:p w:rsidR="00A47086" w:rsidRDefault="00A47086" w:rsidP="00307417">
      <w:pPr>
        <w:spacing w:after="0" w:line="240" w:lineRule="auto"/>
        <w:jc w:val="both"/>
        <w:rPr>
          <w:sz w:val="24"/>
          <w:szCs w:val="24"/>
          <w:u w:val="single"/>
        </w:rPr>
      </w:pPr>
    </w:p>
    <w:p w:rsidR="00307417" w:rsidRDefault="00307417" w:rsidP="00FC760C">
      <w:pPr>
        <w:pStyle w:val="ListParagraph"/>
        <w:numPr>
          <w:ilvl w:val="0"/>
          <w:numId w:val="1"/>
        </w:numPr>
        <w:spacing w:after="0" w:line="240" w:lineRule="auto"/>
        <w:jc w:val="both"/>
        <w:rPr>
          <w:sz w:val="24"/>
          <w:szCs w:val="24"/>
        </w:rPr>
      </w:pPr>
      <w:r>
        <w:rPr>
          <w:sz w:val="24"/>
          <w:szCs w:val="24"/>
        </w:rPr>
        <w:t xml:space="preserve">The final meeting will focus on </w:t>
      </w:r>
      <w:r w:rsidR="00912926">
        <w:rPr>
          <w:sz w:val="24"/>
          <w:szCs w:val="24"/>
        </w:rPr>
        <w:t xml:space="preserve">finalizing the two main documents, discussing in-depth the campaign tools, and preparing the presentation to the EU ISG. </w:t>
      </w:r>
    </w:p>
    <w:p w:rsidR="00FC760C" w:rsidRDefault="00FC760C" w:rsidP="00FC760C">
      <w:pPr>
        <w:pStyle w:val="ListParagraph"/>
        <w:numPr>
          <w:ilvl w:val="0"/>
          <w:numId w:val="1"/>
        </w:numPr>
        <w:spacing w:after="0" w:line="240" w:lineRule="auto"/>
        <w:jc w:val="both"/>
        <w:rPr>
          <w:sz w:val="24"/>
          <w:szCs w:val="24"/>
        </w:rPr>
      </w:pPr>
      <w:r>
        <w:rPr>
          <w:sz w:val="24"/>
          <w:szCs w:val="24"/>
        </w:rPr>
        <w:t>Who will present the products at the EU ISG meeting? Is there funding from someone from the Task Force to attend and present?</w:t>
      </w:r>
    </w:p>
    <w:p w:rsidR="00FC760C" w:rsidRDefault="00FC760C" w:rsidP="00FC760C">
      <w:pPr>
        <w:pStyle w:val="ListParagraph"/>
        <w:numPr>
          <w:ilvl w:val="0"/>
          <w:numId w:val="1"/>
        </w:numPr>
        <w:spacing w:after="0" w:line="240" w:lineRule="auto"/>
        <w:jc w:val="both"/>
        <w:rPr>
          <w:sz w:val="24"/>
          <w:szCs w:val="24"/>
        </w:rPr>
      </w:pPr>
      <w:r>
        <w:rPr>
          <w:sz w:val="24"/>
          <w:szCs w:val="24"/>
        </w:rPr>
        <w:t xml:space="preserve">Will we put the finalized tools on the public website or just on the Members’ Room? </w:t>
      </w:r>
    </w:p>
    <w:p w:rsidR="00FC760C" w:rsidRDefault="00FC760C" w:rsidP="00FC760C">
      <w:pPr>
        <w:pStyle w:val="ListParagraph"/>
        <w:numPr>
          <w:ilvl w:val="0"/>
          <w:numId w:val="1"/>
        </w:numPr>
        <w:spacing w:after="0" w:line="240" w:lineRule="auto"/>
        <w:jc w:val="both"/>
        <w:rPr>
          <w:sz w:val="24"/>
          <w:szCs w:val="24"/>
        </w:rPr>
      </w:pPr>
      <w:r>
        <w:rPr>
          <w:sz w:val="24"/>
          <w:szCs w:val="24"/>
        </w:rPr>
        <w:t xml:space="preserve">Is it possible </w:t>
      </w:r>
      <w:r w:rsidR="00912926">
        <w:rPr>
          <w:sz w:val="24"/>
          <w:szCs w:val="24"/>
        </w:rPr>
        <w:t>that the EU ISG</w:t>
      </w:r>
      <w:r w:rsidR="00307417">
        <w:rPr>
          <w:sz w:val="24"/>
          <w:szCs w:val="24"/>
        </w:rPr>
        <w:t xml:space="preserve"> completely rejects the idea? </w:t>
      </w:r>
    </w:p>
    <w:p w:rsidR="00307417" w:rsidRPr="00FC760C" w:rsidRDefault="00307417" w:rsidP="00307417">
      <w:pPr>
        <w:pStyle w:val="ListParagraph"/>
        <w:spacing w:after="0" w:line="240" w:lineRule="auto"/>
        <w:jc w:val="both"/>
        <w:rPr>
          <w:sz w:val="24"/>
          <w:szCs w:val="24"/>
        </w:rPr>
      </w:pPr>
    </w:p>
    <w:p w:rsidR="003B056E" w:rsidRDefault="003B056E" w:rsidP="003B056E">
      <w:pPr>
        <w:spacing w:after="0" w:line="240" w:lineRule="auto"/>
        <w:jc w:val="both"/>
        <w:rPr>
          <w:sz w:val="24"/>
          <w:szCs w:val="24"/>
        </w:rPr>
      </w:pPr>
    </w:p>
    <w:p w:rsidR="003B056E" w:rsidRPr="003B056E" w:rsidRDefault="003B056E" w:rsidP="003B056E">
      <w:pPr>
        <w:spacing w:after="0" w:line="240" w:lineRule="auto"/>
        <w:jc w:val="both"/>
        <w:rPr>
          <w:sz w:val="24"/>
          <w:szCs w:val="24"/>
        </w:rPr>
      </w:pPr>
    </w:p>
    <w:p w:rsidR="007F0FA8" w:rsidRPr="007F0FA8" w:rsidRDefault="007F0FA8" w:rsidP="007F0FA8">
      <w:pPr>
        <w:pStyle w:val="ListParagraph"/>
        <w:spacing w:after="0" w:line="240" w:lineRule="auto"/>
        <w:jc w:val="both"/>
        <w:rPr>
          <w:sz w:val="24"/>
          <w:szCs w:val="24"/>
        </w:rPr>
      </w:pPr>
    </w:p>
    <w:p w:rsidR="007F0FA8" w:rsidRDefault="007F0FA8" w:rsidP="00C96CB7">
      <w:pPr>
        <w:spacing w:after="0" w:line="240" w:lineRule="auto"/>
        <w:jc w:val="both"/>
        <w:rPr>
          <w:sz w:val="24"/>
          <w:szCs w:val="24"/>
          <w:u w:val="single"/>
        </w:rPr>
      </w:pPr>
    </w:p>
    <w:p w:rsidR="009C04CB" w:rsidRDefault="009C04CB" w:rsidP="00C96CB7">
      <w:pPr>
        <w:spacing w:after="0" w:line="240" w:lineRule="auto"/>
        <w:jc w:val="both"/>
        <w:rPr>
          <w:sz w:val="24"/>
          <w:szCs w:val="24"/>
          <w:u w:val="single"/>
        </w:rPr>
      </w:pPr>
    </w:p>
    <w:p w:rsidR="009C04CB" w:rsidRDefault="009C04CB" w:rsidP="00C96CB7">
      <w:pPr>
        <w:spacing w:after="0" w:line="240" w:lineRule="auto"/>
        <w:jc w:val="both"/>
        <w:rPr>
          <w:sz w:val="24"/>
          <w:szCs w:val="24"/>
          <w:u w:val="single"/>
        </w:rPr>
      </w:pPr>
    </w:p>
    <w:p w:rsidR="009C04CB" w:rsidRDefault="009C04CB" w:rsidP="00C96CB7">
      <w:pPr>
        <w:spacing w:after="0" w:line="240" w:lineRule="auto"/>
        <w:jc w:val="both"/>
        <w:rPr>
          <w:sz w:val="24"/>
          <w:szCs w:val="24"/>
          <w:u w:val="single"/>
        </w:rPr>
      </w:pPr>
    </w:p>
    <w:p w:rsidR="009C04CB" w:rsidRPr="00C96CB7" w:rsidRDefault="009C04CB" w:rsidP="00C96CB7">
      <w:pPr>
        <w:spacing w:after="0" w:line="240" w:lineRule="auto"/>
        <w:jc w:val="both"/>
        <w:rPr>
          <w:sz w:val="24"/>
          <w:szCs w:val="24"/>
          <w:u w:val="single"/>
        </w:rPr>
      </w:pPr>
    </w:p>
    <w:sectPr w:rsidR="009C04CB" w:rsidRPr="00C96CB7" w:rsidSect="007162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7FF6"/>
    <w:multiLevelType w:val="hybridMultilevel"/>
    <w:tmpl w:val="81D8C0C0"/>
    <w:lvl w:ilvl="0" w:tplc="F01CE374">
      <w:start w:val="2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A2750D"/>
    <w:multiLevelType w:val="hybridMultilevel"/>
    <w:tmpl w:val="57E8E0E0"/>
    <w:lvl w:ilvl="0" w:tplc="989E7978">
      <w:start w:val="28"/>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BE0514"/>
    <w:multiLevelType w:val="hybridMultilevel"/>
    <w:tmpl w:val="DDCED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D9"/>
    <w:rsid w:val="00054F22"/>
    <w:rsid w:val="000B3604"/>
    <w:rsid w:val="001D0C18"/>
    <w:rsid w:val="001E075B"/>
    <w:rsid w:val="002A7614"/>
    <w:rsid w:val="002C3889"/>
    <w:rsid w:val="00307417"/>
    <w:rsid w:val="003B056E"/>
    <w:rsid w:val="00555290"/>
    <w:rsid w:val="00623925"/>
    <w:rsid w:val="00694ECD"/>
    <w:rsid w:val="006A1DBE"/>
    <w:rsid w:val="006A7E55"/>
    <w:rsid w:val="006C498D"/>
    <w:rsid w:val="007162CE"/>
    <w:rsid w:val="007200DE"/>
    <w:rsid w:val="007462E9"/>
    <w:rsid w:val="007F0FA8"/>
    <w:rsid w:val="00864912"/>
    <w:rsid w:val="008952DF"/>
    <w:rsid w:val="00912926"/>
    <w:rsid w:val="009164D9"/>
    <w:rsid w:val="009776EC"/>
    <w:rsid w:val="009C04CB"/>
    <w:rsid w:val="00A47086"/>
    <w:rsid w:val="00BC0271"/>
    <w:rsid w:val="00BD31AB"/>
    <w:rsid w:val="00BD5FAC"/>
    <w:rsid w:val="00BE71DF"/>
    <w:rsid w:val="00C96CB7"/>
    <w:rsid w:val="00DE0D27"/>
    <w:rsid w:val="00E541C8"/>
    <w:rsid w:val="00E73307"/>
    <w:rsid w:val="00E75EB9"/>
    <w:rsid w:val="00E94A0F"/>
    <w:rsid w:val="00F35770"/>
    <w:rsid w:val="00FC760C"/>
    <w:rsid w:val="00FD1872"/>
    <w:rsid w:val="00FD74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D27"/>
    <w:pPr>
      <w:ind w:left="720"/>
      <w:contextualSpacing/>
    </w:pPr>
  </w:style>
  <w:style w:type="table" w:styleId="TableGrid">
    <w:name w:val="Table Grid"/>
    <w:basedOn w:val="TableNormal"/>
    <w:uiPriority w:val="59"/>
    <w:rsid w:val="00A47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D27"/>
    <w:pPr>
      <w:ind w:left="720"/>
      <w:contextualSpacing/>
    </w:pPr>
  </w:style>
  <w:style w:type="table" w:styleId="TableGrid">
    <w:name w:val="Table Grid"/>
    <w:basedOn w:val="TableNormal"/>
    <w:uiPriority w:val="59"/>
    <w:rsid w:val="00A47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1458</Words>
  <Characters>8313</Characters>
  <Application>Microsoft Office Word</Application>
  <DocSecurity>4</DocSecurity>
  <Lines>69</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Amana Ferro</dc:creator>
  <cp:lastModifiedBy>Amana</cp:lastModifiedBy>
  <cp:revision>2</cp:revision>
  <dcterms:created xsi:type="dcterms:W3CDTF">2014-03-06T11:55:00Z</dcterms:created>
  <dcterms:modified xsi:type="dcterms:W3CDTF">2014-03-06T11:55:00Z</dcterms:modified>
</cp:coreProperties>
</file>